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B178B" w14:textId="39964BC5" w:rsidR="00577A07" w:rsidRPr="00B173BC" w:rsidRDefault="00577A07" w:rsidP="005137F5">
      <w:pPr>
        <w:jc w:val="both"/>
        <w:rPr>
          <w:rFonts w:ascii="Century Gothic" w:hAnsi="Century Gothic" w:cs="Times New Roman"/>
        </w:rPr>
      </w:pPr>
      <w:bookmarkStart w:id="0" w:name="_GoBack"/>
      <w:bookmarkEnd w:id="0"/>
      <w:r w:rsidRPr="00B173BC">
        <w:rPr>
          <w:rFonts w:ascii="Century Gothic" w:hAnsi="Century Gothic"/>
          <w:color w:val="1F1F1F"/>
          <w:shd w:val="clear" w:color="auto" w:fill="FFFFFF"/>
        </w:rPr>
        <w:t>En cumplimiento de su misión de prestar servicios de salud de primer y segundo nivel de complejidad, Red Medicron IPS reconoce la salud mental como un componente fundamental del bienestar integral de sus colaboradores. Por tal razón, desde la alta dirección se adopta la presente Política de Salud Mental, que orienta las acciones institucionales hacia la promoción, prevención, atención y seguimiento de la salud mental en el entorno laboral. Con el objetivo principal de promover entornos de trabajo saludables que favorezcan el equilibrio emocional, la prevención de riesgos psicosociales y la atención oportuna de problemáticas asociadas a la salud mental, fortaleciendo la calidad de vida laboral y el desempeño institucional.</w:t>
      </w:r>
    </w:p>
    <w:p w14:paraId="1617653B" w14:textId="31485E40" w:rsidR="005129C8" w:rsidRPr="00B173BC" w:rsidRDefault="005129C8" w:rsidP="009638F3">
      <w:pPr>
        <w:pStyle w:val="Textoindependiente"/>
        <w:jc w:val="both"/>
        <w:rPr>
          <w:rFonts w:ascii="Century Gothic" w:hAnsi="Century Gothic" w:cs="Times New Roman"/>
          <w:sz w:val="22"/>
          <w:szCs w:val="22"/>
        </w:rPr>
      </w:pPr>
      <w:r w:rsidRPr="00B173BC">
        <w:rPr>
          <w:rFonts w:ascii="Century Gothic" w:hAnsi="Century Gothic" w:cs="Times New Roman"/>
          <w:sz w:val="22"/>
          <w:szCs w:val="22"/>
        </w:rPr>
        <w:t>Para</w:t>
      </w:r>
      <w:r w:rsidR="00577A07" w:rsidRPr="00B173BC">
        <w:rPr>
          <w:rFonts w:ascii="Century Gothic" w:hAnsi="Century Gothic" w:cs="Times New Roman"/>
          <w:sz w:val="22"/>
          <w:szCs w:val="22"/>
        </w:rPr>
        <w:t xml:space="preserve"> dar cumplimiento a esta </w:t>
      </w:r>
      <w:r w:rsidR="008A5135" w:rsidRPr="00B173BC">
        <w:rPr>
          <w:rFonts w:ascii="Century Gothic" w:hAnsi="Century Gothic" w:cs="Times New Roman"/>
          <w:sz w:val="22"/>
          <w:szCs w:val="22"/>
        </w:rPr>
        <w:t>política</w:t>
      </w:r>
      <w:r w:rsidRPr="00B173BC">
        <w:rPr>
          <w:rFonts w:ascii="Century Gothic" w:hAnsi="Century Gothic" w:cs="Times New Roman"/>
          <w:sz w:val="22"/>
          <w:szCs w:val="22"/>
        </w:rPr>
        <w:t xml:space="preserve">, </w:t>
      </w:r>
      <w:r w:rsidR="00577A07" w:rsidRPr="00B173BC">
        <w:rPr>
          <w:rFonts w:ascii="Century Gothic" w:hAnsi="Century Gothic" w:cs="Times New Roman"/>
          <w:sz w:val="22"/>
          <w:szCs w:val="22"/>
        </w:rPr>
        <w:t xml:space="preserve">Red Medicron </w:t>
      </w:r>
      <w:r w:rsidR="00B173BC" w:rsidRPr="00B173BC">
        <w:rPr>
          <w:rFonts w:ascii="Century Gothic" w:hAnsi="Century Gothic" w:cs="Times New Roman"/>
          <w:sz w:val="22"/>
          <w:szCs w:val="22"/>
        </w:rPr>
        <w:t>IPS</w:t>
      </w:r>
      <w:r w:rsidR="00577A07" w:rsidRPr="00B173BC">
        <w:rPr>
          <w:rFonts w:ascii="Century Gothic" w:hAnsi="Century Gothic" w:cs="Times New Roman"/>
          <w:sz w:val="22"/>
          <w:szCs w:val="22"/>
        </w:rPr>
        <w:t xml:space="preserve"> se compromete a</w:t>
      </w:r>
      <w:r w:rsidRPr="00B173BC">
        <w:rPr>
          <w:rFonts w:ascii="Century Gothic" w:hAnsi="Century Gothic" w:cs="Times New Roman"/>
          <w:sz w:val="22"/>
          <w:szCs w:val="22"/>
        </w:rPr>
        <w:t xml:space="preserve">: </w:t>
      </w:r>
    </w:p>
    <w:p w14:paraId="21425F38" w14:textId="77777777" w:rsidR="005129C8" w:rsidRPr="00B173BC" w:rsidRDefault="005129C8" w:rsidP="009638F3">
      <w:pPr>
        <w:pStyle w:val="Textoindependiente"/>
        <w:jc w:val="both"/>
        <w:rPr>
          <w:rFonts w:ascii="Century Gothic" w:hAnsi="Century Gothic" w:cs="Times New Roman"/>
          <w:sz w:val="22"/>
          <w:szCs w:val="22"/>
        </w:rPr>
      </w:pPr>
    </w:p>
    <w:p w14:paraId="03918434" w14:textId="65305D11" w:rsidR="005129C8" w:rsidRPr="00B173BC" w:rsidRDefault="005129C8" w:rsidP="009638F3">
      <w:pPr>
        <w:pStyle w:val="Textoindependiente"/>
        <w:numPr>
          <w:ilvl w:val="0"/>
          <w:numId w:val="2"/>
        </w:numPr>
        <w:jc w:val="both"/>
        <w:rPr>
          <w:rFonts w:ascii="Century Gothic" w:hAnsi="Century Gothic" w:cs="Times New Roman"/>
          <w:sz w:val="22"/>
          <w:szCs w:val="22"/>
        </w:rPr>
      </w:pPr>
      <w:r w:rsidRPr="00B173BC">
        <w:rPr>
          <w:rFonts w:ascii="Century Gothic" w:hAnsi="Century Gothic" w:cs="Times New Roman"/>
          <w:sz w:val="22"/>
          <w:szCs w:val="22"/>
        </w:rPr>
        <w:t xml:space="preserve">Se destinará los recursos humanos, técnicos y financieros necesarios </w:t>
      </w:r>
      <w:r w:rsidR="00577A07" w:rsidRPr="00B173BC">
        <w:rPr>
          <w:rFonts w:ascii="Century Gothic" w:hAnsi="Century Gothic" w:cs="Times New Roman"/>
          <w:sz w:val="22"/>
          <w:szCs w:val="22"/>
        </w:rPr>
        <w:t xml:space="preserve">para su implementación. </w:t>
      </w:r>
    </w:p>
    <w:p w14:paraId="5DEF2304" w14:textId="111AED4D" w:rsidR="005129C8" w:rsidRPr="00B173BC" w:rsidRDefault="00577A07" w:rsidP="009638F3">
      <w:pPr>
        <w:pStyle w:val="Textoindependiente"/>
        <w:numPr>
          <w:ilvl w:val="0"/>
          <w:numId w:val="2"/>
        </w:numPr>
        <w:jc w:val="both"/>
        <w:rPr>
          <w:rFonts w:ascii="Century Gothic" w:hAnsi="Century Gothic" w:cs="Times New Roman"/>
          <w:sz w:val="22"/>
          <w:szCs w:val="22"/>
        </w:rPr>
      </w:pPr>
      <w:r w:rsidRPr="00B173BC">
        <w:rPr>
          <w:rFonts w:ascii="Century Gothic" w:hAnsi="Century Gothic" w:cs="Times New Roman"/>
          <w:sz w:val="22"/>
          <w:szCs w:val="22"/>
        </w:rPr>
        <w:t>Ejecutar</w:t>
      </w:r>
      <w:r w:rsidR="005129C8" w:rsidRPr="00B173BC">
        <w:rPr>
          <w:rFonts w:ascii="Century Gothic" w:hAnsi="Century Gothic" w:cs="Times New Roman"/>
          <w:sz w:val="22"/>
          <w:szCs w:val="22"/>
        </w:rPr>
        <w:t xml:space="preserve"> </w:t>
      </w:r>
      <w:r w:rsidRPr="00B173BC">
        <w:rPr>
          <w:rFonts w:ascii="Century Gothic" w:hAnsi="Century Gothic" w:cs="Times New Roman"/>
          <w:sz w:val="22"/>
          <w:szCs w:val="22"/>
        </w:rPr>
        <w:t>el</w:t>
      </w:r>
      <w:r w:rsidR="005129C8" w:rsidRPr="00B173BC">
        <w:rPr>
          <w:rFonts w:ascii="Century Gothic" w:hAnsi="Century Gothic" w:cs="Times New Roman"/>
          <w:sz w:val="22"/>
          <w:szCs w:val="22"/>
        </w:rPr>
        <w:t xml:space="preserve"> programa</w:t>
      </w:r>
      <w:r w:rsidRPr="00B173BC">
        <w:rPr>
          <w:rFonts w:ascii="Century Gothic" w:hAnsi="Century Gothic" w:cs="Times New Roman"/>
          <w:sz w:val="22"/>
          <w:szCs w:val="22"/>
        </w:rPr>
        <w:t xml:space="preserve"> institucional</w:t>
      </w:r>
      <w:r w:rsidR="005129C8" w:rsidRPr="00B173BC">
        <w:rPr>
          <w:rFonts w:ascii="Century Gothic" w:hAnsi="Century Gothic" w:cs="Times New Roman"/>
          <w:sz w:val="22"/>
          <w:szCs w:val="22"/>
        </w:rPr>
        <w:t xml:space="preserve"> “Conéctate con la vida cultivando emociones positivas” </w:t>
      </w:r>
      <w:r w:rsidRPr="00B173BC">
        <w:rPr>
          <w:rFonts w:ascii="Century Gothic" w:hAnsi="Century Gothic" w:cs="Times New Roman"/>
          <w:sz w:val="22"/>
          <w:szCs w:val="22"/>
        </w:rPr>
        <w:t xml:space="preserve">orientado al fortalecimiento del bienestar emocional. </w:t>
      </w:r>
      <w:r w:rsidR="005129C8" w:rsidRPr="00B173BC">
        <w:rPr>
          <w:rFonts w:ascii="Century Gothic" w:hAnsi="Century Gothic" w:cs="Times New Roman"/>
          <w:sz w:val="22"/>
          <w:szCs w:val="22"/>
        </w:rPr>
        <w:t xml:space="preserve"> </w:t>
      </w:r>
    </w:p>
    <w:p w14:paraId="7E03F263" w14:textId="4E6192E7" w:rsidR="005129C8" w:rsidRPr="00B173BC" w:rsidRDefault="00577A07" w:rsidP="009638F3">
      <w:pPr>
        <w:pStyle w:val="Textoindependiente"/>
        <w:numPr>
          <w:ilvl w:val="0"/>
          <w:numId w:val="2"/>
        </w:numPr>
        <w:jc w:val="both"/>
        <w:rPr>
          <w:rFonts w:ascii="Century Gothic" w:hAnsi="Century Gothic" w:cs="Times New Roman"/>
          <w:sz w:val="22"/>
          <w:szCs w:val="22"/>
        </w:rPr>
      </w:pPr>
      <w:r w:rsidRPr="00B173BC">
        <w:rPr>
          <w:rFonts w:ascii="Century Gothic" w:hAnsi="Century Gothic" w:cs="Times New Roman"/>
          <w:sz w:val="22"/>
          <w:szCs w:val="22"/>
        </w:rPr>
        <w:t>Establecer y socializar una r</w:t>
      </w:r>
      <w:r w:rsidR="005129C8" w:rsidRPr="00B173BC">
        <w:rPr>
          <w:rFonts w:ascii="Century Gothic" w:hAnsi="Century Gothic" w:cs="Times New Roman"/>
          <w:sz w:val="22"/>
          <w:szCs w:val="22"/>
        </w:rPr>
        <w:t>uta de atención en salud mental</w:t>
      </w:r>
      <w:r w:rsidRPr="00B173BC">
        <w:rPr>
          <w:rFonts w:ascii="Century Gothic" w:hAnsi="Century Gothic" w:cs="Times New Roman"/>
          <w:sz w:val="22"/>
          <w:szCs w:val="22"/>
        </w:rPr>
        <w:t xml:space="preserve"> que incluya la provisión de</w:t>
      </w:r>
      <w:r w:rsidR="005129C8" w:rsidRPr="00B173BC">
        <w:rPr>
          <w:rFonts w:ascii="Century Gothic" w:hAnsi="Century Gothic" w:cs="Times New Roman"/>
          <w:sz w:val="22"/>
          <w:szCs w:val="22"/>
        </w:rPr>
        <w:t xml:space="preserve"> los primeros auxilios psicológicos</w:t>
      </w:r>
    </w:p>
    <w:p w14:paraId="104D8415" w14:textId="0B6F3F6D" w:rsidR="00577A07" w:rsidRPr="00B173BC" w:rsidRDefault="00577A07" w:rsidP="009638F3">
      <w:pPr>
        <w:pStyle w:val="Textoindependiente"/>
        <w:numPr>
          <w:ilvl w:val="0"/>
          <w:numId w:val="2"/>
        </w:numPr>
        <w:jc w:val="both"/>
        <w:rPr>
          <w:rFonts w:ascii="Century Gothic" w:hAnsi="Century Gothic" w:cs="Times New Roman"/>
          <w:sz w:val="22"/>
          <w:szCs w:val="22"/>
        </w:rPr>
      </w:pPr>
      <w:r w:rsidRPr="00B173BC">
        <w:rPr>
          <w:rFonts w:ascii="Century Gothic" w:hAnsi="Century Gothic" w:cs="Times New Roman"/>
          <w:sz w:val="22"/>
          <w:szCs w:val="22"/>
        </w:rPr>
        <w:t xml:space="preserve">Capacitar </w:t>
      </w:r>
      <w:r w:rsidR="00AF6D28" w:rsidRPr="00B173BC">
        <w:rPr>
          <w:rFonts w:ascii="Century Gothic" w:hAnsi="Century Gothic" w:cs="Times New Roman"/>
          <w:sz w:val="22"/>
          <w:szCs w:val="22"/>
        </w:rPr>
        <w:t xml:space="preserve">y sensibilizar </w:t>
      </w:r>
      <w:r w:rsidRPr="00B173BC">
        <w:rPr>
          <w:rFonts w:ascii="Century Gothic" w:hAnsi="Century Gothic" w:cs="Times New Roman"/>
          <w:sz w:val="22"/>
          <w:szCs w:val="22"/>
        </w:rPr>
        <w:t>de manera c</w:t>
      </w:r>
      <w:r w:rsidR="00AF6D28" w:rsidRPr="00B173BC">
        <w:rPr>
          <w:rFonts w:ascii="Century Gothic" w:hAnsi="Century Gothic" w:cs="Times New Roman"/>
          <w:sz w:val="22"/>
          <w:szCs w:val="22"/>
        </w:rPr>
        <w:t>ontinua al personal en temas relacionados a la salud mental.</w:t>
      </w:r>
    </w:p>
    <w:p w14:paraId="45E101CD" w14:textId="4B2DE62E" w:rsidR="00484380" w:rsidRPr="00B173BC" w:rsidRDefault="00484380" w:rsidP="009638F3">
      <w:pPr>
        <w:pStyle w:val="Textoindependiente"/>
        <w:numPr>
          <w:ilvl w:val="0"/>
          <w:numId w:val="2"/>
        </w:numPr>
        <w:jc w:val="both"/>
        <w:rPr>
          <w:rFonts w:ascii="Century Gothic" w:hAnsi="Century Gothic" w:cs="Times New Roman"/>
          <w:sz w:val="22"/>
          <w:szCs w:val="22"/>
        </w:rPr>
      </w:pPr>
      <w:r w:rsidRPr="00B173BC">
        <w:rPr>
          <w:rFonts w:ascii="Century Gothic" w:hAnsi="Century Gothic" w:cs="Times New Roman"/>
          <w:sz w:val="22"/>
          <w:szCs w:val="22"/>
        </w:rPr>
        <w:t xml:space="preserve">Evaluar </w:t>
      </w:r>
      <w:r w:rsidRPr="00B173BC">
        <w:rPr>
          <w:rFonts w:ascii="Century Gothic" w:hAnsi="Century Gothic"/>
          <w:color w:val="1F1F1F"/>
          <w:sz w:val="22"/>
          <w:szCs w:val="22"/>
          <w:shd w:val="clear" w:color="auto" w:fill="FFFFFF"/>
        </w:rPr>
        <w:t>gestionar los factores de riesgo psicosocial.</w:t>
      </w:r>
    </w:p>
    <w:p w14:paraId="3571D7A0" w14:textId="61362B87" w:rsidR="00AF6D28" w:rsidRPr="00B173BC" w:rsidRDefault="00AF6D28" w:rsidP="009638F3">
      <w:pPr>
        <w:pStyle w:val="Textoindependiente"/>
        <w:numPr>
          <w:ilvl w:val="0"/>
          <w:numId w:val="2"/>
        </w:numPr>
        <w:jc w:val="both"/>
        <w:rPr>
          <w:rFonts w:ascii="Century Gothic" w:hAnsi="Century Gothic" w:cs="Times New Roman"/>
          <w:sz w:val="22"/>
          <w:szCs w:val="22"/>
        </w:rPr>
      </w:pPr>
      <w:r w:rsidRPr="00B173BC">
        <w:rPr>
          <w:rFonts w:ascii="Century Gothic" w:hAnsi="Century Gothic"/>
          <w:color w:val="1F1F1F"/>
          <w:sz w:val="22"/>
          <w:szCs w:val="22"/>
          <w:shd w:val="clear" w:color="auto" w:fill="FFFFFF"/>
        </w:rPr>
        <w:t>Promover una cultura institucional basada en el respeto, la empatía y el cuidado mutuo, favoreciendo ambientes laborales positivos.</w:t>
      </w:r>
    </w:p>
    <w:p w14:paraId="7630C377" w14:textId="26607EF5" w:rsidR="00AF6D28" w:rsidRPr="00B173BC" w:rsidRDefault="00AF6D28" w:rsidP="009638F3">
      <w:pPr>
        <w:pStyle w:val="Textoindependiente"/>
        <w:numPr>
          <w:ilvl w:val="0"/>
          <w:numId w:val="2"/>
        </w:numPr>
        <w:jc w:val="both"/>
        <w:rPr>
          <w:rFonts w:ascii="Century Gothic" w:hAnsi="Century Gothic" w:cs="Times New Roman"/>
          <w:sz w:val="22"/>
          <w:szCs w:val="22"/>
        </w:rPr>
      </w:pPr>
      <w:r w:rsidRPr="00B173BC">
        <w:rPr>
          <w:rFonts w:ascii="Century Gothic" w:hAnsi="Century Gothic"/>
          <w:color w:val="1F1F1F"/>
          <w:sz w:val="22"/>
          <w:szCs w:val="22"/>
          <w:shd w:val="clear" w:color="auto" w:fill="FFFFFF"/>
        </w:rPr>
        <w:t>Monitorear, evaluar y ajustar las acciones derivadas de esta política, asegurando una mejora continua y cumplimiento de la normatividad vigente.</w:t>
      </w:r>
    </w:p>
    <w:p w14:paraId="4FB3ACBA" w14:textId="473DC807" w:rsidR="00AF6D28" w:rsidRPr="00B173BC" w:rsidRDefault="00AF6D28" w:rsidP="005129C8">
      <w:pPr>
        <w:pStyle w:val="Textoindependiente"/>
        <w:jc w:val="both"/>
        <w:rPr>
          <w:rFonts w:ascii="Century Gothic" w:hAnsi="Century Gothic" w:cs="Times New Roman"/>
          <w:sz w:val="22"/>
          <w:szCs w:val="22"/>
        </w:rPr>
      </w:pPr>
    </w:p>
    <w:p w14:paraId="6344082E" w14:textId="30BD66E1" w:rsidR="00AF6D28" w:rsidRPr="00B173BC" w:rsidRDefault="009A3A3D" w:rsidP="005129C8">
      <w:pPr>
        <w:pStyle w:val="Textoindependiente"/>
        <w:jc w:val="both"/>
        <w:rPr>
          <w:rFonts w:ascii="Century Gothic" w:hAnsi="Century Gothic"/>
          <w:color w:val="1F1F1F"/>
          <w:sz w:val="22"/>
          <w:szCs w:val="22"/>
          <w:shd w:val="clear" w:color="auto" w:fill="FFFFFF"/>
        </w:rPr>
      </w:pPr>
      <w:r w:rsidRPr="00B173BC">
        <w:rPr>
          <w:rFonts w:ascii="Century Gothic" w:hAnsi="Century Gothic"/>
          <w:color w:val="1F1F1F"/>
          <w:sz w:val="22"/>
          <w:szCs w:val="22"/>
          <w:shd w:val="clear" w:color="auto" w:fill="FFFFFF"/>
        </w:rPr>
        <w:t>Esta política aplica a todos los colaboradores, sin distinción de cargo o nivel jerárquico, y está alineada con los principio</w:t>
      </w:r>
      <w:r w:rsidR="00484380" w:rsidRPr="00B173BC">
        <w:rPr>
          <w:rFonts w:ascii="Century Gothic" w:hAnsi="Century Gothic"/>
          <w:color w:val="1F1F1F"/>
          <w:sz w:val="22"/>
          <w:szCs w:val="22"/>
          <w:shd w:val="clear" w:color="auto" w:fill="FFFFFF"/>
        </w:rPr>
        <w:t xml:space="preserve">s de equidad, confidencialidad </w:t>
      </w:r>
      <w:r w:rsidRPr="00B173BC">
        <w:rPr>
          <w:rFonts w:ascii="Century Gothic" w:hAnsi="Century Gothic"/>
          <w:color w:val="1F1F1F"/>
          <w:sz w:val="22"/>
          <w:szCs w:val="22"/>
          <w:shd w:val="clear" w:color="auto" w:fill="FFFFFF"/>
        </w:rPr>
        <w:t>y respeto por los derechos humanos. Red Medicron IPS reafirma su compromiso con el cuidado integral de la salud física y mental de su talento humano, reconociendo que el bienestar emocional es clave para el logro d</w:t>
      </w:r>
      <w:r w:rsidR="00484380" w:rsidRPr="00B173BC">
        <w:rPr>
          <w:rFonts w:ascii="Century Gothic" w:hAnsi="Century Gothic"/>
          <w:color w:val="1F1F1F"/>
          <w:sz w:val="22"/>
          <w:szCs w:val="22"/>
          <w:shd w:val="clear" w:color="auto" w:fill="FFFFFF"/>
        </w:rPr>
        <w:t>e sus objetivos institucionales.</w:t>
      </w:r>
    </w:p>
    <w:p w14:paraId="2800319C" w14:textId="48E78AAA" w:rsidR="005F016E" w:rsidRPr="00B173BC" w:rsidRDefault="005F016E" w:rsidP="005129C8">
      <w:pPr>
        <w:jc w:val="both"/>
        <w:rPr>
          <w:rFonts w:ascii="Century Gothic" w:hAnsi="Century Gothic" w:cs="Times New Roman"/>
        </w:rPr>
      </w:pPr>
    </w:p>
    <w:p w14:paraId="57A4EEEA" w14:textId="1DDC21A6" w:rsidR="005F016E" w:rsidRPr="00B173BC" w:rsidRDefault="005F016E" w:rsidP="005F016E">
      <w:pPr>
        <w:spacing w:after="0" w:line="240" w:lineRule="auto"/>
        <w:rPr>
          <w:rFonts w:ascii="Century Gothic" w:eastAsiaTheme="minorEastAsia" w:hAnsi="Century Gothic"/>
          <w:color w:val="000000" w:themeColor="text1"/>
          <w:kern w:val="24"/>
          <w:lang w:val="es-MX" w:eastAsia="es-CO"/>
        </w:rPr>
      </w:pPr>
      <w:r w:rsidRPr="00B173BC">
        <w:rPr>
          <w:rFonts w:ascii="Century Gothic" w:eastAsiaTheme="minorEastAsia" w:hAnsi="Century Gothic"/>
          <w:color w:val="000000" w:themeColor="text1"/>
          <w:kern w:val="24"/>
          <w:lang w:val="es-MX" w:eastAsia="es-CO"/>
        </w:rPr>
        <w:t xml:space="preserve">Para constancia se firma en San Juan de Pasto, a los </w:t>
      </w:r>
      <w:r w:rsidR="009A3A3D" w:rsidRPr="00B173BC">
        <w:rPr>
          <w:rFonts w:ascii="Century Gothic" w:eastAsiaTheme="minorEastAsia" w:hAnsi="Century Gothic"/>
          <w:color w:val="000000" w:themeColor="text1"/>
          <w:kern w:val="24"/>
          <w:lang w:val="es-MX" w:eastAsia="es-CO"/>
        </w:rPr>
        <w:t>30</w:t>
      </w:r>
      <w:r w:rsidRPr="00B173BC">
        <w:rPr>
          <w:rFonts w:ascii="Century Gothic" w:eastAsiaTheme="minorEastAsia" w:hAnsi="Century Gothic"/>
          <w:color w:val="000000" w:themeColor="text1"/>
          <w:kern w:val="24"/>
          <w:lang w:val="es-MX" w:eastAsia="es-CO"/>
        </w:rPr>
        <w:t xml:space="preserve"> días del mes de </w:t>
      </w:r>
      <w:r w:rsidR="009A3A3D" w:rsidRPr="00B173BC">
        <w:rPr>
          <w:rFonts w:ascii="Century Gothic" w:eastAsiaTheme="minorEastAsia" w:hAnsi="Century Gothic"/>
          <w:color w:val="000000" w:themeColor="text1"/>
          <w:kern w:val="24"/>
          <w:lang w:val="es-MX" w:eastAsia="es-CO"/>
        </w:rPr>
        <w:t>abril del año 2025</w:t>
      </w:r>
      <w:r w:rsidRPr="00B173BC">
        <w:rPr>
          <w:rFonts w:ascii="Century Gothic" w:eastAsiaTheme="minorEastAsia" w:hAnsi="Century Gothic"/>
          <w:color w:val="000000" w:themeColor="text1"/>
          <w:kern w:val="24"/>
          <w:lang w:val="es-MX" w:eastAsia="es-CO"/>
        </w:rPr>
        <w:t>.</w:t>
      </w:r>
    </w:p>
    <w:p w14:paraId="60C78156" w14:textId="256CBA28" w:rsidR="009A3A3D" w:rsidRDefault="009A3A3D" w:rsidP="005F016E">
      <w:pPr>
        <w:spacing w:after="0" w:line="240" w:lineRule="auto"/>
        <w:rPr>
          <w:rFonts w:ascii="Century Gothic" w:eastAsiaTheme="minorEastAsia" w:hAnsi="Century Gothic"/>
          <w:color w:val="000000" w:themeColor="text1"/>
          <w:kern w:val="24"/>
          <w:lang w:val="es-MX" w:eastAsia="es-CO"/>
        </w:rPr>
      </w:pPr>
    </w:p>
    <w:p w14:paraId="572E4D86" w14:textId="30BE444E" w:rsidR="00B173BC" w:rsidRDefault="00B173BC" w:rsidP="005F016E">
      <w:pPr>
        <w:spacing w:after="0" w:line="240" w:lineRule="auto"/>
        <w:rPr>
          <w:rFonts w:ascii="Century Gothic" w:eastAsiaTheme="minorEastAsia" w:hAnsi="Century Gothic"/>
          <w:color w:val="000000" w:themeColor="text1"/>
          <w:kern w:val="24"/>
          <w:lang w:val="es-MX" w:eastAsia="es-CO"/>
        </w:rPr>
      </w:pPr>
    </w:p>
    <w:p w14:paraId="0E4F4080" w14:textId="77777777" w:rsidR="00B173BC" w:rsidRPr="00B173BC" w:rsidRDefault="00B173BC" w:rsidP="005F016E">
      <w:pPr>
        <w:spacing w:after="0" w:line="240" w:lineRule="auto"/>
        <w:rPr>
          <w:rFonts w:ascii="Century Gothic" w:eastAsiaTheme="minorEastAsia" w:hAnsi="Century Gothic"/>
          <w:color w:val="000000" w:themeColor="text1"/>
          <w:kern w:val="24"/>
          <w:lang w:val="es-MX" w:eastAsia="es-CO"/>
        </w:rPr>
      </w:pPr>
    </w:p>
    <w:p w14:paraId="4C5B9DA9" w14:textId="77777777" w:rsidR="009A3A3D" w:rsidRPr="00B173BC" w:rsidRDefault="009A3A3D" w:rsidP="005F016E">
      <w:pPr>
        <w:spacing w:after="0" w:line="240" w:lineRule="auto"/>
        <w:rPr>
          <w:rFonts w:ascii="Century Gothic" w:eastAsiaTheme="minorEastAsia" w:hAnsi="Century Gothic"/>
          <w:color w:val="000000" w:themeColor="text1"/>
          <w:kern w:val="24"/>
          <w:lang w:val="es-MX" w:eastAsia="es-CO"/>
        </w:rPr>
      </w:pPr>
    </w:p>
    <w:p w14:paraId="6D6E681D" w14:textId="77777777" w:rsidR="005F016E" w:rsidRPr="00B173BC" w:rsidRDefault="005F016E" w:rsidP="005F016E">
      <w:pPr>
        <w:spacing w:after="0" w:line="240" w:lineRule="auto"/>
        <w:jc w:val="both"/>
        <w:rPr>
          <w:rFonts w:ascii="Century Gothic" w:eastAsiaTheme="minorEastAsia" w:hAnsi="Century Gothic"/>
          <w:color w:val="000000" w:themeColor="text1"/>
          <w:kern w:val="24"/>
          <w:lang w:val="es-MX" w:eastAsia="es-CO"/>
        </w:rPr>
      </w:pPr>
      <w:r w:rsidRPr="00B173BC">
        <w:rPr>
          <w:rFonts w:ascii="Century Gothic" w:eastAsiaTheme="minorEastAsia" w:hAnsi="Century Gothic"/>
          <w:color w:val="000000" w:themeColor="text1"/>
          <w:kern w:val="24"/>
          <w:lang w:val="es-MX" w:eastAsia="es-CO"/>
        </w:rPr>
        <w:t>Mauricio Enríquez Velásquez.</w:t>
      </w:r>
    </w:p>
    <w:p w14:paraId="3F9D09F6" w14:textId="77777777" w:rsidR="005F016E" w:rsidRPr="00B173BC" w:rsidRDefault="005F016E" w:rsidP="005F016E">
      <w:pPr>
        <w:spacing w:after="0" w:line="240" w:lineRule="auto"/>
        <w:jc w:val="both"/>
        <w:rPr>
          <w:rFonts w:ascii="Century Gothic" w:eastAsiaTheme="minorEastAsia" w:hAnsi="Century Gothic"/>
          <w:color w:val="000000" w:themeColor="text1"/>
          <w:kern w:val="24"/>
          <w:lang w:val="es-MX" w:eastAsia="es-CO"/>
        </w:rPr>
      </w:pPr>
      <w:r w:rsidRPr="00B173BC">
        <w:rPr>
          <w:rFonts w:ascii="Century Gothic" w:eastAsiaTheme="minorEastAsia" w:hAnsi="Century Gothic"/>
          <w:color w:val="000000" w:themeColor="text1"/>
          <w:kern w:val="24"/>
          <w:lang w:val="es-MX" w:eastAsia="es-CO"/>
        </w:rPr>
        <w:t xml:space="preserve">Director Ejecutivo </w:t>
      </w:r>
    </w:p>
    <w:p w14:paraId="70000360" w14:textId="607A82D5" w:rsidR="005F016E" w:rsidRPr="00484380" w:rsidRDefault="005F016E" w:rsidP="005F016E">
      <w:pPr>
        <w:spacing w:after="0" w:line="240" w:lineRule="auto"/>
        <w:jc w:val="both"/>
        <w:rPr>
          <w:rFonts w:ascii="Century Gothic" w:eastAsiaTheme="minorEastAsia" w:hAnsi="Century Gothic"/>
          <w:color w:val="000000" w:themeColor="text1"/>
          <w:kern w:val="24"/>
          <w:sz w:val="20"/>
          <w:szCs w:val="20"/>
          <w:lang w:val="es-MX" w:eastAsia="es-CO"/>
        </w:rPr>
      </w:pPr>
      <w:r w:rsidRPr="00B173BC">
        <w:rPr>
          <w:rFonts w:ascii="Century Gothic" w:eastAsiaTheme="minorEastAsia" w:hAnsi="Century Gothic"/>
          <w:color w:val="000000" w:themeColor="text1"/>
          <w:kern w:val="24"/>
          <w:lang w:val="es-MX" w:eastAsia="es-CO"/>
        </w:rPr>
        <w:t xml:space="preserve">Red Medicron IPS </w:t>
      </w:r>
      <w:r w:rsidRPr="00484380">
        <w:rPr>
          <w:rFonts w:ascii="Century Gothic" w:eastAsiaTheme="minorEastAsia" w:hAnsi="Century Gothic"/>
          <w:color w:val="000000" w:themeColor="text1"/>
          <w:kern w:val="24"/>
          <w:sz w:val="20"/>
          <w:szCs w:val="20"/>
          <w:lang w:val="es-MX" w:eastAsia="es-CO"/>
        </w:rPr>
        <w:t xml:space="preserve">                                                                                                                                                                                                                                                                                                          </w:t>
      </w:r>
    </w:p>
    <w:sectPr w:rsidR="005F016E" w:rsidRPr="00484380" w:rsidSect="00B173BC">
      <w:headerReference w:type="default" r:id="rId7"/>
      <w:footerReference w:type="default" r:id="rId8"/>
      <w:pgSz w:w="12240" w:h="15840"/>
      <w:pgMar w:top="1134" w:right="1134" w:bottom="1134" w:left="1134"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06755" w14:textId="77777777" w:rsidR="009F73AC" w:rsidRDefault="009F73AC" w:rsidP="005F016E">
      <w:pPr>
        <w:spacing w:after="0" w:line="240" w:lineRule="auto"/>
      </w:pPr>
      <w:r>
        <w:separator/>
      </w:r>
    </w:p>
  </w:endnote>
  <w:endnote w:type="continuationSeparator" w:id="0">
    <w:p w14:paraId="2BC6B1F1" w14:textId="77777777" w:rsidR="009F73AC" w:rsidRDefault="009F73AC" w:rsidP="005F0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MT">
    <w:altName w:val="Arial"/>
    <w:charset w:val="01"/>
    <w:family w:val="swiss"/>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2FA7A" w14:textId="60F35998" w:rsidR="005F016E" w:rsidRDefault="00B173BC">
    <w:pPr>
      <w:pStyle w:val="Piedepgina"/>
    </w:pPr>
    <w:r>
      <w:rPr>
        <w:noProof/>
        <w:lang w:val="es-MX" w:eastAsia="es-MX"/>
      </w:rPr>
      <w:drawing>
        <wp:anchor distT="0" distB="0" distL="114300" distR="114300" simplePos="0" relativeHeight="251658240" behindDoc="1" locked="0" layoutInCell="1" allowOverlap="1" wp14:anchorId="72C1179F" wp14:editId="0E49CA63">
          <wp:simplePos x="0" y="0"/>
          <wp:positionH relativeFrom="margin">
            <wp:align>center</wp:align>
          </wp:positionH>
          <wp:positionV relativeFrom="paragraph">
            <wp:posOffset>-294005</wp:posOffset>
          </wp:positionV>
          <wp:extent cx="6305550" cy="552450"/>
          <wp:effectExtent l="0" t="0" r="0" b="0"/>
          <wp:wrapNone/>
          <wp:docPr id="2" name="Imagen 2" descr="Proceso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05550" cy="55245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13852" w14:textId="77777777" w:rsidR="009F73AC" w:rsidRDefault="009F73AC" w:rsidP="005F016E">
      <w:pPr>
        <w:spacing w:after="0" w:line="240" w:lineRule="auto"/>
      </w:pPr>
      <w:r>
        <w:separator/>
      </w:r>
    </w:p>
  </w:footnote>
  <w:footnote w:type="continuationSeparator" w:id="0">
    <w:p w14:paraId="74D9A54C" w14:textId="77777777" w:rsidR="009F73AC" w:rsidRDefault="009F73AC" w:rsidP="005F0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44"/>
      <w:gridCol w:w="5789"/>
      <w:gridCol w:w="2288"/>
    </w:tblGrid>
    <w:tr w:rsidR="00B173BC" w:rsidRPr="0040021E" w14:paraId="2668A401" w14:textId="77777777" w:rsidTr="00295802">
      <w:trPr>
        <w:trHeight w:val="212"/>
        <w:jc w:val="center"/>
      </w:trPr>
      <w:tc>
        <w:tcPr>
          <w:tcW w:w="2144" w:type="dxa"/>
          <w:vMerge w:val="restart"/>
          <w:shd w:val="clear" w:color="auto" w:fill="auto"/>
          <w:vAlign w:val="center"/>
        </w:tcPr>
        <w:p w14:paraId="0B2FBB24" w14:textId="77777777" w:rsidR="00B173BC" w:rsidRPr="0040021E" w:rsidRDefault="00B173BC" w:rsidP="0040021E">
          <w:pPr>
            <w:pStyle w:val="Encabezado"/>
            <w:rPr>
              <w:rFonts w:ascii="Century Gothic" w:hAnsi="Century Gothic"/>
              <w:b/>
              <w:lang w:val="es-MX"/>
            </w:rPr>
          </w:pPr>
          <w:r w:rsidRPr="0040021E">
            <w:rPr>
              <w:rFonts w:ascii="Century Gothic" w:hAnsi="Century Gothic"/>
              <w:noProof/>
              <w:lang w:val="es-MX" w:eastAsia="es-MX"/>
            </w:rPr>
            <w:drawing>
              <wp:anchor distT="0" distB="0" distL="114300" distR="114300" simplePos="0" relativeHeight="251660288" behindDoc="0" locked="0" layoutInCell="1" allowOverlap="1" wp14:anchorId="118DF5BF" wp14:editId="0E196C98">
                <wp:simplePos x="0" y="0"/>
                <wp:positionH relativeFrom="column">
                  <wp:posOffset>3175</wp:posOffset>
                </wp:positionH>
                <wp:positionV relativeFrom="paragraph">
                  <wp:posOffset>18415</wp:posOffset>
                </wp:positionV>
                <wp:extent cx="1200150" cy="414655"/>
                <wp:effectExtent l="0" t="0" r="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4146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vMerge w:val="restart"/>
          <w:shd w:val="clear" w:color="auto" w:fill="auto"/>
          <w:vAlign w:val="center"/>
        </w:tcPr>
        <w:p w14:paraId="412B01A3" w14:textId="75A24D66" w:rsidR="00B173BC" w:rsidRPr="0040021E" w:rsidRDefault="00B173BC" w:rsidP="00B173BC">
          <w:pPr>
            <w:pStyle w:val="Encabezado"/>
            <w:jc w:val="center"/>
            <w:rPr>
              <w:rFonts w:ascii="Century Gothic" w:hAnsi="Century Gothic"/>
              <w:lang w:val="es-MX"/>
            </w:rPr>
          </w:pPr>
          <w:r w:rsidRPr="0040021E">
            <w:rPr>
              <w:rFonts w:ascii="Century Gothic" w:hAnsi="Century Gothic"/>
              <w:b/>
              <w:lang w:val="es-MX"/>
            </w:rPr>
            <w:t xml:space="preserve">PROCESO </w:t>
          </w:r>
          <w:r>
            <w:rPr>
              <w:rFonts w:ascii="Century Gothic" w:hAnsi="Century Gothic"/>
              <w:b/>
              <w:lang w:val="es-MX"/>
            </w:rPr>
            <w:t>DIRECCIONAMIENTO ESTRATÉGICO</w:t>
          </w:r>
        </w:p>
      </w:tc>
      <w:tc>
        <w:tcPr>
          <w:tcW w:w="2288" w:type="dxa"/>
          <w:shd w:val="clear" w:color="auto" w:fill="auto"/>
          <w:vAlign w:val="center"/>
        </w:tcPr>
        <w:p w14:paraId="29EA8E7A" w14:textId="65F841A0" w:rsidR="00B173BC" w:rsidRPr="0040021E" w:rsidRDefault="00B173BC" w:rsidP="0040021E">
          <w:pPr>
            <w:pStyle w:val="Encabezado"/>
            <w:rPr>
              <w:rFonts w:ascii="Century Gothic" w:hAnsi="Century Gothic"/>
              <w:sz w:val="18"/>
              <w:szCs w:val="18"/>
              <w:lang w:val="es-MX"/>
            </w:rPr>
          </w:pPr>
          <w:r w:rsidRPr="0040021E">
            <w:rPr>
              <w:rFonts w:ascii="Century Gothic" w:hAnsi="Century Gothic"/>
              <w:sz w:val="18"/>
              <w:szCs w:val="18"/>
              <w:lang w:val="es-MX"/>
            </w:rPr>
            <w:t xml:space="preserve">Código: </w:t>
          </w:r>
          <w:r>
            <w:rPr>
              <w:rFonts w:ascii="Century Gothic" w:hAnsi="Century Gothic"/>
              <w:sz w:val="18"/>
              <w:szCs w:val="18"/>
              <w:lang w:val="es-MX"/>
            </w:rPr>
            <w:t>DI-DIR</w:t>
          </w:r>
          <w:r w:rsidRPr="0040021E">
            <w:rPr>
              <w:rFonts w:ascii="Century Gothic" w:hAnsi="Century Gothic"/>
              <w:sz w:val="18"/>
              <w:szCs w:val="18"/>
              <w:lang w:val="es-MX"/>
            </w:rPr>
            <w:t>-00</w:t>
          </w:r>
          <w:r>
            <w:rPr>
              <w:rFonts w:ascii="Century Gothic" w:hAnsi="Century Gothic"/>
              <w:sz w:val="18"/>
              <w:szCs w:val="18"/>
              <w:lang w:val="es-MX"/>
            </w:rPr>
            <w:t>4</w:t>
          </w:r>
        </w:p>
      </w:tc>
    </w:tr>
    <w:tr w:rsidR="00B173BC" w:rsidRPr="0040021E" w14:paraId="1888D8EA" w14:textId="77777777" w:rsidTr="00295802">
      <w:trPr>
        <w:trHeight w:val="214"/>
        <w:jc w:val="center"/>
      </w:trPr>
      <w:tc>
        <w:tcPr>
          <w:tcW w:w="2144" w:type="dxa"/>
          <w:vMerge/>
          <w:shd w:val="clear" w:color="auto" w:fill="auto"/>
          <w:vAlign w:val="center"/>
        </w:tcPr>
        <w:p w14:paraId="1768915C" w14:textId="77777777" w:rsidR="00B173BC" w:rsidRPr="0040021E" w:rsidRDefault="00B173BC" w:rsidP="0040021E">
          <w:pPr>
            <w:pStyle w:val="Encabezado"/>
            <w:rPr>
              <w:rFonts w:ascii="Century Gothic" w:hAnsi="Century Gothic"/>
              <w:b/>
              <w:lang w:val="es-MX"/>
            </w:rPr>
          </w:pPr>
        </w:p>
      </w:tc>
      <w:tc>
        <w:tcPr>
          <w:tcW w:w="5789" w:type="dxa"/>
          <w:vMerge/>
          <w:shd w:val="clear" w:color="auto" w:fill="auto"/>
          <w:vAlign w:val="center"/>
        </w:tcPr>
        <w:p w14:paraId="219D257B" w14:textId="77777777" w:rsidR="00B173BC" w:rsidRPr="0040021E" w:rsidRDefault="00B173BC" w:rsidP="0040021E">
          <w:pPr>
            <w:pStyle w:val="Encabezado"/>
            <w:jc w:val="center"/>
            <w:rPr>
              <w:rFonts w:ascii="Century Gothic" w:hAnsi="Century Gothic"/>
              <w:b/>
              <w:lang w:val="es-MX"/>
            </w:rPr>
          </w:pPr>
        </w:p>
      </w:tc>
      <w:tc>
        <w:tcPr>
          <w:tcW w:w="2288" w:type="dxa"/>
          <w:shd w:val="clear" w:color="auto" w:fill="auto"/>
          <w:vAlign w:val="center"/>
        </w:tcPr>
        <w:p w14:paraId="24B395DC" w14:textId="1199603B" w:rsidR="00B173BC" w:rsidRPr="0040021E" w:rsidRDefault="00B173BC" w:rsidP="0040021E">
          <w:pPr>
            <w:pStyle w:val="Encabezado"/>
            <w:rPr>
              <w:rFonts w:ascii="Century Gothic" w:hAnsi="Century Gothic"/>
              <w:sz w:val="18"/>
              <w:szCs w:val="18"/>
              <w:lang w:val="es-MX"/>
            </w:rPr>
          </w:pPr>
          <w:r w:rsidRPr="0040021E">
            <w:rPr>
              <w:rFonts w:ascii="Century Gothic" w:hAnsi="Century Gothic"/>
              <w:sz w:val="18"/>
              <w:szCs w:val="18"/>
              <w:lang w:val="es-MX"/>
            </w:rPr>
            <w:t>Versión: 0</w:t>
          </w:r>
          <w:r w:rsidR="006E2109">
            <w:rPr>
              <w:rFonts w:ascii="Century Gothic" w:hAnsi="Century Gothic"/>
              <w:sz w:val="18"/>
              <w:szCs w:val="18"/>
              <w:lang w:val="es-MX"/>
            </w:rPr>
            <w:t>0</w:t>
          </w:r>
        </w:p>
      </w:tc>
    </w:tr>
    <w:tr w:rsidR="00B173BC" w:rsidRPr="0040021E" w14:paraId="54ECB698" w14:textId="77777777" w:rsidTr="00295802">
      <w:trPr>
        <w:trHeight w:val="334"/>
        <w:jc w:val="center"/>
      </w:trPr>
      <w:tc>
        <w:tcPr>
          <w:tcW w:w="2144" w:type="dxa"/>
          <w:vMerge/>
          <w:shd w:val="clear" w:color="auto" w:fill="auto"/>
          <w:vAlign w:val="center"/>
        </w:tcPr>
        <w:p w14:paraId="54F64121" w14:textId="77777777" w:rsidR="00B173BC" w:rsidRPr="0040021E" w:rsidRDefault="00B173BC" w:rsidP="0040021E">
          <w:pPr>
            <w:pStyle w:val="Encabezado"/>
            <w:rPr>
              <w:rFonts w:ascii="Century Gothic" w:hAnsi="Century Gothic"/>
              <w:lang w:val="es-MX"/>
            </w:rPr>
          </w:pPr>
        </w:p>
      </w:tc>
      <w:tc>
        <w:tcPr>
          <w:tcW w:w="5789" w:type="dxa"/>
          <w:vMerge w:val="restart"/>
          <w:shd w:val="clear" w:color="auto" w:fill="auto"/>
          <w:vAlign w:val="center"/>
        </w:tcPr>
        <w:p w14:paraId="062D6AB4" w14:textId="7B35C597" w:rsidR="00B173BC" w:rsidRPr="0040021E" w:rsidRDefault="00B173BC" w:rsidP="0040021E">
          <w:pPr>
            <w:pStyle w:val="Encabezado"/>
            <w:jc w:val="center"/>
            <w:rPr>
              <w:rFonts w:ascii="Century Gothic" w:hAnsi="Century Gothic"/>
              <w:lang w:val="es-MX"/>
            </w:rPr>
          </w:pPr>
          <w:r w:rsidRPr="00B173BC">
            <w:rPr>
              <w:rFonts w:ascii="Century Gothic" w:hAnsi="Century Gothic"/>
              <w:b/>
              <w:lang w:val="es-MX"/>
            </w:rPr>
            <w:t>POLÍTICA DE SALUD MENTAL</w:t>
          </w:r>
        </w:p>
      </w:tc>
      <w:tc>
        <w:tcPr>
          <w:tcW w:w="2288" w:type="dxa"/>
          <w:shd w:val="clear" w:color="auto" w:fill="auto"/>
          <w:vAlign w:val="center"/>
        </w:tcPr>
        <w:p w14:paraId="17633B75" w14:textId="788128E3" w:rsidR="00B173BC" w:rsidRPr="0040021E" w:rsidRDefault="00B173BC" w:rsidP="0040021E">
          <w:pPr>
            <w:pStyle w:val="Encabezado"/>
            <w:rPr>
              <w:rFonts w:ascii="Century Gothic" w:hAnsi="Century Gothic"/>
              <w:sz w:val="18"/>
              <w:szCs w:val="18"/>
              <w:lang w:val="es-MX"/>
            </w:rPr>
          </w:pPr>
          <w:r w:rsidRPr="00295802">
            <w:rPr>
              <w:rFonts w:ascii="Century Gothic" w:hAnsi="Century Gothic"/>
              <w:sz w:val="18"/>
              <w:szCs w:val="18"/>
              <w:lang w:val="es-MX"/>
            </w:rPr>
            <w:t>Fecha de aprobación</w:t>
          </w:r>
          <w:r w:rsidRPr="0040021E">
            <w:rPr>
              <w:rFonts w:ascii="Century Gothic" w:hAnsi="Century Gothic"/>
              <w:sz w:val="18"/>
              <w:szCs w:val="18"/>
              <w:lang w:val="es-MX"/>
            </w:rPr>
            <w:t xml:space="preserve">: </w:t>
          </w:r>
          <w:r w:rsidRPr="0040021E">
            <w:rPr>
              <w:rFonts w:ascii="Century Gothic" w:hAnsi="Century Gothic"/>
              <w:sz w:val="18"/>
              <w:szCs w:val="18"/>
              <w:lang w:val="es-MX"/>
            </w:rPr>
            <w:br/>
          </w:r>
          <w:r>
            <w:rPr>
              <w:rFonts w:ascii="Century Gothic" w:hAnsi="Century Gothic"/>
              <w:sz w:val="18"/>
              <w:szCs w:val="18"/>
              <w:lang w:val="es-MX"/>
            </w:rPr>
            <w:t>30</w:t>
          </w:r>
          <w:r w:rsidRPr="0040021E">
            <w:rPr>
              <w:rFonts w:ascii="Century Gothic" w:hAnsi="Century Gothic"/>
              <w:sz w:val="18"/>
              <w:szCs w:val="18"/>
              <w:lang w:val="es-MX"/>
            </w:rPr>
            <w:t xml:space="preserve"> de </w:t>
          </w:r>
          <w:r w:rsidRPr="00295802">
            <w:rPr>
              <w:rFonts w:ascii="Century Gothic" w:hAnsi="Century Gothic"/>
              <w:sz w:val="18"/>
              <w:szCs w:val="18"/>
              <w:lang w:val="es-MX"/>
            </w:rPr>
            <w:t>abril</w:t>
          </w:r>
          <w:r w:rsidRPr="0040021E">
            <w:rPr>
              <w:rFonts w:ascii="Century Gothic" w:hAnsi="Century Gothic"/>
              <w:sz w:val="18"/>
              <w:szCs w:val="18"/>
              <w:lang w:val="es-MX"/>
            </w:rPr>
            <w:t xml:space="preserve"> de 2025</w:t>
          </w:r>
        </w:p>
      </w:tc>
    </w:tr>
    <w:tr w:rsidR="00B173BC" w:rsidRPr="0040021E" w14:paraId="169948E3" w14:textId="77777777" w:rsidTr="00295802">
      <w:trPr>
        <w:trHeight w:val="212"/>
        <w:jc w:val="center"/>
      </w:trPr>
      <w:tc>
        <w:tcPr>
          <w:tcW w:w="2144" w:type="dxa"/>
          <w:vMerge/>
          <w:shd w:val="clear" w:color="auto" w:fill="auto"/>
          <w:vAlign w:val="center"/>
        </w:tcPr>
        <w:p w14:paraId="1825BCD0" w14:textId="77777777" w:rsidR="00B173BC" w:rsidRPr="0040021E" w:rsidRDefault="00B173BC" w:rsidP="0040021E">
          <w:pPr>
            <w:pStyle w:val="Encabezado"/>
            <w:rPr>
              <w:rFonts w:ascii="Century Gothic" w:hAnsi="Century Gothic"/>
              <w:lang w:val="es-MX"/>
            </w:rPr>
          </w:pPr>
        </w:p>
      </w:tc>
      <w:tc>
        <w:tcPr>
          <w:tcW w:w="5789" w:type="dxa"/>
          <w:vMerge/>
          <w:shd w:val="clear" w:color="auto" w:fill="auto"/>
          <w:vAlign w:val="center"/>
        </w:tcPr>
        <w:p w14:paraId="7AC937FF" w14:textId="77777777" w:rsidR="00B173BC" w:rsidRPr="0040021E" w:rsidRDefault="00B173BC" w:rsidP="0040021E">
          <w:pPr>
            <w:pStyle w:val="Encabezado"/>
            <w:rPr>
              <w:rFonts w:ascii="Century Gothic" w:hAnsi="Century Gothic"/>
              <w:b/>
              <w:lang w:val="es-MX"/>
            </w:rPr>
          </w:pPr>
        </w:p>
      </w:tc>
      <w:tc>
        <w:tcPr>
          <w:tcW w:w="2288" w:type="dxa"/>
          <w:shd w:val="clear" w:color="auto" w:fill="auto"/>
          <w:vAlign w:val="center"/>
        </w:tcPr>
        <w:p w14:paraId="147639EF" w14:textId="4B037BA4" w:rsidR="00B173BC" w:rsidRPr="0040021E" w:rsidRDefault="00B173BC" w:rsidP="0040021E">
          <w:pPr>
            <w:pStyle w:val="Encabezado"/>
            <w:rPr>
              <w:rFonts w:ascii="Century Gothic" w:hAnsi="Century Gothic"/>
              <w:sz w:val="18"/>
              <w:szCs w:val="18"/>
              <w:lang w:val="es-MX"/>
            </w:rPr>
          </w:pPr>
          <w:r w:rsidRPr="0040021E">
            <w:rPr>
              <w:rFonts w:ascii="Century Gothic" w:hAnsi="Century Gothic"/>
              <w:sz w:val="18"/>
              <w:szCs w:val="18"/>
              <w:lang w:val="es-MX"/>
            </w:rPr>
            <w:t xml:space="preserve">Página: </w:t>
          </w:r>
          <w:r w:rsidRPr="0040021E">
            <w:rPr>
              <w:rFonts w:ascii="Century Gothic" w:hAnsi="Century Gothic"/>
              <w:sz w:val="18"/>
              <w:szCs w:val="18"/>
              <w:lang w:val="es-MX"/>
            </w:rPr>
            <w:fldChar w:fldCharType="begin"/>
          </w:r>
          <w:r w:rsidRPr="0040021E">
            <w:rPr>
              <w:rFonts w:ascii="Century Gothic" w:hAnsi="Century Gothic"/>
              <w:sz w:val="18"/>
              <w:szCs w:val="18"/>
              <w:lang w:val="es-MX"/>
            </w:rPr>
            <w:instrText>PAGE</w:instrText>
          </w:r>
          <w:r w:rsidRPr="0040021E">
            <w:rPr>
              <w:rFonts w:ascii="Century Gothic" w:hAnsi="Century Gothic"/>
              <w:sz w:val="18"/>
              <w:szCs w:val="18"/>
              <w:lang w:val="es-MX"/>
            </w:rPr>
            <w:fldChar w:fldCharType="separate"/>
          </w:r>
          <w:r w:rsidR="00C50461">
            <w:rPr>
              <w:rFonts w:ascii="Century Gothic" w:hAnsi="Century Gothic"/>
              <w:noProof/>
              <w:sz w:val="18"/>
              <w:szCs w:val="18"/>
              <w:lang w:val="es-MX"/>
            </w:rPr>
            <w:t>1</w:t>
          </w:r>
          <w:r w:rsidRPr="0040021E">
            <w:rPr>
              <w:rFonts w:ascii="Century Gothic" w:hAnsi="Century Gothic"/>
              <w:sz w:val="18"/>
              <w:szCs w:val="18"/>
            </w:rPr>
            <w:fldChar w:fldCharType="end"/>
          </w:r>
          <w:r w:rsidRPr="0040021E">
            <w:rPr>
              <w:rFonts w:ascii="Century Gothic" w:hAnsi="Century Gothic"/>
              <w:sz w:val="18"/>
              <w:szCs w:val="18"/>
              <w:lang w:val="es-MX"/>
            </w:rPr>
            <w:t xml:space="preserve"> de </w:t>
          </w:r>
          <w:r w:rsidRPr="0040021E">
            <w:rPr>
              <w:rFonts w:ascii="Century Gothic" w:hAnsi="Century Gothic"/>
              <w:sz w:val="18"/>
              <w:szCs w:val="18"/>
              <w:lang w:val="es-MX"/>
            </w:rPr>
            <w:fldChar w:fldCharType="begin"/>
          </w:r>
          <w:r w:rsidRPr="0040021E">
            <w:rPr>
              <w:rFonts w:ascii="Century Gothic" w:hAnsi="Century Gothic"/>
              <w:sz w:val="18"/>
              <w:szCs w:val="18"/>
              <w:lang w:val="es-MX"/>
            </w:rPr>
            <w:instrText>NUMPAGES</w:instrText>
          </w:r>
          <w:r w:rsidRPr="0040021E">
            <w:rPr>
              <w:rFonts w:ascii="Century Gothic" w:hAnsi="Century Gothic"/>
              <w:sz w:val="18"/>
              <w:szCs w:val="18"/>
              <w:lang w:val="es-MX"/>
            </w:rPr>
            <w:fldChar w:fldCharType="separate"/>
          </w:r>
          <w:r w:rsidR="00C50461">
            <w:rPr>
              <w:rFonts w:ascii="Century Gothic" w:hAnsi="Century Gothic"/>
              <w:noProof/>
              <w:sz w:val="18"/>
              <w:szCs w:val="18"/>
              <w:lang w:val="es-MX"/>
            </w:rPr>
            <w:t>1</w:t>
          </w:r>
          <w:r w:rsidRPr="0040021E">
            <w:rPr>
              <w:rFonts w:ascii="Century Gothic" w:hAnsi="Century Gothic"/>
              <w:sz w:val="18"/>
              <w:szCs w:val="18"/>
            </w:rPr>
            <w:fldChar w:fldCharType="end"/>
          </w:r>
        </w:p>
      </w:tc>
    </w:tr>
  </w:tbl>
  <w:p w14:paraId="169C0344" w14:textId="77777777" w:rsidR="005F016E" w:rsidRDefault="005F016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F61E6"/>
    <w:multiLevelType w:val="hybridMultilevel"/>
    <w:tmpl w:val="F5FA1F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E200BD4"/>
    <w:multiLevelType w:val="hybridMultilevel"/>
    <w:tmpl w:val="F91C7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980"/>
    <w:rsid w:val="000A6A46"/>
    <w:rsid w:val="00280C7D"/>
    <w:rsid w:val="00330757"/>
    <w:rsid w:val="00484380"/>
    <w:rsid w:val="005129C8"/>
    <w:rsid w:val="005137F5"/>
    <w:rsid w:val="00577A07"/>
    <w:rsid w:val="005F016E"/>
    <w:rsid w:val="006E2109"/>
    <w:rsid w:val="00741E90"/>
    <w:rsid w:val="007A1A92"/>
    <w:rsid w:val="007E2980"/>
    <w:rsid w:val="008A5135"/>
    <w:rsid w:val="008E3DB6"/>
    <w:rsid w:val="009638F3"/>
    <w:rsid w:val="009A3A3D"/>
    <w:rsid w:val="009F73AC"/>
    <w:rsid w:val="00AF6D28"/>
    <w:rsid w:val="00B173BC"/>
    <w:rsid w:val="00BB68CB"/>
    <w:rsid w:val="00BF0A93"/>
    <w:rsid w:val="00C504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D143E4"/>
  <w15:chartTrackingRefBased/>
  <w15:docId w15:val="{BD9D7A60-56BE-4D1E-92E5-825E4219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980"/>
    <w:pPr>
      <w:ind w:left="720"/>
      <w:contextualSpacing/>
    </w:pPr>
  </w:style>
  <w:style w:type="paragraph" w:styleId="Textoindependiente">
    <w:name w:val="Body Text"/>
    <w:basedOn w:val="Normal"/>
    <w:link w:val="TextoindependienteCar"/>
    <w:uiPriority w:val="1"/>
    <w:qFormat/>
    <w:rsid w:val="005137F5"/>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5137F5"/>
    <w:rPr>
      <w:rFonts w:ascii="Arial MT" w:eastAsia="Arial MT" w:hAnsi="Arial MT" w:cs="Arial MT"/>
      <w:kern w:val="0"/>
      <w:sz w:val="24"/>
      <w:szCs w:val="24"/>
      <w:lang w:val="es-ES"/>
      <w14:ligatures w14:val="none"/>
    </w:rPr>
  </w:style>
  <w:style w:type="paragraph" w:styleId="Encabezado">
    <w:name w:val="header"/>
    <w:basedOn w:val="Normal"/>
    <w:link w:val="EncabezadoCar"/>
    <w:unhideWhenUsed/>
    <w:rsid w:val="005F016E"/>
    <w:pPr>
      <w:tabs>
        <w:tab w:val="center" w:pos="4419"/>
        <w:tab w:val="right" w:pos="8838"/>
      </w:tabs>
      <w:spacing w:after="0" w:line="240" w:lineRule="auto"/>
    </w:pPr>
  </w:style>
  <w:style w:type="character" w:customStyle="1" w:styleId="EncabezadoCar">
    <w:name w:val="Encabezado Car"/>
    <w:basedOn w:val="Fuentedeprrafopredeter"/>
    <w:link w:val="Encabezado"/>
    <w:rsid w:val="005F016E"/>
  </w:style>
  <w:style w:type="paragraph" w:styleId="Piedepgina">
    <w:name w:val="footer"/>
    <w:basedOn w:val="Normal"/>
    <w:link w:val="PiedepginaCar"/>
    <w:uiPriority w:val="99"/>
    <w:unhideWhenUsed/>
    <w:rsid w:val="005F01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016E"/>
  </w:style>
  <w:style w:type="table" w:styleId="Tablaconcuadrcula">
    <w:name w:val="Table Grid"/>
    <w:basedOn w:val="Tablanormal"/>
    <w:uiPriority w:val="59"/>
    <w:rsid w:val="005F016E"/>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808730">
      <w:bodyDiv w:val="1"/>
      <w:marLeft w:val="0"/>
      <w:marRight w:val="0"/>
      <w:marTop w:val="0"/>
      <w:marBottom w:val="0"/>
      <w:divBdr>
        <w:top w:val="none" w:sz="0" w:space="0" w:color="auto"/>
        <w:left w:val="none" w:sz="0" w:space="0" w:color="auto"/>
        <w:bottom w:val="none" w:sz="0" w:space="0" w:color="auto"/>
        <w:right w:val="none" w:sz="0" w:space="0" w:color="auto"/>
      </w:divBdr>
    </w:div>
    <w:div w:id="1303584750">
      <w:bodyDiv w:val="1"/>
      <w:marLeft w:val="0"/>
      <w:marRight w:val="0"/>
      <w:marTop w:val="0"/>
      <w:marBottom w:val="0"/>
      <w:divBdr>
        <w:top w:val="none" w:sz="0" w:space="0" w:color="auto"/>
        <w:left w:val="none" w:sz="0" w:space="0" w:color="auto"/>
        <w:bottom w:val="none" w:sz="0" w:space="0" w:color="auto"/>
        <w:right w:val="none" w:sz="0" w:space="0" w:color="auto"/>
      </w:divBdr>
      <w:divsChild>
        <w:div w:id="1335258574">
          <w:marLeft w:val="0"/>
          <w:marRight w:val="0"/>
          <w:marTop w:val="0"/>
          <w:marBottom w:val="0"/>
          <w:divBdr>
            <w:top w:val="none" w:sz="0" w:space="0" w:color="auto"/>
            <w:left w:val="none" w:sz="0" w:space="0" w:color="auto"/>
            <w:bottom w:val="none" w:sz="0" w:space="0" w:color="auto"/>
            <w:right w:val="none" w:sz="0" w:space="0" w:color="auto"/>
          </w:divBdr>
          <w:divsChild>
            <w:div w:id="537546749">
              <w:marLeft w:val="0"/>
              <w:marRight w:val="0"/>
              <w:marTop w:val="0"/>
              <w:marBottom w:val="0"/>
              <w:divBdr>
                <w:top w:val="none" w:sz="0" w:space="0" w:color="auto"/>
                <w:left w:val="none" w:sz="0" w:space="0" w:color="auto"/>
                <w:bottom w:val="none" w:sz="0" w:space="0" w:color="auto"/>
                <w:right w:val="none" w:sz="0" w:space="0" w:color="auto"/>
              </w:divBdr>
            </w:div>
          </w:divsChild>
        </w:div>
        <w:div w:id="1486822931">
          <w:marLeft w:val="0"/>
          <w:marRight w:val="0"/>
          <w:marTop w:val="0"/>
          <w:marBottom w:val="0"/>
          <w:divBdr>
            <w:top w:val="none" w:sz="0" w:space="0" w:color="auto"/>
            <w:left w:val="none" w:sz="0" w:space="0" w:color="auto"/>
            <w:bottom w:val="none" w:sz="0" w:space="0" w:color="auto"/>
            <w:right w:val="none" w:sz="0" w:space="0" w:color="auto"/>
          </w:divBdr>
          <w:divsChild>
            <w:div w:id="813645744">
              <w:marLeft w:val="0"/>
              <w:marRight w:val="0"/>
              <w:marTop w:val="0"/>
              <w:marBottom w:val="0"/>
              <w:divBdr>
                <w:top w:val="none" w:sz="0" w:space="0" w:color="auto"/>
                <w:left w:val="none" w:sz="0" w:space="0" w:color="auto"/>
                <w:bottom w:val="none" w:sz="0" w:space="0" w:color="auto"/>
                <w:right w:val="none" w:sz="0" w:space="0" w:color="auto"/>
              </w:divBdr>
            </w:div>
          </w:divsChild>
        </w:div>
        <w:div w:id="1254626708">
          <w:marLeft w:val="0"/>
          <w:marRight w:val="0"/>
          <w:marTop w:val="0"/>
          <w:marBottom w:val="0"/>
          <w:divBdr>
            <w:top w:val="none" w:sz="0" w:space="0" w:color="auto"/>
            <w:left w:val="none" w:sz="0" w:space="0" w:color="auto"/>
            <w:bottom w:val="none" w:sz="0" w:space="0" w:color="auto"/>
            <w:right w:val="none" w:sz="0" w:space="0" w:color="auto"/>
          </w:divBdr>
          <w:divsChild>
            <w:div w:id="310214306">
              <w:marLeft w:val="0"/>
              <w:marRight w:val="0"/>
              <w:marTop w:val="0"/>
              <w:marBottom w:val="0"/>
              <w:divBdr>
                <w:top w:val="none" w:sz="0" w:space="0" w:color="auto"/>
                <w:left w:val="none" w:sz="0" w:space="0" w:color="auto"/>
                <w:bottom w:val="none" w:sz="0" w:space="0" w:color="auto"/>
                <w:right w:val="none" w:sz="0" w:space="0" w:color="auto"/>
              </w:divBdr>
              <w:divsChild>
                <w:div w:id="577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379</Words>
  <Characters>2086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Alexander Patiño Bravo</dc:creator>
  <cp:keywords/>
  <dc:description/>
  <cp:lastModifiedBy>IPS OBRERO</cp:lastModifiedBy>
  <cp:revision>4</cp:revision>
  <cp:lastPrinted>2025-05-28T15:51:00Z</cp:lastPrinted>
  <dcterms:created xsi:type="dcterms:W3CDTF">2025-05-05T14:39:00Z</dcterms:created>
  <dcterms:modified xsi:type="dcterms:W3CDTF">2025-05-28T15:54:00Z</dcterms:modified>
</cp:coreProperties>
</file>