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AFF5" w14:textId="77777777" w:rsidR="00FE515F" w:rsidRDefault="00FE515F" w:rsidP="00942241">
      <w:pPr>
        <w:pStyle w:val="Ttulo1"/>
        <w:rPr>
          <w:szCs w:val="22"/>
          <w:lang w:eastAsia="es-CO"/>
        </w:rPr>
      </w:pPr>
    </w:p>
    <w:p w14:paraId="7D0BA5AD" w14:textId="77777777" w:rsidR="00FE515F" w:rsidRDefault="00FE515F" w:rsidP="00942241">
      <w:pPr>
        <w:pStyle w:val="Ttulo1"/>
        <w:rPr>
          <w:szCs w:val="22"/>
          <w:lang w:eastAsia="es-CO"/>
        </w:rPr>
      </w:pPr>
    </w:p>
    <w:p w14:paraId="1E8AAAC0" w14:textId="77777777" w:rsidR="00FE515F" w:rsidRDefault="00FE515F" w:rsidP="00942241">
      <w:pPr>
        <w:pStyle w:val="Ttulo1"/>
        <w:rPr>
          <w:szCs w:val="22"/>
          <w:lang w:eastAsia="es-CO"/>
        </w:rPr>
      </w:pPr>
    </w:p>
    <w:p w14:paraId="52108B25" w14:textId="77777777" w:rsidR="00FE515F" w:rsidRDefault="00FE515F" w:rsidP="00942241">
      <w:pPr>
        <w:pStyle w:val="Ttulo1"/>
        <w:rPr>
          <w:szCs w:val="22"/>
          <w:lang w:eastAsia="es-CO"/>
        </w:rPr>
      </w:pPr>
    </w:p>
    <w:p w14:paraId="094EAE14" w14:textId="77777777" w:rsidR="00FE515F" w:rsidRDefault="00FE515F" w:rsidP="00942241">
      <w:pPr>
        <w:pStyle w:val="Ttulo1"/>
        <w:rPr>
          <w:szCs w:val="22"/>
          <w:lang w:eastAsia="es-CO"/>
        </w:rPr>
      </w:pPr>
    </w:p>
    <w:p w14:paraId="7B3DB5ED" w14:textId="77777777" w:rsidR="00FE515F" w:rsidRDefault="00FE515F" w:rsidP="00942241">
      <w:pPr>
        <w:pStyle w:val="Ttulo1"/>
        <w:rPr>
          <w:szCs w:val="22"/>
          <w:lang w:eastAsia="es-CO"/>
        </w:rPr>
      </w:pPr>
    </w:p>
    <w:p w14:paraId="0A84623F" w14:textId="77777777" w:rsidR="00FE515F" w:rsidRDefault="00FE515F" w:rsidP="00942241">
      <w:pPr>
        <w:pStyle w:val="Ttulo1"/>
        <w:rPr>
          <w:szCs w:val="22"/>
          <w:lang w:eastAsia="es-CO"/>
        </w:rPr>
      </w:pPr>
    </w:p>
    <w:p w14:paraId="575E6C3E" w14:textId="77777777" w:rsidR="00FE515F" w:rsidRDefault="00FE515F" w:rsidP="00942241">
      <w:pPr>
        <w:pStyle w:val="Ttulo1"/>
        <w:rPr>
          <w:szCs w:val="22"/>
          <w:lang w:eastAsia="es-CO"/>
        </w:rPr>
      </w:pPr>
    </w:p>
    <w:p w14:paraId="1E2603EB" w14:textId="77777777" w:rsidR="00FE515F" w:rsidRDefault="00FE515F" w:rsidP="00942241">
      <w:pPr>
        <w:pStyle w:val="Ttulo1"/>
        <w:rPr>
          <w:szCs w:val="22"/>
          <w:lang w:eastAsia="es-CO"/>
        </w:rPr>
      </w:pPr>
    </w:p>
    <w:p w14:paraId="118BD191" w14:textId="77777777" w:rsidR="00FE515F" w:rsidRDefault="00FE515F" w:rsidP="00942241">
      <w:pPr>
        <w:pStyle w:val="Ttulo1"/>
        <w:rPr>
          <w:szCs w:val="22"/>
          <w:lang w:eastAsia="es-CO"/>
        </w:rPr>
      </w:pPr>
    </w:p>
    <w:p w14:paraId="04277FE2" w14:textId="77777777" w:rsidR="00FE515F" w:rsidRDefault="00FE515F" w:rsidP="00942241">
      <w:pPr>
        <w:pStyle w:val="Ttulo1"/>
        <w:rPr>
          <w:szCs w:val="22"/>
          <w:lang w:eastAsia="es-CO"/>
        </w:rPr>
      </w:pPr>
    </w:p>
    <w:p w14:paraId="05354CEE" w14:textId="77777777" w:rsidR="00FE515F" w:rsidRDefault="00FE515F" w:rsidP="00942241">
      <w:pPr>
        <w:pStyle w:val="Ttulo1"/>
        <w:rPr>
          <w:szCs w:val="22"/>
          <w:lang w:eastAsia="es-CO"/>
        </w:rPr>
      </w:pPr>
    </w:p>
    <w:p w14:paraId="4AA55EF7" w14:textId="77777777" w:rsidR="00FE515F" w:rsidRDefault="00FE515F" w:rsidP="00942241">
      <w:pPr>
        <w:pStyle w:val="Ttulo1"/>
        <w:rPr>
          <w:szCs w:val="22"/>
          <w:lang w:eastAsia="es-CO"/>
        </w:rPr>
      </w:pPr>
    </w:p>
    <w:p w14:paraId="3A196961" w14:textId="77777777" w:rsidR="00FE515F" w:rsidRDefault="00FE515F" w:rsidP="00942241">
      <w:pPr>
        <w:pStyle w:val="Ttulo1"/>
        <w:rPr>
          <w:szCs w:val="22"/>
          <w:lang w:eastAsia="es-CO"/>
        </w:rPr>
      </w:pPr>
    </w:p>
    <w:p w14:paraId="3CF0B025" w14:textId="77777777" w:rsidR="00FE515F" w:rsidRDefault="00FE515F" w:rsidP="00942241">
      <w:pPr>
        <w:pStyle w:val="Ttulo1"/>
        <w:rPr>
          <w:szCs w:val="22"/>
          <w:lang w:eastAsia="es-CO"/>
        </w:rPr>
      </w:pPr>
    </w:p>
    <w:tbl>
      <w:tblPr>
        <w:tblW w:w="9750" w:type="dxa"/>
        <w:jc w:val="center"/>
        <w:tblBorders>
          <w:top w:val="single" w:sz="4" w:space="0" w:color="auto"/>
          <w:left w:val="single" w:sz="4" w:space="0" w:color="auto"/>
          <w:bottom w:val="single" w:sz="4" w:space="0" w:color="auto"/>
          <w:right w:val="single" w:sz="4" w:space="0" w:color="auto"/>
        </w:tblBorders>
        <w:tblLayout w:type="fixed"/>
        <w:tblLook w:val="0400" w:firstRow="0" w:lastRow="0" w:firstColumn="0" w:lastColumn="0" w:noHBand="0" w:noVBand="1"/>
      </w:tblPr>
      <w:tblGrid>
        <w:gridCol w:w="2438"/>
        <w:gridCol w:w="2438"/>
        <w:gridCol w:w="2437"/>
        <w:gridCol w:w="2437"/>
      </w:tblGrid>
      <w:tr w:rsidR="00FE515F" w:rsidRPr="00FE515F" w14:paraId="3A833370" w14:textId="77777777" w:rsidTr="007924B6">
        <w:trPr>
          <w:trHeight w:val="270"/>
          <w:jc w:val="center"/>
        </w:trPr>
        <w:tc>
          <w:tcPr>
            <w:tcW w:w="2438" w:type="dxa"/>
            <w:tcBorders>
              <w:top w:val="single" w:sz="4" w:space="0" w:color="auto"/>
              <w:bottom w:val="nil"/>
              <w:right w:val="single" w:sz="4" w:space="0" w:color="auto"/>
            </w:tcBorders>
            <w:vAlign w:val="center"/>
            <w:hideMark/>
          </w:tcPr>
          <w:p w14:paraId="2353F1C5" w14:textId="77777777" w:rsidR="00FE515F" w:rsidRPr="00FE515F" w:rsidRDefault="00FE515F" w:rsidP="007924B6">
            <w:pPr>
              <w:jc w:val="both"/>
              <w:rPr>
                <w:rFonts w:ascii="Century Gothic" w:eastAsia="Century Gothic" w:hAnsi="Century Gothic" w:cs="Century Gothic"/>
                <w:b/>
                <w:sz w:val="18"/>
                <w:szCs w:val="18"/>
                <w:lang w:val="es-CO"/>
              </w:rPr>
            </w:pPr>
            <w:r w:rsidRPr="00FE515F">
              <w:rPr>
                <w:rFonts w:ascii="Century Gothic" w:eastAsia="Century Gothic" w:hAnsi="Century Gothic" w:cs="Century Gothic"/>
                <w:b/>
                <w:sz w:val="18"/>
                <w:szCs w:val="18"/>
                <w:lang w:val="es-CO"/>
              </w:rPr>
              <w:t>Elaboración:</w:t>
            </w:r>
          </w:p>
        </w:tc>
        <w:tc>
          <w:tcPr>
            <w:tcW w:w="2438" w:type="dxa"/>
            <w:tcBorders>
              <w:top w:val="single" w:sz="4" w:space="0" w:color="auto"/>
              <w:left w:val="single" w:sz="4" w:space="0" w:color="auto"/>
              <w:bottom w:val="nil"/>
              <w:right w:val="single" w:sz="4" w:space="0" w:color="auto"/>
            </w:tcBorders>
            <w:vAlign w:val="center"/>
            <w:hideMark/>
          </w:tcPr>
          <w:p w14:paraId="666EC6A4" w14:textId="77777777" w:rsidR="00FE515F" w:rsidRPr="00FE515F" w:rsidRDefault="00FE515F" w:rsidP="007924B6">
            <w:pPr>
              <w:jc w:val="both"/>
              <w:rPr>
                <w:rFonts w:ascii="Century Gothic" w:eastAsia="Century Gothic" w:hAnsi="Century Gothic" w:cs="Century Gothic"/>
                <w:b/>
                <w:sz w:val="18"/>
                <w:szCs w:val="18"/>
                <w:lang w:val="es-CO"/>
              </w:rPr>
            </w:pPr>
            <w:r w:rsidRPr="00FE515F">
              <w:rPr>
                <w:rFonts w:ascii="Century Gothic" w:eastAsia="Century Gothic" w:hAnsi="Century Gothic" w:cs="Century Gothic"/>
                <w:b/>
                <w:sz w:val="18"/>
                <w:szCs w:val="18"/>
                <w:lang w:val="es-CO"/>
              </w:rPr>
              <w:t>Revisión Técnico/Científica:</w:t>
            </w:r>
          </w:p>
        </w:tc>
        <w:tc>
          <w:tcPr>
            <w:tcW w:w="2437" w:type="dxa"/>
            <w:tcBorders>
              <w:top w:val="single" w:sz="4" w:space="0" w:color="auto"/>
              <w:left w:val="single" w:sz="4" w:space="0" w:color="auto"/>
              <w:bottom w:val="nil"/>
              <w:right w:val="single" w:sz="4" w:space="0" w:color="auto"/>
            </w:tcBorders>
            <w:vAlign w:val="center"/>
            <w:hideMark/>
          </w:tcPr>
          <w:p w14:paraId="42C764A2" w14:textId="77777777" w:rsidR="00FE515F" w:rsidRPr="00FE515F" w:rsidRDefault="00FE515F" w:rsidP="007924B6">
            <w:pPr>
              <w:jc w:val="both"/>
              <w:rPr>
                <w:rFonts w:ascii="Century Gothic" w:eastAsia="Century Gothic" w:hAnsi="Century Gothic" w:cs="Century Gothic"/>
                <w:b/>
                <w:sz w:val="18"/>
                <w:szCs w:val="18"/>
                <w:lang w:val="es-CO"/>
              </w:rPr>
            </w:pPr>
            <w:r w:rsidRPr="00FE515F">
              <w:rPr>
                <w:rFonts w:ascii="Century Gothic" w:eastAsia="Century Gothic" w:hAnsi="Century Gothic" w:cs="Century Gothic"/>
                <w:b/>
                <w:sz w:val="18"/>
                <w:szCs w:val="18"/>
                <w:lang w:val="es-CO"/>
              </w:rPr>
              <w:t>Revisión Calidad:</w:t>
            </w:r>
          </w:p>
        </w:tc>
        <w:tc>
          <w:tcPr>
            <w:tcW w:w="2437" w:type="dxa"/>
            <w:tcBorders>
              <w:left w:val="single" w:sz="4" w:space="0" w:color="auto"/>
            </w:tcBorders>
            <w:vAlign w:val="center"/>
            <w:hideMark/>
          </w:tcPr>
          <w:p w14:paraId="766C79A2" w14:textId="77777777" w:rsidR="00FE515F" w:rsidRPr="00FE515F" w:rsidRDefault="00FE515F" w:rsidP="007924B6">
            <w:pPr>
              <w:jc w:val="both"/>
              <w:rPr>
                <w:rFonts w:ascii="Century Gothic" w:eastAsia="Century Gothic" w:hAnsi="Century Gothic" w:cs="Century Gothic"/>
                <w:b/>
                <w:sz w:val="18"/>
                <w:szCs w:val="18"/>
                <w:lang w:val="es-CO"/>
              </w:rPr>
            </w:pPr>
            <w:r w:rsidRPr="00FE515F">
              <w:rPr>
                <w:rFonts w:ascii="Century Gothic" w:eastAsia="Century Gothic" w:hAnsi="Century Gothic" w:cs="Century Gothic"/>
                <w:b/>
                <w:sz w:val="18"/>
                <w:szCs w:val="18"/>
                <w:lang w:val="es-CO"/>
              </w:rPr>
              <w:t>Aprobación:</w:t>
            </w:r>
          </w:p>
        </w:tc>
      </w:tr>
      <w:tr w:rsidR="00FE515F" w:rsidRPr="00FE515F" w14:paraId="4288C7BA" w14:textId="77777777" w:rsidTr="007924B6">
        <w:trPr>
          <w:trHeight w:val="510"/>
          <w:jc w:val="center"/>
        </w:trPr>
        <w:tc>
          <w:tcPr>
            <w:tcW w:w="2438" w:type="dxa"/>
            <w:tcBorders>
              <w:top w:val="nil"/>
              <w:bottom w:val="nil"/>
              <w:right w:val="single" w:sz="4" w:space="0" w:color="auto"/>
            </w:tcBorders>
            <w:vAlign w:val="center"/>
          </w:tcPr>
          <w:p w14:paraId="565925A1" w14:textId="77777777" w:rsidR="00FE515F" w:rsidRPr="00FE515F" w:rsidRDefault="00FE515F" w:rsidP="007924B6">
            <w:pPr>
              <w:jc w:val="both"/>
              <w:rPr>
                <w:rFonts w:ascii="Century Gothic" w:eastAsia="Century Gothic" w:hAnsi="Century Gothic" w:cs="Century Gothic"/>
                <w:b/>
                <w:sz w:val="18"/>
                <w:szCs w:val="18"/>
                <w:lang w:val="es-CO"/>
              </w:rPr>
            </w:pPr>
          </w:p>
        </w:tc>
        <w:tc>
          <w:tcPr>
            <w:tcW w:w="2438" w:type="dxa"/>
            <w:tcBorders>
              <w:top w:val="nil"/>
              <w:left w:val="single" w:sz="4" w:space="0" w:color="auto"/>
              <w:bottom w:val="nil"/>
              <w:right w:val="single" w:sz="4" w:space="0" w:color="auto"/>
            </w:tcBorders>
            <w:vAlign w:val="center"/>
          </w:tcPr>
          <w:p w14:paraId="35057871" w14:textId="77777777" w:rsidR="00FE515F" w:rsidRPr="00FE515F" w:rsidRDefault="00FE515F" w:rsidP="007924B6">
            <w:pPr>
              <w:jc w:val="both"/>
              <w:rPr>
                <w:rFonts w:ascii="Century Gothic" w:eastAsia="Century Gothic" w:hAnsi="Century Gothic" w:cs="Century Gothic"/>
                <w:b/>
                <w:sz w:val="18"/>
                <w:szCs w:val="18"/>
                <w:lang w:val="es-CO"/>
              </w:rPr>
            </w:pPr>
          </w:p>
        </w:tc>
        <w:tc>
          <w:tcPr>
            <w:tcW w:w="2437" w:type="dxa"/>
            <w:tcBorders>
              <w:top w:val="nil"/>
              <w:left w:val="single" w:sz="4" w:space="0" w:color="auto"/>
              <w:bottom w:val="nil"/>
              <w:right w:val="single" w:sz="4" w:space="0" w:color="auto"/>
            </w:tcBorders>
            <w:vAlign w:val="center"/>
          </w:tcPr>
          <w:p w14:paraId="2DEA508F" w14:textId="77777777" w:rsidR="00FE515F" w:rsidRPr="00FE515F" w:rsidRDefault="00FE515F" w:rsidP="007924B6">
            <w:pPr>
              <w:jc w:val="both"/>
              <w:rPr>
                <w:rFonts w:ascii="Century Gothic" w:eastAsia="Century Gothic" w:hAnsi="Century Gothic" w:cs="Century Gothic"/>
                <w:b/>
                <w:sz w:val="18"/>
                <w:szCs w:val="18"/>
                <w:lang w:val="es-CO"/>
              </w:rPr>
            </w:pPr>
          </w:p>
        </w:tc>
        <w:tc>
          <w:tcPr>
            <w:tcW w:w="2437" w:type="dxa"/>
            <w:tcBorders>
              <w:left w:val="single" w:sz="4" w:space="0" w:color="auto"/>
            </w:tcBorders>
            <w:vAlign w:val="center"/>
          </w:tcPr>
          <w:p w14:paraId="112138B2" w14:textId="77777777" w:rsidR="00FE515F" w:rsidRPr="00FE515F" w:rsidRDefault="00FE515F" w:rsidP="007924B6">
            <w:pPr>
              <w:jc w:val="both"/>
              <w:rPr>
                <w:rFonts w:ascii="Century Gothic" w:eastAsia="Century Gothic" w:hAnsi="Century Gothic" w:cs="Century Gothic"/>
                <w:b/>
                <w:sz w:val="18"/>
                <w:szCs w:val="18"/>
                <w:lang w:val="es-CO"/>
              </w:rPr>
            </w:pPr>
          </w:p>
        </w:tc>
      </w:tr>
      <w:tr w:rsidR="00FE515F" w:rsidRPr="00FE515F" w14:paraId="52B6E470" w14:textId="77777777" w:rsidTr="007924B6">
        <w:trPr>
          <w:trHeight w:val="340"/>
          <w:jc w:val="center"/>
        </w:trPr>
        <w:tc>
          <w:tcPr>
            <w:tcW w:w="2438" w:type="dxa"/>
            <w:tcBorders>
              <w:top w:val="nil"/>
              <w:bottom w:val="nil"/>
              <w:right w:val="single" w:sz="4" w:space="0" w:color="auto"/>
            </w:tcBorders>
            <w:vAlign w:val="center"/>
          </w:tcPr>
          <w:p w14:paraId="1462F3DA" w14:textId="77777777" w:rsidR="00FE515F" w:rsidRPr="00FE515F" w:rsidRDefault="00FE515F" w:rsidP="007924B6">
            <w:pPr>
              <w:spacing w:after="0"/>
              <w:jc w:val="center"/>
              <w:rPr>
                <w:rFonts w:ascii="Century Gothic" w:eastAsia="Century Gothic" w:hAnsi="Century Gothic" w:cs="Century Gothic"/>
                <w:b/>
                <w:sz w:val="18"/>
                <w:szCs w:val="18"/>
                <w:lang w:val="es-CO"/>
              </w:rPr>
            </w:pPr>
            <w:r w:rsidRPr="00FE515F">
              <w:rPr>
                <w:rFonts w:ascii="Century Gothic" w:eastAsia="Century Gothic" w:hAnsi="Century Gothic" w:cs="Century Gothic"/>
                <w:b/>
                <w:sz w:val="18"/>
                <w:szCs w:val="18"/>
                <w:lang w:val="es-CO"/>
              </w:rPr>
              <w:t>CAROLINA CABRERA CÓRDOBA</w:t>
            </w:r>
          </w:p>
          <w:p w14:paraId="3331BE66" w14:textId="77777777" w:rsidR="00FE515F" w:rsidRPr="00FE515F" w:rsidRDefault="00FE515F" w:rsidP="007924B6">
            <w:pPr>
              <w:spacing w:after="0"/>
              <w:jc w:val="center"/>
              <w:rPr>
                <w:rFonts w:ascii="Century Gothic" w:eastAsia="Century Gothic" w:hAnsi="Century Gothic" w:cs="Century Gothic"/>
                <w:b/>
                <w:sz w:val="18"/>
                <w:szCs w:val="18"/>
                <w:lang w:val="es-CO"/>
              </w:rPr>
            </w:pPr>
          </w:p>
          <w:p w14:paraId="16621E7B" w14:textId="77777777" w:rsidR="00FE515F" w:rsidRPr="00FE515F" w:rsidRDefault="00FE515F" w:rsidP="007924B6">
            <w:pPr>
              <w:spacing w:after="0"/>
              <w:jc w:val="center"/>
              <w:rPr>
                <w:rFonts w:ascii="Century Gothic" w:eastAsia="Century Gothic" w:hAnsi="Century Gothic" w:cs="Century Gothic"/>
                <w:bCs/>
                <w:sz w:val="18"/>
                <w:szCs w:val="18"/>
                <w:lang w:val="es-CO"/>
              </w:rPr>
            </w:pPr>
            <w:r w:rsidRPr="00FE515F">
              <w:rPr>
                <w:rFonts w:ascii="Century Gothic" w:eastAsia="Century Gothic" w:hAnsi="Century Gothic" w:cs="Century Gothic"/>
                <w:bCs/>
                <w:sz w:val="18"/>
                <w:szCs w:val="18"/>
                <w:lang w:val="es-CO"/>
              </w:rPr>
              <w:t>Coordinadora Administrativa</w:t>
            </w:r>
          </w:p>
        </w:tc>
        <w:tc>
          <w:tcPr>
            <w:tcW w:w="2438" w:type="dxa"/>
            <w:tcBorders>
              <w:top w:val="nil"/>
              <w:left w:val="single" w:sz="4" w:space="0" w:color="auto"/>
              <w:bottom w:val="nil"/>
              <w:right w:val="single" w:sz="4" w:space="0" w:color="auto"/>
            </w:tcBorders>
            <w:vAlign w:val="center"/>
          </w:tcPr>
          <w:p w14:paraId="4D381CD7" w14:textId="77777777" w:rsidR="00FE515F" w:rsidRPr="00FE515F" w:rsidRDefault="00FE515F" w:rsidP="007924B6">
            <w:pPr>
              <w:jc w:val="both"/>
              <w:rPr>
                <w:rFonts w:ascii="Century Gothic" w:eastAsia="Century Gothic" w:hAnsi="Century Gothic" w:cs="Century Gothic"/>
                <w:b/>
                <w:sz w:val="18"/>
                <w:szCs w:val="18"/>
                <w:lang w:val="es-CO"/>
              </w:rPr>
            </w:pPr>
          </w:p>
        </w:tc>
        <w:tc>
          <w:tcPr>
            <w:tcW w:w="2437" w:type="dxa"/>
            <w:tcBorders>
              <w:top w:val="nil"/>
              <w:left w:val="single" w:sz="4" w:space="0" w:color="auto"/>
              <w:bottom w:val="nil"/>
              <w:right w:val="single" w:sz="4" w:space="0" w:color="auto"/>
            </w:tcBorders>
            <w:vAlign w:val="center"/>
          </w:tcPr>
          <w:p w14:paraId="7CB73ADE" w14:textId="77777777" w:rsidR="00FE515F" w:rsidRPr="00FE515F" w:rsidRDefault="00FE515F" w:rsidP="007924B6">
            <w:pPr>
              <w:jc w:val="both"/>
              <w:rPr>
                <w:rFonts w:ascii="Century Gothic" w:eastAsia="Century Gothic" w:hAnsi="Century Gothic" w:cs="Century Gothic"/>
                <w:b/>
                <w:sz w:val="18"/>
                <w:szCs w:val="18"/>
                <w:lang w:val="es-CO"/>
              </w:rPr>
            </w:pPr>
          </w:p>
        </w:tc>
        <w:tc>
          <w:tcPr>
            <w:tcW w:w="2437" w:type="dxa"/>
            <w:tcBorders>
              <w:left w:val="single" w:sz="4" w:space="0" w:color="auto"/>
            </w:tcBorders>
            <w:vAlign w:val="center"/>
          </w:tcPr>
          <w:p w14:paraId="1C5A63E4" w14:textId="77777777" w:rsidR="00FE515F" w:rsidRPr="00FE515F" w:rsidRDefault="00FE515F" w:rsidP="007924B6">
            <w:pPr>
              <w:jc w:val="both"/>
              <w:rPr>
                <w:rFonts w:ascii="Century Gothic" w:eastAsia="Century Gothic" w:hAnsi="Century Gothic" w:cs="Century Gothic"/>
                <w:b/>
                <w:sz w:val="18"/>
                <w:szCs w:val="18"/>
                <w:lang w:val="es-CO"/>
              </w:rPr>
            </w:pPr>
          </w:p>
        </w:tc>
      </w:tr>
      <w:tr w:rsidR="00FE515F" w:rsidRPr="00FE515F" w14:paraId="1EFF410F" w14:textId="77777777" w:rsidTr="007924B6">
        <w:trPr>
          <w:trHeight w:val="340"/>
          <w:jc w:val="center"/>
        </w:trPr>
        <w:tc>
          <w:tcPr>
            <w:tcW w:w="2438" w:type="dxa"/>
            <w:tcBorders>
              <w:top w:val="nil"/>
              <w:bottom w:val="nil"/>
              <w:right w:val="single" w:sz="4" w:space="0" w:color="auto"/>
            </w:tcBorders>
            <w:vAlign w:val="center"/>
          </w:tcPr>
          <w:p w14:paraId="4D6688E2" w14:textId="77777777" w:rsidR="00FE515F" w:rsidRPr="00FE515F" w:rsidRDefault="00FE515F" w:rsidP="007924B6">
            <w:pPr>
              <w:jc w:val="center"/>
              <w:rPr>
                <w:rFonts w:ascii="Century Gothic" w:eastAsia="Century Gothic" w:hAnsi="Century Gothic" w:cs="Century Gothic"/>
                <w:b/>
                <w:sz w:val="18"/>
                <w:szCs w:val="18"/>
                <w:lang w:val="es-CO"/>
              </w:rPr>
            </w:pPr>
          </w:p>
        </w:tc>
        <w:tc>
          <w:tcPr>
            <w:tcW w:w="2438" w:type="dxa"/>
            <w:tcBorders>
              <w:top w:val="nil"/>
              <w:left w:val="single" w:sz="4" w:space="0" w:color="auto"/>
              <w:bottom w:val="nil"/>
              <w:right w:val="single" w:sz="4" w:space="0" w:color="auto"/>
            </w:tcBorders>
            <w:vAlign w:val="center"/>
          </w:tcPr>
          <w:p w14:paraId="719E2B07" w14:textId="77777777" w:rsidR="00FE515F" w:rsidRPr="00FE515F" w:rsidRDefault="00FE515F" w:rsidP="007924B6">
            <w:pPr>
              <w:jc w:val="both"/>
              <w:rPr>
                <w:rFonts w:ascii="Century Gothic" w:eastAsia="Century Gothic" w:hAnsi="Century Gothic" w:cs="Century Gothic"/>
                <w:b/>
                <w:sz w:val="18"/>
                <w:szCs w:val="18"/>
                <w:lang w:val="es-CO"/>
              </w:rPr>
            </w:pPr>
          </w:p>
        </w:tc>
        <w:tc>
          <w:tcPr>
            <w:tcW w:w="2437" w:type="dxa"/>
            <w:tcBorders>
              <w:top w:val="nil"/>
              <w:left w:val="single" w:sz="4" w:space="0" w:color="auto"/>
              <w:bottom w:val="nil"/>
              <w:right w:val="single" w:sz="4" w:space="0" w:color="auto"/>
            </w:tcBorders>
            <w:vAlign w:val="center"/>
          </w:tcPr>
          <w:p w14:paraId="5BE59F15" w14:textId="77777777" w:rsidR="00FE515F" w:rsidRPr="00FE515F" w:rsidRDefault="00FE515F" w:rsidP="007924B6">
            <w:pPr>
              <w:jc w:val="center"/>
              <w:rPr>
                <w:rFonts w:ascii="Century Gothic" w:eastAsia="Century Gothic" w:hAnsi="Century Gothic" w:cs="Century Gothic"/>
                <w:b/>
                <w:sz w:val="18"/>
                <w:szCs w:val="18"/>
                <w:lang w:val="es-CO"/>
              </w:rPr>
            </w:pPr>
          </w:p>
        </w:tc>
        <w:tc>
          <w:tcPr>
            <w:tcW w:w="2437" w:type="dxa"/>
            <w:tcBorders>
              <w:left w:val="single" w:sz="4" w:space="0" w:color="auto"/>
            </w:tcBorders>
            <w:vAlign w:val="center"/>
          </w:tcPr>
          <w:p w14:paraId="1314C611" w14:textId="77777777" w:rsidR="00FE515F" w:rsidRPr="00FE515F" w:rsidRDefault="00FE515F" w:rsidP="007924B6">
            <w:pPr>
              <w:jc w:val="center"/>
              <w:rPr>
                <w:rFonts w:ascii="Century Gothic" w:eastAsia="Century Gothic" w:hAnsi="Century Gothic" w:cs="Century Gothic"/>
                <w:b/>
                <w:sz w:val="18"/>
                <w:szCs w:val="18"/>
                <w:lang w:val="es-CO"/>
              </w:rPr>
            </w:pPr>
          </w:p>
        </w:tc>
      </w:tr>
      <w:tr w:rsidR="00FE515F" w:rsidRPr="00FE515F" w14:paraId="4C9E89A9" w14:textId="77777777" w:rsidTr="007924B6">
        <w:trPr>
          <w:trHeight w:val="227"/>
          <w:jc w:val="center"/>
        </w:trPr>
        <w:tc>
          <w:tcPr>
            <w:tcW w:w="2438" w:type="dxa"/>
            <w:tcBorders>
              <w:top w:val="nil"/>
              <w:bottom w:val="single" w:sz="4" w:space="0" w:color="auto"/>
              <w:right w:val="single" w:sz="4" w:space="0" w:color="auto"/>
            </w:tcBorders>
            <w:vAlign w:val="center"/>
            <w:hideMark/>
          </w:tcPr>
          <w:p w14:paraId="416FAFD8" w14:textId="77777777" w:rsidR="00FE515F" w:rsidRPr="00FE515F" w:rsidRDefault="00FE515F" w:rsidP="007924B6">
            <w:pPr>
              <w:jc w:val="center"/>
              <w:rPr>
                <w:rFonts w:ascii="Century Gothic" w:eastAsia="Century Gothic" w:hAnsi="Century Gothic" w:cs="Century Gothic"/>
                <w:b/>
                <w:sz w:val="18"/>
                <w:szCs w:val="18"/>
                <w:lang w:val="es-CO"/>
              </w:rPr>
            </w:pPr>
            <w:r w:rsidRPr="00FE515F">
              <w:rPr>
                <w:rFonts w:ascii="Century Gothic" w:eastAsia="Century Gothic" w:hAnsi="Century Gothic" w:cs="Century Gothic"/>
                <w:b/>
                <w:sz w:val="18"/>
                <w:szCs w:val="18"/>
                <w:lang w:val="es-CO"/>
              </w:rPr>
              <w:t>JOHANA CASTRO CÓRDOBA</w:t>
            </w:r>
          </w:p>
          <w:p w14:paraId="74B9D1AC" w14:textId="77777777" w:rsidR="00FE515F" w:rsidRPr="00FE515F" w:rsidRDefault="00FE515F" w:rsidP="007924B6">
            <w:pPr>
              <w:jc w:val="center"/>
              <w:rPr>
                <w:rFonts w:ascii="Century Gothic" w:eastAsia="Century Gothic" w:hAnsi="Century Gothic" w:cs="Century Gothic"/>
                <w:sz w:val="18"/>
                <w:szCs w:val="18"/>
                <w:lang w:val="es-CO"/>
              </w:rPr>
            </w:pPr>
            <w:r w:rsidRPr="00FE515F">
              <w:rPr>
                <w:rFonts w:ascii="Century Gothic" w:eastAsia="Century Gothic" w:hAnsi="Century Gothic" w:cs="Century Gothic"/>
                <w:sz w:val="18"/>
                <w:szCs w:val="18"/>
                <w:lang w:val="es-CO"/>
              </w:rPr>
              <w:t>Ingeniera Ambiental</w:t>
            </w:r>
          </w:p>
        </w:tc>
        <w:tc>
          <w:tcPr>
            <w:tcW w:w="2438" w:type="dxa"/>
            <w:tcBorders>
              <w:top w:val="nil"/>
              <w:left w:val="single" w:sz="4" w:space="0" w:color="auto"/>
              <w:bottom w:val="single" w:sz="4" w:space="0" w:color="auto"/>
              <w:right w:val="single" w:sz="4" w:space="0" w:color="auto"/>
            </w:tcBorders>
            <w:vAlign w:val="center"/>
            <w:hideMark/>
          </w:tcPr>
          <w:p w14:paraId="17ADBC62" w14:textId="77777777" w:rsidR="00FE515F" w:rsidRPr="00FE515F" w:rsidRDefault="00FE515F" w:rsidP="007924B6">
            <w:pPr>
              <w:jc w:val="center"/>
              <w:rPr>
                <w:rFonts w:ascii="Century Gothic" w:eastAsia="Century Gothic" w:hAnsi="Century Gothic" w:cs="Century Gothic"/>
                <w:b/>
                <w:bCs/>
                <w:sz w:val="18"/>
                <w:szCs w:val="18"/>
                <w:lang w:val="es-CO"/>
              </w:rPr>
            </w:pPr>
            <w:r w:rsidRPr="00FE515F">
              <w:rPr>
                <w:rFonts w:ascii="Century Gothic" w:eastAsia="Century Gothic" w:hAnsi="Century Gothic" w:cs="Century Gothic"/>
                <w:b/>
                <w:bCs/>
                <w:sz w:val="18"/>
                <w:szCs w:val="18"/>
                <w:lang w:val="es-CO"/>
              </w:rPr>
              <w:t>JUAN MANUEL FUERTES</w:t>
            </w:r>
          </w:p>
          <w:p w14:paraId="7F20A9AE" w14:textId="77777777" w:rsidR="00FE515F" w:rsidRPr="00FE515F" w:rsidRDefault="00FE515F" w:rsidP="007924B6">
            <w:pPr>
              <w:jc w:val="center"/>
              <w:rPr>
                <w:rFonts w:ascii="Century Gothic" w:eastAsia="Century Gothic" w:hAnsi="Century Gothic" w:cs="Century Gothic"/>
                <w:sz w:val="18"/>
                <w:szCs w:val="18"/>
                <w:lang w:val="es-CO"/>
              </w:rPr>
            </w:pPr>
            <w:r w:rsidRPr="00FE515F">
              <w:rPr>
                <w:rFonts w:ascii="Century Gothic" w:eastAsia="Century Gothic" w:hAnsi="Century Gothic" w:cs="Century Gothic"/>
                <w:sz w:val="18"/>
                <w:szCs w:val="18"/>
                <w:lang w:val="es-CO"/>
              </w:rPr>
              <w:t>Jefe Administrativo y Financiero</w:t>
            </w:r>
          </w:p>
        </w:tc>
        <w:tc>
          <w:tcPr>
            <w:tcW w:w="2437" w:type="dxa"/>
            <w:tcBorders>
              <w:top w:val="nil"/>
              <w:left w:val="single" w:sz="4" w:space="0" w:color="auto"/>
              <w:bottom w:val="single" w:sz="4" w:space="0" w:color="auto"/>
              <w:right w:val="single" w:sz="4" w:space="0" w:color="auto"/>
            </w:tcBorders>
            <w:vAlign w:val="center"/>
            <w:hideMark/>
          </w:tcPr>
          <w:p w14:paraId="231A6D40" w14:textId="77777777" w:rsidR="00FE515F" w:rsidRPr="00FE515F" w:rsidRDefault="00FE515F" w:rsidP="007924B6">
            <w:pPr>
              <w:jc w:val="center"/>
              <w:rPr>
                <w:rFonts w:ascii="Century Gothic" w:eastAsia="Century Gothic" w:hAnsi="Century Gothic" w:cs="Century Gothic"/>
                <w:b/>
                <w:sz w:val="18"/>
                <w:szCs w:val="18"/>
                <w:lang w:val="es-CO"/>
              </w:rPr>
            </w:pPr>
            <w:r w:rsidRPr="00FE515F">
              <w:rPr>
                <w:rFonts w:ascii="Century Gothic" w:eastAsia="Century Gothic" w:hAnsi="Century Gothic" w:cs="Century Gothic"/>
                <w:b/>
                <w:sz w:val="18"/>
                <w:szCs w:val="18"/>
                <w:lang w:val="es-CO"/>
              </w:rPr>
              <w:t>CRISTIAN JIMÉNEZ QUINTERO</w:t>
            </w:r>
          </w:p>
          <w:p w14:paraId="47DDFF99" w14:textId="77777777" w:rsidR="00FE515F" w:rsidRPr="00FE515F" w:rsidRDefault="00FE515F" w:rsidP="007924B6">
            <w:pPr>
              <w:jc w:val="center"/>
              <w:rPr>
                <w:rFonts w:ascii="Century Gothic" w:eastAsia="Century Gothic" w:hAnsi="Century Gothic" w:cs="Century Gothic"/>
                <w:sz w:val="18"/>
                <w:szCs w:val="18"/>
                <w:lang w:val="es-CO"/>
              </w:rPr>
            </w:pPr>
            <w:r w:rsidRPr="00FE515F">
              <w:rPr>
                <w:rFonts w:ascii="Century Gothic" w:eastAsia="Century Gothic" w:hAnsi="Century Gothic" w:cs="Century Gothic"/>
                <w:sz w:val="18"/>
                <w:szCs w:val="18"/>
                <w:lang w:val="es-CO"/>
              </w:rPr>
              <w:t>Profesional de Calidad y Riesgos</w:t>
            </w:r>
          </w:p>
        </w:tc>
        <w:tc>
          <w:tcPr>
            <w:tcW w:w="2437" w:type="dxa"/>
            <w:tcBorders>
              <w:left w:val="single" w:sz="4" w:space="0" w:color="auto"/>
            </w:tcBorders>
            <w:vAlign w:val="center"/>
            <w:hideMark/>
          </w:tcPr>
          <w:p w14:paraId="2AA37822" w14:textId="77777777" w:rsidR="00FE515F" w:rsidRPr="00FE515F" w:rsidRDefault="00FE515F" w:rsidP="007924B6">
            <w:pPr>
              <w:jc w:val="center"/>
              <w:rPr>
                <w:rFonts w:ascii="Century Gothic" w:eastAsia="Century Gothic" w:hAnsi="Century Gothic" w:cs="Century Gothic"/>
                <w:b/>
                <w:sz w:val="18"/>
                <w:szCs w:val="18"/>
                <w:lang w:val="es-CO"/>
              </w:rPr>
            </w:pPr>
            <w:r w:rsidRPr="00FE515F">
              <w:rPr>
                <w:rFonts w:ascii="Century Gothic" w:eastAsia="Century Gothic" w:hAnsi="Century Gothic" w:cs="Century Gothic"/>
                <w:b/>
                <w:sz w:val="18"/>
                <w:szCs w:val="18"/>
                <w:lang w:val="es-CO"/>
              </w:rPr>
              <w:t>MAURICIO ENRÍQUEZ VELÁSQUEZ</w:t>
            </w:r>
          </w:p>
          <w:p w14:paraId="5C448B3D" w14:textId="2528B7D5" w:rsidR="00FE515F" w:rsidRPr="00FE515F" w:rsidRDefault="00FE515F" w:rsidP="007924B6">
            <w:pPr>
              <w:jc w:val="center"/>
              <w:rPr>
                <w:rFonts w:ascii="Century Gothic" w:eastAsia="Century Gothic" w:hAnsi="Century Gothic" w:cs="Century Gothic"/>
                <w:sz w:val="18"/>
                <w:szCs w:val="18"/>
                <w:lang w:val="es-CO"/>
              </w:rPr>
            </w:pPr>
            <w:r w:rsidRPr="00FE515F">
              <w:rPr>
                <w:rFonts w:ascii="Century Gothic" w:eastAsia="Century Gothic" w:hAnsi="Century Gothic" w:cs="Century Gothic"/>
                <w:sz w:val="18"/>
                <w:szCs w:val="18"/>
                <w:lang w:val="es-CO"/>
              </w:rPr>
              <w:t xml:space="preserve">Director Ejecutivo </w:t>
            </w:r>
          </w:p>
        </w:tc>
      </w:tr>
    </w:tbl>
    <w:p w14:paraId="21C0C73E" w14:textId="18F86AB5" w:rsidR="0005192A" w:rsidRPr="00F36948" w:rsidRDefault="00D8483E" w:rsidP="00942241">
      <w:pPr>
        <w:pStyle w:val="Ttulo1"/>
        <w:rPr>
          <w:szCs w:val="22"/>
          <w:lang w:eastAsia="es-CO"/>
        </w:rPr>
      </w:pPr>
      <w:r w:rsidRPr="00F36948">
        <w:rPr>
          <w:szCs w:val="22"/>
          <w:lang w:eastAsia="es-CO"/>
        </w:rPr>
        <w:lastRenderedPageBreak/>
        <w:t xml:space="preserve">1. </w:t>
      </w:r>
      <w:r w:rsidRPr="00942241">
        <w:t>OBJETIVO</w:t>
      </w:r>
    </w:p>
    <w:p w14:paraId="7BA859DB" w14:textId="6BABEA43" w:rsidR="0005192A" w:rsidRDefault="0005192A" w:rsidP="00F36948">
      <w:pPr>
        <w:spacing w:before="100" w:beforeAutospacing="1" w:after="100" w:afterAutospacing="1" w:line="240" w:lineRule="auto"/>
        <w:jc w:val="both"/>
        <w:rPr>
          <w:rFonts w:ascii="Century Gothic" w:hAnsi="Century Gothic"/>
          <w:lang w:eastAsia="es-CO"/>
        </w:rPr>
      </w:pPr>
      <w:r w:rsidRPr="00F36948">
        <w:rPr>
          <w:rFonts w:ascii="Century Gothic" w:hAnsi="Century Gothic"/>
          <w:lang w:eastAsia="es-CO"/>
        </w:rPr>
        <w:t xml:space="preserve">Garantizar una adecuada segregación de residuos en todas las sedes de Red </w:t>
      </w:r>
      <w:proofErr w:type="spellStart"/>
      <w:r w:rsidRPr="00F36948">
        <w:rPr>
          <w:rFonts w:ascii="Century Gothic" w:hAnsi="Century Gothic"/>
          <w:lang w:eastAsia="es-CO"/>
        </w:rPr>
        <w:t>Medicron</w:t>
      </w:r>
      <w:proofErr w:type="spellEnd"/>
      <w:r w:rsidRPr="00F36948">
        <w:rPr>
          <w:rFonts w:ascii="Century Gothic" w:hAnsi="Century Gothic"/>
          <w:lang w:eastAsia="es-CO"/>
        </w:rPr>
        <w:t xml:space="preserve"> IPS, cumpliendo con las normativas ambientales vigentes y promoviendo la conciencia y responsabilidad social de cada colaborador respecto a los residuos generados en su actividad laboral.</w:t>
      </w:r>
    </w:p>
    <w:p w14:paraId="046877C9" w14:textId="7A96B9CF" w:rsidR="00F36948" w:rsidRPr="00F36948" w:rsidRDefault="00D8483E" w:rsidP="00942241">
      <w:pPr>
        <w:pStyle w:val="Ttulo1"/>
        <w:rPr>
          <w:lang w:eastAsia="es-CO"/>
        </w:rPr>
      </w:pPr>
      <w:r w:rsidRPr="00F36948">
        <w:rPr>
          <w:lang w:eastAsia="es-CO"/>
        </w:rPr>
        <w:t>2. ALCANCE</w:t>
      </w:r>
    </w:p>
    <w:p w14:paraId="42ADA510" w14:textId="61B5A82A" w:rsidR="00F36948" w:rsidRDefault="00F36948" w:rsidP="00F36948">
      <w:pPr>
        <w:spacing w:before="100" w:beforeAutospacing="1" w:after="100" w:afterAutospacing="1" w:line="240" w:lineRule="auto"/>
        <w:jc w:val="both"/>
        <w:rPr>
          <w:rFonts w:ascii="Century Gothic" w:hAnsi="Century Gothic"/>
          <w:lang w:eastAsia="es-CO"/>
        </w:rPr>
      </w:pPr>
      <w:r>
        <w:rPr>
          <w:rFonts w:ascii="Century Gothic" w:hAnsi="Century Gothic"/>
          <w:lang w:eastAsia="es-CO"/>
        </w:rPr>
        <w:t xml:space="preserve">Aplica a todas las sedes de Red </w:t>
      </w:r>
      <w:proofErr w:type="spellStart"/>
      <w:r>
        <w:rPr>
          <w:rFonts w:ascii="Century Gothic" w:hAnsi="Century Gothic"/>
          <w:lang w:eastAsia="es-CO"/>
        </w:rPr>
        <w:t>Medicron</w:t>
      </w:r>
      <w:proofErr w:type="spellEnd"/>
      <w:r>
        <w:rPr>
          <w:rFonts w:ascii="Century Gothic" w:hAnsi="Century Gothic"/>
          <w:lang w:eastAsia="es-CO"/>
        </w:rPr>
        <w:t xml:space="preserve"> IPS, abarcando la revisión en la segregación de los residuos peligrosos y no peligrosos generados en los diferentes servicios.</w:t>
      </w:r>
    </w:p>
    <w:p w14:paraId="3387F68D" w14:textId="4A504A71" w:rsidR="00D8483E" w:rsidRPr="00F36948" w:rsidRDefault="00D8483E" w:rsidP="00D8483E">
      <w:pPr>
        <w:pStyle w:val="Ttulo1"/>
        <w:rPr>
          <w:lang w:eastAsia="es-CO"/>
        </w:rPr>
      </w:pPr>
      <w:r>
        <w:rPr>
          <w:lang w:eastAsia="es-CO"/>
        </w:rPr>
        <w:t>3</w:t>
      </w:r>
      <w:r w:rsidRPr="00F36948">
        <w:rPr>
          <w:lang w:eastAsia="es-CO"/>
        </w:rPr>
        <w:t xml:space="preserve">. </w:t>
      </w:r>
      <w:r>
        <w:rPr>
          <w:lang w:eastAsia="es-CO"/>
        </w:rPr>
        <w:t>DEFINICIONES</w:t>
      </w:r>
    </w:p>
    <w:p w14:paraId="11012C33" w14:textId="2A584162" w:rsidR="00D8483E" w:rsidRDefault="00D8483E" w:rsidP="00F36948">
      <w:pPr>
        <w:spacing w:before="100" w:beforeAutospacing="1" w:after="100" w:afterAutospacing="1" w:line="240" w:lineRule="auto"/>
        <w:jc w:val="both"/>
        <w:rPr>
          <w:rFonts w:ascii="Century Gothic" w:hAnsi="Century Gothic"/>
          <w:lang w:eastAsia="es-CO"/>
        </w:rPr>
      </w:pPr>
      <w:r w:rsidRPr="00D8483E">
        <w:rPr>
          <w:rFonts w:ascii="Century Gothic" w:hAnsi="Century Gothic"/>
          <w:b/>
          <w:bCs/>
          <w:lang w:eastAsia="es-CO"/>
        </w:rPr>
        <w:t>Comparendo ambiental:</w:t>
      </w:r>
      <w:r>
        <w:rPr>
          <w:rFonts w:ascii="Century Gothic" w:hAnsi="Century Gothic"/>
          <w:lang w:eastAsia="es-CO"/>
        </w:rPr>
        <w:t xml:space="preserve"> </w:t>
      </w:r>
      <w:r w:rsidRPr="00D8483E">
        <w:rPr>
          <w:rFonts w:ascii="Century Gothic" w:hAnsi="Century Gothic"/>
          <w:lang w:eastAsia="es-CO"/>
        </w:rPr>
        <w:t>como instrumento de cultura ciudadana, sobre el adecuado manejo de residuos</w:t>
      </w:r>
      <w:r>
        <w:rPr>
          <w:rFonts w:ascii="Century Gothic" w:hAnsi="Century Gothic"/>
          <w:lang w:eastAsia="es-CO"/>
        </w:rPr>
        <w:t xml:space="preserve"> </w:t>
      </w:r>
      <w:r w:rsidRPr="00D8483E">
        <w:rPr>
          <w:rFonts w:ascii="Century Gothic" w:hAnsi="Century Gothic"/>
          <w:lang w:eastAsia="es-CO"/>
        </w:rPr>
        <w:t>sólidos</w:t>
      </w:r>
      <w:r>
        <w:rPr>
          <w:rFonts w:ascii="Century Gothic" w:hAnsi="Century Gothic"/>
          <w:lang w:eastAsia="es-CO"/>
        </w:rPr>
        <w:t xml:space="preserve"> </w:t>
      </w:r>
      <w:r w:rsidRPr="00D8483E">
        <w:rPr>
          <w:rFonts w:ascii="Century Gothic" w:hAnsi="Century Gothic"/>
          <w:lang w:eastAsia="es-CO"/>
        </w:rPr>
        <w:t>y escombros, previendo la afectación del medio ambiente y la salud pública, mediante sanciones pedagógicas y económicas a todas aquellas personas naturales o jurídicas que infrinjan la normatividad existente en materia de residuos sólidos; así como propiciar el fomento de estímulos</w:t>
      </w:r>
      <w:r>
        <w:rPr>
          <w:rFonts w:ascii="Century Gothic" w:hAnsi="Century Gothic"/>
          <w:lang w:eastAsia="es-CO"/>
        </w:rPr>
        <w:t xml:space="preserve"> </w:t>
      </w:r>
      <w:r w:rsidRPr="00D8483E">
        <w:rPr>
          <w:rFonts w:ascii="Century Gothic" w:hAnsi="Century Gothic"/>
          <w:lang w:eastAsia="es-CO"/>
        </w:rPr>
        <w:t>a las</w:t>
      </w:r>
      <w:r>
        <w:rPr>
          <w:rFonts w:ascii="Century Gothic" w:hAnsi="Century Gothic"/>
          <w:lang w:eastAsia="es-CO"/>
        </w:rPr>
        <w:t xml:space="preserve"> </w:t>
      </w:r>
      <w:r w:rsidRPr="00D8483E">
        <w:rPr>
          <w:rFonts w:ascii="Century Gothic" w:hAnsi="Century Gothic"/>
          <w:lang w:eastAsia="es-CO"/>
        </w:rPr>
        <w:t>buenas prácticas ambientalistas</w:t>
      </w:r>
      <w:r>
        <w:rPr>
          <w:rFonts w:ascii="Century Gothic" w:hAnsi="Century Gothic"/>
          <w:lang w:eastAsia="es-CO"/>
        </w:rPr>
        <w:t>.</w:t>
      </w:r>
    </w:p>
    <w:p w14:paraId="16D11057" w14:textId="7831B89B" w:rsidR="00D8483E" w:rsidRDefault="00D8483E" w:rsidP="00F36948">
      <w:pPr>
        <w:spacing w:before="100" w:beforeAutospacing="1" w:after="100" w:afterAutospacing="1" w:line="240" w:lineRule="auto"/>
        <w:jc w:val="both"/>
        <w:rPr>
          <w:rFonts w:ascii="Century Gothic" w:hAnsi="Century Gothic"/>
          <w:lang w:eastAsia="es-CO"/>
        </w:rPr>
      </w:pPr>
      <w:r w:rsidRPr="00D8483E">
        <w:rPr>
          <w:rFonts w:ascii="Century Gothic" w:hAnsi="Century Gothic"/>
          <w:b/>
          <w:bCs/>
          <w:lang w:eastAsia="es-CO"/>
        </w:rPr>
        <w:t>Residuo sólido.</w:t>
      </w:r>
      <w:r w:rsidRPr="00D8483E">
        <w:rPr>
          <w:rFonts w:ascii="Century Gothic" w:hAnsi="Century Gothic"/>
          <w:lang w:eastAsia="es-CO"/>
        </w:rPr>
        <w:t xml:space="preserve"> Todo tipo de material, orgánico o inorgánico, y de naturaleza compacta, que ha sido desechado luego de consumir su parte vital.</w:t>
      </w:r>
    </w:p>
    <w:p w14:paraId="2683FE22" w14:textId="52F2CD02" w:rsidR="00D8483E" w:rsidRDefault="00D8483E" w:rsidP="00F36948">
      <w:pPr>
        <w:spacing w:before="100" w:beforeAutospacing="1" w:after="100" w:afterAutospacing="1" w:line="240" w:lineRule="auto"/>
        <w:jc w:val="both"/>
        <w:rPr>
          <w:rFonts w:ascii="Century Gothic" w:hAnsi="Century Gothic"/>
          <w:lang w:eastAsia="es-CO"/>
        </w:rPr>
      </w:pPr>
      <w:r w:rsidRPr="00D8483E">
        <w:rPr>
          <w:rFonts w:ascii="Century Gothic" w:hAnsi="Century Gothic"/>
          <w:b/>
          <w:bCs/>
          <w:lang w:eastAsia="es-CO"/>
        </w:rPr>
        <w:t>Separación en la fuente.</w:t>
      </w:r>
      <w:r w:rsidRPr="00D8483E">
        <w:rPr>
          <w:rFonts w:ascii="Century Gothic" w:hAnsi="Century Gothic"/>
          <w:lang w:eastAsia="es-CO"/>
        </w:rPr>
        <w:t xml:space="preserve"> Acción de separar los residuos</w:t>
      </w:r>
      <w:r>
        <w:rPr>
          <w:rFonts w:ascii="Century Gothic" w:hAnsi="Century Gothic"/>
          <w:lang w:eastAsia="es-CO"/>
        </w:rPr>
        <w:t xml:space="preserve"> </w:t>
      </w:r>
      <w:r w:rsidRPr="00D8483E">
        <w:rPr>
          <w:rFonts w:ascii="Century Gothic" w:hAnsi="Century Gothic"/>
          <w:lang w:eastAsia="es-CO"/>
        </w:rPr>
        <w:t>sólidos</w:t>
      </w:r>
      <w:r>
        <w:rPr>
          <w:rFonts w:ascii="Century Gothic" w:hAnsi="Century Gothic"/>
          <w:lang w:eastAsia="es-CO"/>
        </w:rPr>
        <w:t xml:space="preserve"> </w:t>
      </w:r>
      <w:r w:rsidRPr="00D8483E">
        <w:rPr>
          <w:rFonts w:ascii="Century Gothic" w:hAnsi="Century Gothic"/>
          <w:lang w:eastAsia="es-CO"/>
        </w:rPr>
        <w:t>orgánicos y los</w:t>
      </w:r>
      <w:r>
        <w:rPr>
          <w:rFonts w:ascii="Century Gothic" w:hAnsi="Century Gothic"/>
          <w:lang w:eastAsia="es-CO"/>
        </w:rPr>
        <w:t xml:space="preserve"> </w:t>
      </w:r>
      <w:r w:rsidRPr="00D8483E">
        <w:rPr>
          <w:rFonts w:ascii="Century Gothic" w:hAnsi="Century Gothic"/>
          <w:lang w:eastAsia="es-CO"/>
        </w:rPr>
        <w:t>inorgánicos, desde el sitio</w:t>
      </w:r>
      <w:r>
        <w:rPr>
          <w:rFonts w:ascii="Century Gothic" w:hAnsi="Century Gothic"/>
          <w:lang w:eastAsia="es-CO"/>
        </w:rPr>
        <w:t xml:space="preserve"> </w:t>
      </w:r>
      <w:r w:rsidRPr="00D8483E">
        <w:rPr>
          <w:rFonts w:ascii="Century Gothic" w:hAnsi="Century Gothic"/>
          <w:lang w:eastAsia="es-CO"/>
        </w:rPr>
        <w:t xml:space="preserve">donde </w:t>
      </w:r>
      <w:r>
        <w:rPr>
          <w:rFonts w:ascii="Century Gothic" w:hAnsi="Century Gothic"/>
          <w:lang w:eastAsia="es-CO"/>
        </w:rPr>
        <w:t>esto s</w:t>
      </w:r>
      <w:r w:rsidRPr="00D8483E">
        <w:rPr>
          <w:rFonts w:ascii="Century Gothic" w:hAnsi="Century Gothic"/>
          <w:lang w:eastAsia="es-CO"/>
        </w:rPr>
        <w:t>e producen.</w:t>
      </w:r>
    </w:p>
    <w:p w14:paraId="6E5F546A" w14:textId="1DBB9901" w:rsidR="006F3046" w:rsidRDefault="00D8483E" w:rsidP="00942241">
      <w:pPr>
        <w:pStyle w:val="Ttulo1"/>
        <w:rPr>
          <w:lang w:eastAsia="es-CO"/>
        </w:rPr>
      </w:pPr>
      <w:r>
        <w:rPr>
          <w:lang w:eastAsia="es-CO"/>
        </w:rPr>
        <w:t>4</w:t>
      </w:r>
      <w:r w:rsidRPr="006F3046">
        <w:rPr>
          <w:lang w:eastAsia="es-CO"/>
        </w:rPr>
        <w:t>. DESCRIPCIÓN DE ACTIVIDADES</w:t>
      </w:r>
    </w:p>
    <w:p w14:paraId="0EFAB872" w14:textId="0437893E" w:rsidR="00942241" w:rsidRPr="00CF167C" w:rsidRDefault="00CF167C" w:rsidP="006157C3">
      <w:pPr>
        <w:spacing w:before="100" w:beforeAutospacing="1" w:after="100" w:afterAutospacing="1" w:line="240" w:lineRule="auto"/>
        <w:jc w:val="both"/>
        <w:rPr>
          <w:rFonts w:ascii="Century Gothic" w:eastAsia="Times New Roman" w:hAnsi="Century Gothic" w:cs="Times New Roman"/>
          <w:lang w:val="es-CO" w:eastAsia="es-CO"/>
        </w:rPr>
      </w:pPr>
      <w:r w:rsidRPr="00CF167C">
        <w:rPr>
          <w:rFonts w:ascii="Century Gothic" w:eastAsia="Times New Roman" w:hAnsi="Century Gothic" w:cs="Times New Roman"/>
          <w:lang w:val="es-CO" w:eastAsia="es-CO"/>
        </w:rPr>
        <w:t xml:space="preserve">A través de este documento, se establece una estrategia complementaria al </w:t>
      </w:r>
      <w:r w:rsidR="00A73953">
        <w:rPr>
          <w:rFonts w:ascii="Century Gothic" w:eastAsia="Times New Roman" w:hAnsi="Century Gothic" w:cs="Times New Roman"/>
          <w:lang w:val="es-CO" w:eastAsia="es-CO"/>
        </w:rPr>
        <w:t>P</w:t>
      </w:r>
      <w:r w:rsidRPr="00CF167C">
        <w:rPr>
          <w:rFonts w:ascii="Century Gothic" w:eastAsia="Times New Roman" w:hAnsi="Century Gothic" w:cs="Times New Roman"/>
          <w:lang w:val="es-CO" w:eastAsia="es-CO"/>
        </w:rPr>
        <w:t xml:space="preserve">lan de </w:t>
      </w:r>
      <w:r w:rsidR="00A73953">
        <w:rPr>
          <w:rFonts w:ascii="Century Gothic" w:eastAsia="Times New Roman" w:hAnsi="Century Gothic" w:cs="Times New Roman"/>
          <w:lang w:val="es-CO" w:eastAsia="es-CO"/>
        </w:rPr>
        <w:t>G</w:t>
      </w:r>
      <w:r w:rsidRPr="00CF167C">
        <w:rPr>
          <w:rFonts w:ascii="Century Gothic" w:eastAsia="Times New Roman" w:hAnsi="Century Gothic" w:cs="Times New Roman"/>
          <w:lang w:val="es-CO" w:eastAsia="es-CO"/>
        </w:rPr>
        <w:t xml:space="preserve">estión de </w:t>
      </w:r>
      <w:r w:rsidR="00A73953">
        <w:rPr>
          <w:rFonts w:ascii="Century Gothic" w:eastAsia="Times New Roman" w:hAnsi="Century Gothic" w:cs="Times New Roman"/>
          <w:lang w:val="es-CO" w:eastAsia="es-CO"/>
        </w:rPr>
        <w:t>R</w:t>
      </w:r>
      <w:r w:rsidRPr="00CF167C">
        <w:rPr>
          <w:rFonts w:ascii="Century Gothic" w:eastAsia="Times New Roman" w:hAnsi="Century Gothic" w:cs="Times New Roman"/>
          <w:lang w:val="es-CO" w:eastAsia="es-CO"/>
        </w:rPr>
        <w:t xml:space="preserve">esiduos, con el objetivo de realizar un seguimiento efectivo de la segregación de residuos dentro de las instalaciones de Red </w:t>
      </w:r>
      <w:proofErr w:type="spellStart"/>
      <w:r w:rsidRPr="00CF167C">
        <w:rPr>
          <w:rFonts w:ascii="Century Gothic" w:eastAsia="Times New Roman" w:hAnsi="Century Gothic" w:cs="Times New Roman"/>
          <w:lang w:val="es-CO" w:eastAsia="es-CO"/>
        </w:rPr>
        <w:t>Medicron</w:t>
      </w:r>
      <w:proofErr w:type="spellEnd"/>
      <w:r w:rsidRPr="00CF167C">
        <w:rPr>
          <w:rFonts w:ascii="Century Gothic" w:eastAsia="Times New Roman" w:hAnsi="Century Gothic" w:cs="Times New Roman"/>
          <w:lang w:val="es-CO" w:eastAsia="es-CO"/>
        </w:rPr>
        <w:t xml:space="preserve"> IPS, así como incentivar a los colaboradores a llevar a cabo una correcta segregación. A continuación, se detallan los aspectos clave para implementar esta estrategia.</w:t>
      </w:r>
    </w:p>
    <w:p w14:paraId="048C1994" w14:textId="44EE2829" w:rsidR="0005192A" w:rsidRPr="00942241" w:rsidRDefault="00942241" w:rsidP="00942241">
      <w:pPr>
        <w:pStyle w:val="Ttulo2"/>
      </w:pPr>
      <w:r w:rsidRPr="00942241">
        <w:t xml:space="preserve">3.1. </w:t>
      </w:r>
      <w:r>
        <w:t>N</w:t>
      </w:r>
      <w:r w:rsidRPr="00942241">
        <w:t>ormas de segregación de residuos</w:t>
      </w:r>
    </w:p>
    <w:p w14:paraId="0DBDEF5A" w14:textId="19FB7BF3" w:rsidR="0005192A" w:rsidRPr="00F36948" w:rsidRDefault="0005192A" w:rsidP="00F36948">
      <w:pPr>
        <w:pStyle w:val="NormalWeb"/>
        <w:jc w:val="both"/>
        <w:rPr>
          <w:rFonts w:ascii="Century Gothic" w:hAnsi="Century Gothic"/>
          <w:sz w:val="22"/>
          <w:szCs w:val="22"/>
        </w:rPr>
      </w:pPr>
      <w:r w:rsidRPr="00F36948">
        <w:rPr>
          <w:rFonts w:ascii="Century Gothic" w:hAnsi="Century Gothic"/>
          <w:sz w:val="22"/>
          <w:szCs w:val="22"/>
        </w:rPr>
        <w:t>Las normas de segregación de residuos se basan en lo establecido en el Plan de Gestión Integral de Residuos Generados en la Atención en Salud y Otras Actividades (</w:t>
      </w:r>
      <w:r w:rsidR="00502BF3">
        <w:rPr>
          <w:rFonts w:ascii="Century Gothic" w:hAnsi="Century Gothic"/>
          <w:sz w:val="22"/>
          <w:szCs w:val="22"/>
        </w:rPr>
        <w:t>PL-GAD-001</w:t>
      </w:r>
      <w:r w:rsidRPr="00F36948">
        <w:rPr>
          <w:rFonts w:ascii="Century Gothic" w:hAnsi="Century Gothic"/>
          <w:sz w:val="22"/>
          <w:szCs w:val="22"/>
        </w:rPr>
        <w:t>), el cual define la clasificación de los residuos, su correspondiente segregación y el color de los recipientes a utilizar. Además, es importante tener en cuenta lo siguiente:</w:t>
      </w:r>
    </w:p>
    <w:p w14:paraId="4A940618" w14:textId="77777777" w:rsidR="0005192A" w:rsidRPr="00F36948" w:rsidRDefault="0005192A" w:rsidP="00F36948">
      <w:pPr>
        <w:pStyle w:val="NormalWeb"/>
        <w:numPr>
          <w:ilvl w:val="0"/>
          <w:numId w:val="3"/>
        </w:numPr>
        <w:jc w:val="both"/>
        <w:rPr>
          <w:rFonts w:ascii="Century Gothic" w:hAnsi="Century Gothic"/>
          <w:sz w:val="22"/>
          <w:szCs w:val="22"/>
        </w:rPr>
      </w:pPr>
      <w:r w:rsidRPr="00F36948">
        <w:rPr>
          <w:rStyle w:val="Textoennegrita"/>
          <w:rFonts w:ascii="Century Gothic" w:hAnsi="Century Gothic"/>
          <w:sz w:val="22"/>
          <w:szCs w:val="22"/>
        </w:rPr>
        <w:t>Depósito adecuado de residuos:</w:t>
      </w:r>
      <w:r w:rsidRPr="00F36948">
        <w:rPr>
          <w:rFonts w:ascii="Century Gothic" w:hAnsi="Century Gothic"/>
          <w:sz w:val="22"/>
          <w:szCs w:val="22"/>
        </w:rPr>
        <w:t xml:space="preserve"> Los residuos generados durante el desarrollo de sus actividades deben depositarse en el contenedor correspondiente según el tipo de residuo.</w:t>
      </w:r>
    </w:p>
    <w:p w14:paraId="2BBA9B9D" w14:textId="77777777" w:rsidR="0005192A" w:rsidRPr="00F36948" w:rsidRDefault="0005192A" w:rsidP="00F36948">
      <w:pPr>
        <w:pStyle w:val="NormalWeb"/>
        <w:numPr>
          <w:ilvl w:val="0"/>
          <w:numId w:val="3"/>
        </w:numPr>
        <w:jc w:val="both"/>
        <w:rPr>
          <w:rFonts w:ascii="Century Gothic" w:hAnsi="Century Gothic"/>
          <w:sz w:val="22"/>
          <w:szCs w:val="22"/>
        </w:rPr>
      </w:pPr>
      <w:r w:rsidRPr="00F36948">
        <w:rPr>
          <w:rStyle w:val="Textoennegrita"/>
          <w:rFonts w:ascii="Century Gothic" w:hAnsi="Century Gothic"/>
          <w:sz w:val="22"/>
          <w:szCs w:val="22"/>
        </w:rPr>
        <w:lastRenderedPageBreak/>
        <w:t>Contenedores disponibles:</w:t>
      </w:r>
      <w:r w:rsidRPr="00F36948">
        <w:rPr>
          <w:rFonts w:ascii="Century Gothic" w:hAnsi="Century Gothic"/>
          <w:sz w:val="22"/>
          <w:szCs w:val="22"/>
        </w:rPr>
        <w:t xml:space="preserve"> En los diferentes servicios se encuentran contenedores específicos para la segregación de residuos, ubicados de acuerdo con la actividad que se realiza en cada área. Si se generan residuos que no están contemplados en los contenedores disponibles o que no corresponden a la actividad, deberá dirigirse al contenedor designado para esos residuos específicos. Nunca se deben depositar residuos en contenedores que no correspondan, incluso si el contenedor adecuado no está cerca.</w:t>
      </w:r>
    </w:p>
    <w:p w14:paraId="30F0A828" w14:textId="77777777" w:rsidR="0005192A" w:rsidRPr="00F36948" w:rsidRDefault="0005192A" w:rsidP="00F36948">
      <w:pPr>
        <w:pStyle w:val="NormalWeb"/>
        <w:numPr>
          <w:ilvl w:val="0"/>
          <w:numId w:val="3"/>
        </w:numPr>
        <w:jc w:val="both"/>
        <w:rPr>
          <w:rFonts w:ascii="Century Gothic" w:hAnsi="Century Gothic"/>
          <w:sz w:val="22"/>
          <w:szCs w:val="22"/>
        </w:rPr>
      </w:pPr>
      <w:r w:rsidRPr="00F36948">
        <w:rPr>
          <w:rStyle w:val="Textoennegrita"/>
          <w:rFonts w:ascii="Century Gothic" w:hAnsi="Century Gothic"/>
          <w:sz w:val="22"/>
          <w:szCs w:val="22"/>
        </w:rPr>
        <w:t>Consulta ante dudas:</w:t>
      </w:r>
      <w:r w:rsidRPr="00F36948">
        <w:rPr>
          <w:rFonts w:ascii="Century Gothic" w:hAnsi="Century Gothic"/>
          <w:sz w:val="22"/>
          <w:szCs w:val="22"/>
        </w:rPr>
        <w:t xml:space="preserve"> Si tiene alguna duda sobre el contenedor adecuado para desechar o segregar un residuo en específico, consulte con el área de Gestión Ambiental o Líder de sede para recibir orientación sobre su correcta disposición.</w:t>
      </w:r>
    </w:p>
    <w:p w14:paraId="1B6FE35F" w14:textId="77777777" w:rsidR="0005192A" w:rsidRPr="00F36948" w:rsidRDefault="0005192A" w:rsidP="00F36948">
      <w:pPr>
        <w:pStyle w:val="NormalWeb"/>
        <w:numPr>
          <w:ilvl w:val="0"/>
          <w:numId w:val="3"/>
        </w:numPr>
        <w:jc w:val="both"/>
        <w:rPr>
          <w:rFonts w:ascii="Century Gothic" w:hAnsi="Century Gothic"/>
          <w:sz w:val="22"/>
          <w:szCs w:val="22"/>
        </w:rPr>
      </w:pPr>
      <w:r w:rsidRPr="00F36948">
        <w:rPr>
          <w:rStyle w:val="Textoennegrita"/>
          <w:rFonts w:ascii="Century Gothic" w:hAnsi="Century Gothic"/>
          <w:sz w:val="22"/>
          <w:szCs w:val="22"/>
        </w:rPr>
        <w:t>Residuos reciclables:</w:t>
      </w:r>
      <w:r w:rsidRPr="00F36948">
        <w:rPr>
          <w:rFonts w:ascii="Century Gothic" w:hAnsi="Century Gothic"/>
          <w:sz w:val="22"/>
          <w:szCs w:val="22"/>
        </w:rPr>
        <w:t xml:space="preserve"> Los residuos reciclables deben estar limpios y secos antes de ser segregados. Si no cumplen con estas condiciones, deben ser clasificados como residuos ordinarios.</w:t>
      </w:r>
    </w:p>
    <w:p w14:paraId="2E726903" w14:textId="2B4D40F1" w:rsidR="0005192A" w:rsidRPr="00F36948" w:rsidRDefault="0005192A" w:rsidP="00942241">
      <w:pPr>
        <w:pStyle w:val="Ttulo2"/>
        <w:rPr>
          <w:lang w:eastAsia="es-CO"/>
        </w:rPr>
      </w:pPr>
      <w:r w:rsidRPr="00F36948">
        <w:rPr>
          <w:lang w:eastAsia="es-CO"/>
        </w:rPr>
        <w:t>3.</w:t>
      </w:r>
      <w:r w:rsidR="00942241">
        <w:rPr>
          <w:lang w:eastAsia="es-CO"/>
        </w:rPr>
        <w:t>2.</w:t>
      </w:r>
      <w:r w:rsidR="00942241" w:rsidRPr="00F36948">
        <w:rPr>
          <w:lang w:eastAsia="es-CO"/>
        </w:rPr>
        <w:t xml:space="preserve"> </w:t>
      </w:r>
      <w:r w:rsidR="00942241">
        <w:rPr>
          <w:lang w:eastAsia="es-CO"/>
        </w:rPr>
        <w:t>C</w:t>
      </w:r>
      <w:r w:rsidR="00942241" w:rsidRPr="00F36948">
        <w:rPr>
          <w:lang w:eastAsia="es-CO"/>
        </w:rPr>
        <w:t>apacitación</w:t>
      </w:r>
    </w:p>
    <w:p w14:paraId="76336616" w14:textId="77777777" w:rsidR="0005192A" w:rsidRPr="00F36948" w:rsidRDefault="0005192A" w:rsidP="00F36948">
      <w:pPr>
        <w:spacing w:before="100" w:beforeAutospacing="1" w:after="100" w:afterAutospacing="1" w:line="240" w:lineRule="auto"/>
        <w:jc w:val="both"/>
        <w:rPr>
          <w:rFonts w:ascii="Century Gothic" w:hAnsi="Century Gothic"/>
          <w:lang w:eastAsia="es-CO"/>
        </w:rPr>
      </w:pPr>
      <w:r w:rsidRPr="00F36948">
        <w:rPr>
          <w:rFonts w:ascii="Century Gothic" w:hAnsi="Century Gothic"/>
          <w:lang w:eastAsia="es-CO"/>
        </w:rPr>
        <w:t xml:space="preserve">El área de Gestión Ambiental ofrecerá capacitaciones periódicas sobre la correcta segregación de residuos generados en las instalaciones de Red </w:t>
      </w:r>
      <w:proofErr w:type="spellStart"/>
      <w:r w:rsidRPr="00F36948">
        <w:rPr>
          <w:rFonts w:ascii="Century Gothic" w:hAnsi="Century Gothic"/>
          <w:lang w:eastAsia="es-CO"/>
        </w:rPr>
        <w:t>Medicron</w:t>
      </w:r>
      <w:proofErr w:type="spellEnd"/>
      <w:r w:rsidRPr="00F36948">
        <w:rPr>
          <w:rFonts w:ascii="Century Gothic" w:hAnsi="Century Gothic"/>
          <w:lang w:eastAsia="es-CO"/>
        </w:rPr>
        <w:t xml:space="preserve"> IPS. Estas capacitaciones estarán dirigidas a todos los colaboradores, con el objetivo de educar, sensibilizar y fomentar una cultura de responsabilidad ambiental en el manejo de residuos. A través de talleres, charlas, infografías y otros recursos didácticos, se reforzarán las buenas prácticas en el proceso de segregación, contribuyendo así a la protección del medio ambiente, al cumplimiento de normativas vigentes y a la mejora continua de los procesos internos. Estas actividades se llevarán a cabo mínimo dos veces al año para asegurar la formación constante del personal y mantener altos estándares de sostenibilidad en la institución.</w:t>
      </w:r>
    </w:p>
    <w:p w14:paraId="2CE05D91" w14:textId="4E0377E1" w:rsidR="0005192A" w:rsidRPr="00F36948" w:rsidRDefault="00942241" w:rsidP="00942241">
      <w:pPr>
        <w:pStyle w:val="Ttulo2"/>
        <w:rPr>
          <w:lang w:eastAsia="es-CO"/>
        </w:rPr>
      </w:pPr>
      <w:r>
        <w:rPr>
          <w:lang w:eastAsia="es-CO"/>
        </w:rPr>
        <w:t>3</w:t>
      </w:r>
      <w:r w:rsidR="0005192A" w:rsidRPr="00F36948">
        <w:rPr>
          <w:lang w:eastAsia="es-CO"/>
        </w:rPr>
        <w:t>.</w:t>
      </w:r>
      <w:r>
        <w:rPr>
          <w:lang w:eastAsia="es-CO"/>
        </w:rPr>
        <w:t>3.</w:t>
      </w:r>
      <w:r w:rsidR="0005192A" w:rsidRPr="00F36948">
        <w:rPr>
          <w:lang w:eastAsia="es-CO"/>
        </w:rPr>
        <w:t xml:space="preserve"> </w:t>
      </w:r>
      <w:r>
        <w:rPr>
          <w:lang w:eastAsia="es-CO"/>
        </w:rPr>
        <w:t>S</w:t>
      </w:r>
      <w:r w:rsidRPr="00F36948">
        <w:rPr>
          <w:lang w:eastAsia="es-CO"/>
        </w:rPr>
        <w:t>eguimiento continuo</w:t>
      </w:r>
    </w:p>
    <w:p w14:paraId="36725C04" w14:textId="77777777" w:rsidR="0005192A" w:rsidRPr="00F36948" w:rsidRDefault="0005192A" w:rsidP="00F36948">
      <w:pPr>
        <w:pStyle w:val="NormalWeb"/>
        <w:jc w:val="both"/>
        <w:rPr>
          <w:rFonts w:ascii="Century Gothic" w:hAnsi="Century Gothic"/>
          <w:sz w:val="22"/>
          <w:szCs w:val="22"/>
        </w:rPr>
      </w:pPr>
      <w:r w:rsidRPr="00F36948">
        <w:rPr>
          <w:rFonts w:ascii="Century Gothic" w:hAnsi="Century Gothic"/>
          <w:sz w:val="22"/>
          <w:szCs w:val="22"/>
        </w:rPr>
        <w:t xml:space="preserve">Se llevarán a cabo inspecciones periódicas en los diferentes servicios y/o sedes de Red </w:t>
      </w:r>
      <w:proofErr w:type="spellStart"/>
      <w:r w:rsidRPr="00F36948">
        <w:rPr>
          <w:rFonts w:ascii="Century Gothic" w:hAnsi="Century Gothic"/>
          <w:sz w:val="22"/>
          <w:szCs w:val="22"/>
        </w:rPr>
        <w:t>Medicron</w:t>
      </w:r>
      <w:proofErr w:type="spellEnd"/>
      <w:r w:rsidRPr="00F36948">
        <w:rPr>
          <w:rFonts w:ascii="Century Gothic" w:hAnsi="Century Gothic"/>
          <w:sz w:val="22"/>
          <w:szCs w:val="22"/>
        </w:rPr>
        <w:t xml:space="preserve"> para verificar el cumplimiento de las normativas de segregación de residuos por parte de los colaboradores. Estas inspecciones consistirán en revisar los contenedores de residuos ubicados en cada área, evaluando el tipo de residuos depositados en ellos. </w:t>
      </w:r>
    </w:p>
    <w:p w14:paraId="5C40E536" w14:textId="0D32F653" w:rsidR="0005192A" w:rsidRPr="00F36948" w:rsidRDefault="0005192A" w:rsidP="00F36948">
      <w:pPr>
        <w:pStyle w:val="NormalWeb"/>
        <w:jc w:val="both"/>
        <w:rPr>
          <w:rFonts w:ascii="Century Gothic" w:hAnsi="Century Gothic"/>
          <w:sz w:val="22"/>
          <w:szCs w:val="22"/>
        </w:rPr>
      </w:pPr>
      <w:r w:rsidRPr="00F36948">
        <w:rPr>
          <w:rFonts w:ascii="Century Gothic" w:hAnsi="Century Gothic"/>
          <w:sz w:val="22"/>
          <w:szCs w:val="22"/>
        </w:rPr>
        <w:t>El responsable de la supervisión deberá observar y registrar las prácticas relacionadas con la segregación de residuos, utilizando los formatos establecidos, según la situación encontrada.</w:t>
      </w:r>
      <w:r w:rsidR="00E612B7">
        <w:rPr>
          <w:rFonts w:ascii="Century Gothic" w:hAnsi="Century Gothic"/>
          <w:sz w:val="22"/>
          <w:szCs w:val="22"/>
        </w:rPr>
        <w:t xml:space="preserve"> Para registro del seguimiento se </w:t>
      </w:r>
      <w:r w:rsidR="00FF3E02">
        <w:rPr>
          <w:rFonts w:ascii="Century Gothic" w:hAnsi="Century Gothic"/>
          <w:sz w:val="22"/>
          <w:szCs w:val="22"/>
        </w:rPr>
        <w:t>usará</w:t>
      </w:r>
      <w:r w:rsidR="00E612B7">
        <w:rPr>
          <w:rFonts w:ascii="Century Gothic" w:hAnsi="Century Gothic"/>
          <w:sz w:val="22"/>
          <w:szCs w:val="22"/>
        </w:rPr>
        <w:t xml:space="preserve"> el </w:t>
      </w:r>
      <w:r w:rsidR="00E612B7" w:rsidRPr="00D8483E">
        <w:rPr>
          <w:rFonts w:ascii="Century Gothic" w:hAnsi="Century Gothic"/>
          <w:sz w:val="22"/>
          <w:szCs w:val="22"/>
        </w:rPr>
        <w:t xml:space="preserve">formato </w:t>
      </w:r>
      <w:r w:rsidRPr="00D8483E">
        <w:rPr>
          <w:rFonts w:ascii="Century Gothic" w:hAnsi="Century Gothic"/>
          <w:sz w:val="22"/>
          <w:szCs w:val="22"/>
        </w:rPr>
        <w:t>(</w:t>
      </w:r>
      <w:r w:rsidR="00D8483E" w:rsidRPr="00D8483E">
        <w:rPr>
          <w:rFonts w:ascii="Century Gothic" w:hAnsi="Century Gothic"/>
          <w:sz w:val="22"/>
          <w:szCs w:val="22"/>
        </w:rPr>
        <w:t>FR-GAD-029</w:t>
      </w:r>
      <w:r w:rsidR="008229E3" w:rsidRPr="00D8483E">
        <w:rPr>
          <w:rFonts w:ascii="Century Gothic" w:hAnsi="Century Gothic"/>
          <w:sz w:val="22"/>
          <w:szCs w:val="22"/>
        </w:rPr>
        <w:t>)</w:t>
      </w:r>
      <w:r w:rsidR="00E612B7" w:rsidRPr="00D8483E">
        <w:rPr>
          <w:rFonts w:ascii="Century Gothic" w:hAnsi="Century Gothic"/>
          <w:b/>
          <w:bCs/>
          <w:sz w:val="22"/>
          <w:szCs w:val="22"/>
        </w:rPr>
        <w:t xml:space="preserve"> </w:t>
      </w:r>
      <w:r w:rsidR="00E612B7" w:rsidRPr="00E612B7">
        <w:rPr>
          <w:rFonts w:ascii="Century Gothic" w:hAnsi="Century Gothic"/>
          <w:sz w:val="22"/>
          <w:szCs w:val="22"/>
        </w:rPr>
        <w:t>y para compar</w:t>
      </w:r>
      <w:r w:rsidR="00E612B7">
        <w:rPr>
          <w:rFonts w:ascii="Century Gothic" w:hAnsi="Century Gothic"/>
          <w:sz w:val="22"/>
          <w:szCs w:val="22"/>
        </w:rPr>
        <w:t>en</w:t>
      </w:r>
      <w:r w:rsidR="00E612B7" w:rsidRPr="00E612B7">
        <w:rPr>
          <w:rFonts w:ascii="Century Gothic" w:hAnsi="Century Gothic"/>
          <w:sz w:val="22"/>
          <w:szCs w:val="22"/>
        </w:rPr>
        <w:t xml:space="preserve">do ambiental se </w:t>
      </w:r>
      <w:r w:rsidR="00FF3E02" w:rsidRPr="00E612B7">
        <w:rPr>
          <w:rFonts w:ascii="Century Gothic" w:hAnsi="Century Gothic"/>
          <w:sz w:val="22"/>
          <w:szCs w:val="22"/>
        </w:rPr>
        <w:t>usará</w:t>
      </w:r>
      <w:r w:rsidR="00E612B7" w:rsidRPr="00E612B7">
        <w:rPr>
          <w:rFonts w:ascii="Century Gothic" w:hAnsi="Century Gothic"/>
          <w:sz w:val="22"/>
          <w:szCs w:val="22"/>
        </w:rPr>
        <w:t xml:space="preserve"> el formato</w:t>
      </w:r>
      <w:r w:rsidR="00E612B7">
        <w:rPr>
          <w:rFonts w:ascii="Century Gothic" w:hAnsi="Century Gothic"/>
          <w:b/>
          <w:bCs/>
          <w:color w:val="FF0000"/>
          <w:sz w:val="22"/>
          <w:szCs w:val="22"/>
        </w:rPr>
        <w:t xml:space="preserve"> </w:t>
      </w:r>
      <w:r w:rsidR="00E612B7" w:rsidRPr="00D8483E">
        <w:rPr>
          <w:rFonts w:ascii="Century Gothic" w:hAnsi="Century Gothic"/>
          <w:sz w:val="22"/>
          <w:szCs w:val="22"/>
        </w:rPr>
        <w:t>(</w:t>
      </w:r>
      <w:r w:rsidR="00D8483E" w:rsidRPr="00D8483E">
        <w:rPr>
          <w:rFonts w:ascii="Century Gothic" w:hAnsi="Century Gothic"/>
          <w:sz w:val="22"/>
          <w:szCs w:val="22"/>
        </w:rPr>
        <w:t>FR-GAD-030</w:t>
      </w:r>
      <w:r w:rsidR="00E612B7" w:rsidRPr="00D8483E">
        <w:rPr>
          <w:rFonts w:ascii="Century Gothic" w:hAnsi="Century Gothic"/>
          <w:sz w:val="22"/>
          <w:szCs w:val="22"/>
        </w:rPr>
        <w:t>)</w:t>
      </w:r>
      <w:r w:rsidR="00FF3E02" w:rsidRPr="00D8483E">
        <w:rPr>
          <w:rFonts w:ascii="Century Gothic" w:hAnsi="Century Gothic"/>
          <w:sz w:val="22"/>
          <w:szCs w:val="22"/>
        </w:rPr>
        <w:t>.</w:t>
      </w:r>
    </w:p>
    <w:p w14:paraId="40A627B4" w14:textId="1EE99C68" w:rsidR="0005192A" w:rsidRPr="00F36948" w:rsidRDefault="00942241" w:rsidP="00F36948">
      <w:pPr>
        <w:spacing w:before="100" w:beforeAutospacing="1" w:after="100" w:afterAutospacing="1" w:line="240" w:lineRule="auto"/>
        <w:jc w:val="both"/>
        <w:outlineLvl w:val="2"/>
        <w:rPr>
          <w:rFonts w:ascii="Century Gothic" w:hAnsi="Century Gothic"/>
          <w:b/>
          <w:bCs/>
          <w:lang w:eastAsia="es-CO"/>
        </w:rPr>
      </w:pPr>
      <w:r>
        <w:rPr>
          <w:rFonts w:ascii="Century Gothic" w:hAnsi="Century Gothic"/>
          <w:b/>
          <w:bCs/>
          <w:lang w:eastAsia="es-CO"/>
        </w:rPr>
        <w:t>3.4. C</w:t>
      </w:r>
      <w:r w:rsidRPr="00F36948">
        <w:rPr>
          <w:rFonts w:ascii="Century Gothic" w:hAnsi="Century Gothic"/>
          <w:b/>
          <w:bCs/>
          <w:lang w:eastAsia="es-CO"/>
        </w:rPr>
        <w:t>omparendo ambiental</w:t>
      </w:r>
    </w:p>
    <w:p w14:paraId="414DEB20" w14:textId="77777777" w:rsidR="0005192A" w:rsidRPr="00F36948" w:rsidRDefault="0005192A" w:rsidP="00F36948">
      <w:pPr>
        <w:spacing w:before="100" w:beforeAutospacing="1" w:after="100" w:afterAutospacing="1" w:line="240" w:lineRule="auto"/>
        <w:jc w:val="both"/>
        <w:rPr>
          <w:rFonts w:ascii="Century Gothic" w:hAnsi="Century Gothic"/>
          <w:lang w:eastAsia="es-CO"/>
        </w:rPr>
      </w:pPr>
      <w:r w:rsidRPr="00F36948">
        <w:rPr>
          <w:rFonts w:ascii="Century Gothic" w:hAnsi="Century Gothic"/>
          <w:b/>
          <w:bCs/>
          <w:lang w:eastAsia="es-CO"/>
        </w:rPr>
        <w:t>Medidas ante la mala segregación de residuos:</w:t>
      </w:r>
    </w:p>
    <w:p w14:paraId="6541F015" w14:textId="77777777" w:rsidR="0005192A" w:rsidRPr="00F36948" w:rsidRDefault="0005192A" w:rsidP="00F36948">
      <w:pPr>
        <w:spacing w:before="100" w:beforeAutospacing="1" w:after="100" w:afterAutospacing="1" w:line="240" w:lineRule="auto"/>
        <w:jc w:val="both"/>
        <w:rPr>
          <w:rFonts w:ascii="Century Gothic" w:hAnsi="Century Gothic"/>
          <w:lang w:eastAsia="es-CO"/>
        </w:rPr>
      </w:pPr>
      <w:r w:rsidRPr="00F36948">
        <w:rPr>
          <w:rFonts w:ascii="Century Gothic" w:hAnsi="Century Gothic"/>
          <w:lang w:eastAsia="es-CO"/>
        </w:rPr>
        <w:t>En caso de una incorrecta segregación de residuos, se aplicará un comparendo ambiental al servicio o colaborador que infrinja las normas de segregación en la fuente.</w:t>
      </w:r>
    </w:p>
    <w:p w14:paraId="2DA43E15" w14:textId="77777777" w:rsidR="0005192A" w:rsidRPr="00F36948" w:rsidRDefault="0005192A" w:rsidP="00F36948">
      <w:pPr>
        <w:spacing w:before="100" w:beforeAutospacing="1" w:after="100" w:afterAutospacing="1" w:line="240" w:lineRule="auto"/>
        <w:jc w:val="both"/>
        <w:rPr>
          <w:rFonts w:ascii="Century Gothic" w:hAnsi="Century Gothic"/>
          <w:lang w:eastAsia="es-CO"/>
        </w:rPr>
      </w:pPr>
      <w:r w:rsidRPr="00F36948">
        <w:rPr>
          <w:rFonts w:ascii="Century Gothic" w:hAnsi="Century Gothic"/>
          <w:lang w:eastAsia="es-CO"/>
        </w:rPr>
        <w:lastRenderedPageBreak/>
        <w:t>El servicio será sancionado con un comparendo ambiental si, tras las inspecciones rutinarias al proceso de segregación, se observa que el cumplimiento en la segregación de residuos es inferior al 80%.</w:t>
      </w:r>
    </w:p>
    <w:p w14:paraId="10EE670D" w14:textId="77777777" w:rsidR="0005192A" w:rsidRPr="00F36948" w:rsidRDefault="0005192A" w:rsidP="00F36948">
      <w:pPr>
        <w:spacing w:before="100" w:beforeAutospacing="1" w:after="100" w:afterAutospacing="1" w:line="240" w:lineRule="auto"/>
        <w:jc w:val="both"/>
        <w:rPr>
          <w:rFonts w:ascii="Century Gothic" w:hAnsi="Century Gothic"/>
          <w:lang w:eastAsia="es-CO"/>
        </w:rPr>
      </w:pPr>
      <w:r w:rsidRPr="00F36948">
        <w:rPr>
          <w:rFonts w:ascii="Century Gothic" w:hAnsi="Century Gothic"/>
          <w:lang w:eastAsia="es-CO"/>
        </w:rPr>
        <w:t>El colaborador será sancionado con un comparendo ambiental si, durante las inspecciones rutinarias, se detecta de manera repetitiva una mala segregación de residuos por parte del mismo, a pesar de las recomendaciones o llamados de atención previos por parte del verificador.</w:t>
      </w:r>
    </w:p>
    <w:p w14:paraId="24F412C6" w14:textId="77777777" w:rsidR="0005192A" w:rsidRPr="00F36948" w:rsidRDefault="0005192A" w:rsidP="00F36948">
      <w:pPr>
        <w:spacing w:before="100" w:beforeAutospacing="1" w:after="100" w:afterAutospacing="1" w:line="240" w:lineRule="auto"/>
        <w:jc w:val="both"/>
        <w:rPr>
          <w:rFonts w:ascii="Century Gothic" w:hAnsi="Century Gothic"/>
          <w:lang w:eastAsia="es-CO"/>
        </w:rPr>
      </w:pPr>
      <w:r w:rsidRPr="00F36948">
        <w:rPr>
          <w:rFonts w:ascii="Century Gothic" w:hAnsi="Century Gothic"/>
          <w:lang w:eastAsia="es-CO"/>
        </w:rPr>
        <w:t>Cada comparendo requerirá que el servicio o colaborador lleve a cabo una actividad o capacitación educativa en materia de segregación de residuos dirigida a colaboradores o pacientes, bajo la supervisión del ingeniero ambiental o del líder de sede, como medida correctiva y compensatoria por la deficiente segregación de residuos dentro de la institución.</w:t>
      </w:r>
    </w:p>
    <w:p w14:paraId="4281007C" w14:textId="77777777" w:rsidR="0005192A" w:rsidRPr="00F36948" w:rsidRDefault="0005192A" w:rsidP="00F36948">
      <w:pPr>
        <w:spacing w:before="100" w:beforeAutospacing="1" w:after="100" w:afterAutospacing="1" w:line="240" w:lineRule="auto"/>
        <w:jc w:val="both"/>
        <w:rPr>
          <w:rFonts w:ascii="Century Gothic" w:hAnsi="Century Gothic"/>
          <w:lang w:eastAsia="es-CO"/>
        </w:rPr>
      </w:pPr>
      <w:r w:rsidRPr="00F36948">
        <w:rPr>
          <w:rFonts w:ascii="Century Gothic" w:hAnsi="Century Gothic"/>
          <w:lang w:eastAsia="es-CO"/>
        </w:rPr>
        <w:t xml:space="preserve">En caso de que el servicio o colaborador se niegue a realizar la actividad o capacitación correspondiente al comparendo, o si se registran más de 2 comparendos mensuales, se notificará a los respectivos líderes o jefes jerárquicos para que se tomen las acciones necesarias. </w:t>
      </w:r>
    </w:p>
    <w:p w14:paraId="69FC649E" w14:textId="42932DC2" w:rsidR="0005192A" w:rsidRPr="00F36948" w:rsidRDefault="00942241" w:rsidP="00942241">
      <w:pPr>
        <w:pStyle w:val="Ttulo2"/>
        <w:rPr>
          <w:lang w:eastAsia="es-CO"/>
        </w:rPr>
      </w:pPr>
      <w:r>
        <w:rPr>
          <w:lang w:eastAsia="es-CO"/>
        </w:rPr>
        <w:t>3.5. I</w:t>
      </w:r>
      <w:r w:rsidRPr="00F36948">
        <w:rPr>
          <w:lang w:eastAsia="es-CO"/>
        </w:rPr>
        <w:t>nforme y retroalimentación</w:t>
      </w:r>
    </w:p>
    <w:p w14:paraId="12ACFDDB" w14:textId="77777777" w:rsidR="0005192A" w:rsidRPr="00F36948" w:rsidRDefault="0005192A" w:rsidP="00F36948">
      <w:pPr>
        <w:spacing w:before="100" w:beforeAutospacing="1" w:after="100" w:afterAutospacing="1" w:line="240" w:lineRule="auto"/>
        <w:jc w:val="both"/>
        <w:rPr>
          <w:rFonts w:ascii="Century Gothic" w:hAnsi="Century Gothic"/>
          <w:lang w:eastAsia="es-CO"/>
        </w:rPr>
      </w:pPr>
      <w:r w:rsidRPr="00F36948">
        <w:rPr>
          <w:rFonts w:ascii="Century Gothic" w:hAnsi="Century Gothic"/>
          <w:lang w:eastAsia="es-CO"/>
        </w:rPr>
        <w:t xml:space="preserve">Mensualmente, se notificará a los diferentes servicios el puntaje de cumplimiento en la segregación de residuos obtenido por cada uno de ellos. Esta medida tiene como objetivo incentivar la mejora continua en las prácticas de manejo de residuos dentro de la institución. Se destacarán aquellos servicios que logren cumplir con las normas de segregación de residuos en un porcentaje igual o superior al 95%, reconociendo su compromiso con la sostenibilidad y la responsabilidad ambiental. </w:t>
      </w:r>
    </w:p>
    <w:p w14:paraId="11938916" w14:textId="477E45F0" w:rsidR="0005192A" w:rsidRPr="00F36948" w:rsidRDefault="00942241" w:rsidP="00942241">
      <w:pPr>
        <w:pStyle w:val="Ttulo2"/>
        <w:rPr>
          <w:lang w:eastAsia="es-CO"/>
        </w:rPr>
      </w:pPr>
      <w:r>
        <w:rPr>
          <w:lang w:eastAsia="es-CO"/>
        </w:rPr>
        <w:t>3.6.</w:t>
      </w:r>
      <w:r w:rsidR="0005192A" w:rsidRPr="00F36948">
        <w:rPr>
          <w:lang w:eastAsia="es-CO"/>
        </w:rPr>
        <w:t xml:space="preserve"> </w:t>
      </w:r>
      <w:r>
        <w:rPr>
          <w:lang w:eastAsia="es-CO"/>
        </w:rPr>
        <w:t>E</w:t>
      </w:r>
      <w:r w:rsidRPr="00F36948">
        <w:rPr>
          <w:lang w:eastAsia="es-CO"/>
        </w:rPr>
        <w:t>valuación continua</w:t>
      </w:r>
    </w:p>
    <w:p w14:paraId="2FB67994" w14:textId="3A522F47" w:rsidR="00D5491D" w:rsidRPr="00F36948" w:rsidRDefault="0005192A" w:rsidP="00D8483E">
      <w:pPr>
        <w:spacing w:before="100" w:beforeAutospacing="1" w:after="100" w:afterAutospacing="1" w:line="240" w:lineRule="auto"/>
        <w:jc w:val="both"/>
        <w:rPr>
          <w:rFonts w:ascii="Century Gothic" w:hAnsi="Century Gothic"/>
        </w:rPr>
      </w:pPr>
      <w:r w:rsidRPr="00F36948">
        <w:rPr>
          <w:rFonts w:ascii="Century Gothic" w:hAnsi="Century Gothic"/>
          <w:lang w:eastAsia="es-CO"/>
        </w:rPr>
        <w:t>Se llevará a cabo una evaluación y análisis trimestral de esta estrategia, mediante la revisión de los resultados de las inspecciones, los comparendos aplicados y la efectividad de las capacitaciones realizadas. Este análisis se comparará con el comportamiento de los indicadores de gestión de residuos, con el fin de evaluar la eficacia de la medida. En caso de ser necesario, se realizarán los ajustes o cambios pertinentes para optimizar el proceso de segregación de residuos.</w:t>
      </w:r>
    </w:p>
    <w:p w14:paraId="0662EBD3" w14:textId="77777777" w:rsidR="00D5491D" w:rsidRPr="00F36948" w:rsidRDefault="00D5491D" w:rsidP="00F36948">
      <w:pPr>
        <w:spacing w:line="240" w:lineRule="auto"/>
        <w:rPr>
          <w:rFonts w:ascii="Century Gothic" w:hAnsi="Century Gothic"/>
        </w:rPr>
      </w:pPr>
    </w:p>
    <w:p w14:paraId="1BFDB4F4" w14:textId="77777777" w:rsidR="00D5491D" w:rsidRPr="00F36948" w:rsidRDefault="00D5491D" w:rsidP="00F36948">
      <w:pPr>
        <w:spacing w:line="240" w:lineRule="auto"/>
        <w:rPr>
          <w:rFonts w:ascii="Century Gothic" w:hAnsi="Century Gothic"/>
        </w:rPr>
      </w:pPr>
    </w:p>
    <w:sectPr w:rsidR="00D5491D" w:rsidRPr="00F36948" w:rsidSect="00F36948">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E62B" w14:textId="77777777" w:rsidR="00A6657C" w:rsidRDefault="00A6657C" w:rsidP="00A1505A">
      <w:pPr>
        <w:spacing w:after="0" w:line="240" w:lineRule="auto"/>
      </w:pPr>
      <w:r>
        <w:separator/>
      </w:r>
    </w:p>
  </w:endnote>
  <w:endnote w:type="continuationSeparator" w:id="0">
    <w:p w14:paraId="02269F0F" w14:textId="77777777" w:rsidR="00A6657C" w:rsidRDefault="00A6657C" w:rsidP="00A1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7A718" w14:textId="77777777" w:rsidR="00182CC0" w:rsidRDefault="00182C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FEF4" w14:textId="3CC222A8" w:rsidR="00FE515F" w:rsidRDefault="00FE515F">
    <w:pPr>
      <w:pStyle w:val="Piedepgina"/>
    </w:pPr>
    <w:r w:rsidRPr="00FE515F">
      <w:rPr>
        <w:rFonts w:ascii="Century Gothic" w:eastAsia="Calibri" w:hAnsi="Century Gothic" w:cs="Calibri"/>
        <w:noProof/>
        <w:lang w:val="es-ES" w:eastAsia="es-MX"/>
      </w:rPr>
      <w:drawing>
        <wp:anchor distT="0" distB="0" distL="114300" distR="114300" simplePos="0" relativeHeight="251663360" behindDoc="1" locked="0" layoutInCell="1" allowOverlap="1" wp14:anchorId="7EB8557A" wp14:editId="00B43058">
          <wp:simplePos x="0" y="0"/>
          <wp:positionH relativeFrom="column">
            <wp:posOffset>0</wp:posOffset>
          </wp:positionH>
          <wp:positionV relativeFrom="paragraph">
            <wp:posOffset>0</wp:posOffset>
          </wp:positionV>
          <wp:extent cx="6332220" cy="504000"/>
          <wp:effectExtent l="0" t="0" r="0" b="0"/>
          <wp:wrapNone/>
          <wp:docPr id="76" name="Imagen 3">
            <a:extLst xmlns:a="http://schemas.openxmlformats.org/drawingml/2006/main">
              <a:ext uri="{FF2B5EF4-FFF2-40B4-BE49-F238E27FC236}">
                <a16:creationId xmlns:a16="http://schemas.microsoft.com/office/drawing/2014/main" id="{4920047B-6F18-4927-B56B-4F18EAD9EDE1}"/>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4920047B-6F18-4927-B56B-4F18EAD9EDE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332220" cy="5040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C1B7" w14:textId="77777777" w:rsidR="00182CC0" w:rsidRDefault="00182C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44EBB" w14:textId="77777777" w:rsidR="00A6657C" w:rsidRDefault="00A6657C" w:rsidP="00A1505A">
      <w:pPr>
        <w:spacing w:after="0" w:line="240" w:lineRule="auto"/>
      </w:pPr>
      <w:r>
        <w:separator/>
      </w:r>
    </w:p>
  </w:footnote>
  <w:footnote w:type="continuationSeparator" w:id="0">
    <w:p w14:paraId="7A69ACD8" w14:textId="77777777" w:rsidR="00A6657C" w:rsidRDefault="00A6657C" w:rsidP="00A15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6321F" w14:textId="77777777" w:rsidR="00182CC0" w:rsidRDefault="00182C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4972"/>
      <w:gridCol w:w="2541"/>
    </w:tblGrid>
    <w:tr w:rsidR="00FE515F" w:rsidRPr="002830EC" w14:paraId="36A6B015" w14:textId="77777777" w:rsidTr="007924B6">
      <w:trPr>
        <w:trHeight w:val="20"/>
      </w:trPr>
      <w:tc>
        <w:tcPr>
          <w:tcW w:w="2552" w:type="dxa"/>
          <w:vMerge w:val="restart"/>
          <w:vAlign w:val="center"/>
        </w:tcPr>
        <w:p w14:paraId="6A6F14D2" w14:textId="77777777" w:rsidR="00FE515F" w:rsidRPr="002830EC" w:rsidRDefault="00FE515F" w:rsidP="00FE515F">
          <w:pPr>
            <w:spacing w:after="0"/>
            <w:jc w:val="center"/>
            <w:rPr>
              <w:rFonts w:ascii="Times New Roman" w:eastAsia="Verdana" w:hAnsi="Verdana" w:cs="Verdana"/>
              <w:sz w:val="20"/>
              <w:lang w:val="es-ES"/>
            </w:rPr>
          </w:pPr>
          <w:r w:rsidRPr="002830EC">
            <w:rPr>
              <w:rFonts w:ascii="Verdana" w:eastAsia="Verdana" w:hAnsi="Verdana" w:cs="Verdana"/>
              <w:b/>
              <w:noProof/>
              <w:szCs w:val="18"/>
              <w:lang w:eastAsia="es-MX"/>
            </w:rPr>
            <w:drawing>
              <wp:anchor distT="0" distB="0" distL="114300" distR="114300" simplePos="0" relativeHeight="251661312" behindDoc="1" locked="0" layoutInCell="1" allowOverlap="1" wp14:anchorId="7095F88C" wp14:editId="446D04FA">
                <wp:simplePos x="0" y="0"/>
                <wp:positionH relativeFrom="column">
                  <wp:posOffset>19685</wp:posOffset>
                </wp:positionH>
                <wp:positionV relativeFrom="paragraph">
                  <wp:posOffset>198755</wp:posOffset>
                </wp:positionV>
                <wp:extent cx="1571625" cy="464820"/>
                <wp:effectExtent l="0" t="0" r="9525"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1625" cy="464820"/>
                        </a:xfrm>
                        <a:prstGeom prst="rect">
                          <a:avLst/>
                        </a:prstGeom>
                      </pic:spPr>
                    </pic:pic>
                  </a:graphicData>
                </a:graphic>
                <wp14:sizeRelH relativeFrom="margin">
                  <wp14:pctWidth>0</wp14:pctWidth>
                </wp14:sizeRelH>
                <wp14:sizeRelV relativeFrom="margin">
                  <wp14:pctHeight>0</wp14:pctHeight>
                </wp14:sizeRelV>
              </wp:anchor>
            </w:drawing>
          </w:r>
        </w:p>
      </w:tc>
      <w:tc>
        <w:tcPr>
          <w:tcW w:w="4972" w:type="dxa"/>
          <w:vMerge w:val="restart"/>
        </w:tcPr>
        <w:p w14:paraId="427EB573" w14:textId="77777777" w:rsidR="00FE515F" w:rsidRPr="00FE515F" w:rsidRDefault="00FE515F" w:rsidP="00FE515F">
          <w:pPr>
            <w:spacing w:before="159" w:after="0"/>
            <w:ind w:left="115"/>
            <w:jc w:val="center"/>
            <w:rPr>
              <w:rFonts w:ascii="Century Gothic" w:eastAsia="Verdana" w:hAnsi="Century Gothic" w:cs="Verdana"/>
              <w:b/>
              <w:lang w:val="es-ES"/>
            </w:rPr>
          </w:pPr>
          <w:r w:rsidRPr="00FE515F">
            <w:rPr>
              <w:rFonts w:ascii="Century Gothic" w:eastAsia="Verdana" w:hAnsi="Century Gothic" w:cs="Verdana"/>
              <w:b/>
              <w:spacing w:val="-4"/>
              <w:lang w:val="es-ES"/>
            </w:rPr>
            <w:t>PROCESO GESTIÓN ADMINISTRATIVA</w:t>
          </w:r>
        </w:p>
      </w:tc>
      <w:tc>
        <w:tcPr>
          <w:tcW w:w="2541" w:type="dxa"/>
          <w:vAlign w:val="center"/>
        </w:tcPr>
        <w:p w14:paraId="1203CB9B" w14:textId="6C8266FB" w:rsidR="00FE515F" w:rsidRPr="00FE515F" w:rsidRDefault="00FE515F" w:rsidP="00FE515F">
          <w:pPr>
            <w:spacing w:before="32" w:after="0"/>
            <w:ind w:left="115"/>
            <w:rPr>
              <w:rFonts w:ascii="Century Gothic" w:eastAsia="Verdana" w:hAnsi="Century Gothic" w:cs="Verdana"/>
              <w:sz w:val="18"/>
              <w:lang w:val="es-ES"/>
            </w:rPr>
          </w:pPr>
          <w:r w:rsidRPr="00FE515F">
            <w:rPr>
              <w:rFonts w:ascii="Century Gothic" w:eastAsia="Verdana" w:hAnsi="Century Gothic" w:cs="Verdana"/>
              <w:spacing w:val="-4"/>
              <w:sz w:val="18"/>
              <w:lang w:val="es-ES"/>
            </w:rPr>
            <w:t xml:space="preserve">Código: </w:t>
          </w:r>
          <w:r w:rsidR="00D8483E">
            <w:rPr>
              <w:rFonts w:ascii="Century Gothic" w:eastAsia="Verdana" w:hAnsi="Century Gothic" w:cs="Verdana"/>
              <w:spacing w:val="-4"/>
              <w:sz w:val="18"/>
              <w:lang w:val="es-ES"/>
            </w:rPr>
            <w:t>IN</w:t>
          </w:r>
          <w:r w:rsidRPr="00FE515F">
            <w:rPr>
              <w:rFonts w:ascii="Century Gothic" w:eastAsia="Verdana" w:hAnsi="Century Gothic" w:cs="Verdana"/>
              <w:spacing w:val="-4"/>
              <w:sz w:val="18"/>
              <w:lang w:val="es-ES"/>
            </w:rPr>
            <w:t>-GAD-00</w:t>
          </w:r>
          <w:r w:rsidR="00D8483E">
            <w:rPr>
              <w:rFonts w:ascii="Century Gothic" w:eastAsia="Verdana" w:hAnsi="Century Gothic" w:cs="Verdana"/>
              <w:spacing w:val="-4"/>
              <w:sz w:val="18"/>
              <w:lang w:val="es-ES"/>
            </w:rPr>
            <w:t>8</w:t>
          </w:r>
        </w:p>
      </w:tc>
    </w:tr>
    <w:tr w:rsidR="00FE515F" w:rsidRPr="002830EC" w14:paraId="47314208" w14:textId="77777777" w:rsidTr="007924B6">
      <w:trPr>
        <w:trHeight w:val="20"/>
      </w:trPr>
      <w:tc>
        <w:tcPr>
          <w:tcW w:w="2552" w:type="dxa"/>
          <w:vMerge/>
          <w:tcBorders>
            <w:top w:val="nil"/>
          </w:tcBorders>
        </w:tcPr>
        <w:p w14:paraId="33BDE701" w14:textId="77777777" w:rsidR="00FE515F" w:rsidRPr="002830EC" w:rsidRDefault="00FE515F" w:rsidP="00FE515F">
          <w:pPr>
            <w:spacing w:after="0"/>
            <w:rPr>
              <w:sz w:val="2"/>
              <w:szCs w:val="2"/>
            </w:rPr>
          </w:pPr>
        </w:p>
      </w:tc>
      <w:tc>
        <w:tcPr>
          <w:tcW w:w="4972" w:type="dxa"/>
          <w:vMerge/>
          <w:tcBorders>
            <w:top w:val="nil"/>
          </w:tcBorders>
        </w:tcPr>
        <w:p w14:paraId="1753CEE2" w14:textId="77777777" w:rsidR="00FE515F" w:rsidRPr="00FE515F" w:rsidRDefault="00FE515F" w:rsidP="00FE515F">
          <w:pPr>
            <w:spacing w:after="0"/>
            <w:rPr>
              <w:rFonts w:ascii="Century Gothic" w:hAnsi="Century Gothic"/>
              <w:sz w:val="2"/>
              <w:szCs w:val="2"/>
            </w:rPr>
          </w:pPr>
        </w:p>
      </w:tc>
      <w:tc>
        <w:tcPr>
          <w:tcW w:w="2541" w:type="dxa"/>
          <w:vAlign w:val="center"/>
        </w:tcPr>
        <w:p w14:paraId="05346C74" w14:textId="489388B9" w:rsidR="00FE515F" w:rsidRPr="00FE515F" w:rsidRDefault="00FE515F" w:rsidP="00FE515F">
          <w:pPr>
            <w:spacing w:before="30" w:after="0"/>
            <w:ind w:left="115"/>
            <w:rPr>
              <w:rFonts w:ascii="Century Gothic" w:eastAsia="Verdana" w:hAnsi="Century Gothic" w:cs="Verdana"/>
              <w:sz w:val="18"/>
              <w:lang w:val="es-ES"/>
            </w:rPr>
          </w:pPr>
          <w:r w:rsidRPr="00FE515F">
            <w:rPr>
              <w:rFonts w:ascii="Century Gothic" w:eastAsia="Verdana" w:hAnsi="Century Gothic" w:cs="Verdana"/>
              <w:w w:val="85"/>
              <w:sz w:val="18"/>
              <w:lang w:val="es-ES"/>
            </w:rPr>
            <w:t>Versión:</w:t>
          </w:r>
          <w:r w:rsidRPr="00FE515F">
            <w:rPr>
              <w:rFonts w:ascii="Century Gothic" w:eastAsia="Verdana" w:hAnsi="Century Gothic" w:cs="Verdana"/>
              <w:spacing w:val="16"/>
              <w:sz w:val="18"/>
              <w:lang w:val="es-ES"/>
            </w:rPr>
            <w:t xml:space="preserve"> 0</w:t>
          </w:r>
          <w:r w:rsidR="00D8483E">
            <w:rPr>
              <w:rFonts w:ascii="Century Gothic" w:eastAsia="Verdana" w:hAnsi="Century Gothic" w:cs="Verdana"/>
              <w:spacing w:val="16"/>
              <w:sz w:val="18"/>
              <w:lang w:val="es-ES"/>
            </w:rPr>
            <w:t>0</w:t>
          </w:r>
        </w:p>
      </w:tc>
    </w:tr>
    <w:tr w:rsidR="00FE515F" w:rsidRPr="002830EC" w14:paraId="42422FBD" w14:textId="77777777" w:rsidTr="007924B6">
      <w:trPr>
        <w:trHeight w:val="20"/>
      </w:trPr>
      <w:tc>
        <w:tcPr>
          <w:tcW w:w="2552" w:type="dxa"/>
          <w:vMerge/>
          <w:tcBorders>
            <w:top w:val="nil"/>
          </w:tcBorders>
        </w:tcPr>
        <w:p w14:paraId="47BF06F8" w14:textId="77777777" w:rsidR="00FE515F" w:rsidRPr="002830EC" w:rsidRDefault="00FE515F" w:rsidP="00FE515F">
          <w:pPr>
            <w:spacing w:after="0"/>
            <w:rPr>
              <w:sz w:val="2"/>
              <w:szCs w:val="2"/>
            </w:rPr>
          </w:pPr>
        </w:p>
      </w:tc>
      <w:tc>
        <w:tcPr>
          <w:tcW w:w="4972" w:type="dxa"/>
          <w:vMerge w:val="restart"/>
        </w:tcPr>
        <w:p w14:paraId="067B3EAD" w14:textId="2C6DCCFD" w:rsidR="00FE515F" w:rsidRPr="00FE515F" w:rsidRDefault="00FE515F" w:rsidP="00FE515F">
          <w:pPr>
            <w:spacing w:before="60" w:after="0" w:line="280" w:lineRule="auto"/>
            <w:ind w:left="115"/>
            <w:jc w:val="center"/>
            <w:rPr>
              <w:rFonts w:ascii="Century Gothic" w:eastAsia="Verdana" w:hAnsi="Century Gothic" w:cs="Verdana"/>
              <w:b/>
              <w:lang w:val="es-ES"/>
            </w:rPr>
          </w:pPr>
          <w:r w:rsidRPr="00FE515F">
            <w:rPr>
              <w:rFonts w:ascii="Century Gothic" w:eastAsia="Arial" w:hAnsi="Century Gothic" w:cs="Arial"/>
              <w:b/>
              <w:lang w:val="es-MX" w:eastAsia="es-ES"/>
            </w:rPr>
            <w:t xml:space="preserve">INSTRUCTIVO PARA IMPLEMENTACION DE COMPARENDO AMBIENTAL </w:t>
          </w:r>
        </w:p>
      </w:tc>
      <w:tc>
        <w:tcPr>
          <w:tcW w:w="2541" w:type="dxa"/>
          <w:vAlign w:val="center"/>
        </w:tcPr>
        <w:p w14:paraId="41201983" w14:textId="77777777" w:rsidR="00FE515F" w:rsidRPr="00FE515F" w:rsidRDefault="00FE515F" w:rsidP="00FE515F">
          <w:pPr>
            <w:spacing w:after="0" w:line="220" w:lineRule="exact"/>
            <w:ind w:left="115"/>
            <w:rPr>
              <w:rFonts w:ascii="Century Gothic" w:eastAsia="Verdana" w:hAnsi="Century Gothic" w:cs="Verdana"/>
              <w:sz w:val="18"/>
              <w:lang w:val="es-ES"/>
            </w:rPr>
          </w:pPr>
          <w:r w:rsidRPr="00FE515F">
            <w:rPr>
              <w:rFonts w:ascii="Century Gothic" w:eastAsia="Verdana" w:hAnsi="Century Gothic" w:cs="Verdana"/>
              <w:sz w:val="18"/>
              <w:lang w:val="es-ES"/>
            </w:rPr>
            <w:t xml:space="preserve">Fecha de aprobación:    </w:t>
          </w:r>
        </w:p>
        <w:p w14:paraId="077F85F1" w14:textId="1FEFF0F7" w:rsidR="00FE515F" w:rsidRPr="00FE515F" w:rsidRDefault="00182CC0" w:rsidP="00FE515F">
          <w:pPr>
            <w:spacing w:after="0" w:line="220" w:lineRule="exact"/>
            <w:ind w:left="115"/>
            <w:rPr>
              <w:rFonts w:ascii="Century Gothic" w:eastAsia="Verdana" w:hAnsi="Century Gothic" w:cs="Verdana"/>
              <w:sz w:val="18"/>
              <w:lang w:val="es-ES"/>
            </w:rPr>
          </w:pPr>
          <w:r>
            <w:rPr>
              <w:rFonts w:ascii="Century Gothic" w:eastAsia="Verdana" w:hAnsi="Century Gothic" w:cs="Verdana"/>
              <w:sz w:val="18"/>
              <w:lang w:val="es-ES"/>
            </w:rPr>
            <w:t>12</w:t>
          </w:r>
          <w:r w:rsidR="00FE515F" w:rsidRPr="00FE515F">
            <w:rPr>
              <w:rFonts w:ascii="Century Gothic" w:eastAsia="Verdana" w:hAnsi="Century Gothic" w:cs="Verdana"/>
              <w:sz w:val="18"/>
              <w:lang w:val="es-ES"/>
            </w:rPr>
            <w:t xml:space="preserve"> de </w:t>
          </w:r>
          <w:r w:rsidR="00FF411C">
            <w:rPr>
              <w:rFonts w:ascii="Century Gothic" w:eastAsia="Verdana" w:hAnsi="Century Gothic" w:cs="Verdana"/>
              <w:sz w:val="18"/>
              <w:lang w:val="es-ES"/>
            </w:rPr>
            <w:t>mayo</w:t>
          </w:r>
          <w:r w:rsidR="00FE515F" w:rsidRPr="00FE515F">
            <w:rPr>
              <w:rFonts w:ascii="Century Gothic" w:eastAsia="Verdana" w:hAnsi="Century Gothic" w:cs="Verdana"/>
              <w:sz w:val="18"/>
              <w:lang w:val="es-ES"/>
            </w:rPr>
            <w:t xml:space="preserve"> de 2025</w:t>
          </w:r>
        </w:p>
      </w:tc>
    </w:tr>
    <w:tr w:rsidR="00FE515F" w:rsidRPr="002830EC" w14:paraId="7D5CEA50" w14:textId="77777777" w:rsidTr="007924B6">
      <w:trPr>
        <w:trHeight w:val="20"/>
      </w:trPr>
      <w:tc>
        <w:tcPr>
          <w:tcW w:w="2552" w:type="dxa"/>
          <w:vMerge/>
          <w:tcBorders>
            <w:top w:val="nil"/>
          </w:tcBorders>
        </w:tcPr>
        <w:p w14:paraId="002E408D" w14:textId="77777777" w:rsidR="00FE515F" w:rsidRPr="002830EC" w:rsidRDefault="00FE515F" w:rsidP="00FE515F">
          <w:pPr>
            <w:spacing w:after="0"/>
            <w:rPr>
              <w:sz w:val="2"/>
              <w:szCs w:val="2"/>
            </w:rPr>
          </w:pPr>
        </w:p>
      </w:tc>
      <w:tc>
        <w:tcPr>
          <w:tcW w:w="4972" w:type="dxa"/>
          <w:vMerge/>
          <w:tcBorders>
            <w:top w:val="nil"/>
          </w:tcBorders>
        </w:tcPr>
        <w:p w14:paraId="096F215D" w14:textId="77777777" w:rsidR="00FE515F" w:rsidRPr="002830EC" w:rsidRDefault="00FE515F" w:rsidP="00FE515F">
          <w:pPr>
            <w:spacing w:after="0"/>
            <w:rPr>
              <w:sz w:val="2"/>
              <w:szCs w:val="2"/>
            </w:rPr>
          </w:pPr>
        </w:p>
      </w:tc>
      <w:tc>
        <w:tcPr>
          <w:tcW w:w="2541" w:type="dxa"/>
          <w:vAlign w:val="center"/>
        </w:tcPr>
        <w:p w14:paraId="075FB2D9" w14:textId="77777777" w:rsidR="00FE515F" w:rsidRPr="00FE515F" w:rsidRDefault="00FE515F" w:rsidP="00FE515F">
          <w:pPr>
            <w:spacing w:before="30" w:after="0"/>
            <w:ind w:left="115"/>
            <w:rPr>
              <w:rFonts w:ascii="Century Gothic" w:eastAsia="Verdana" w:hAnsi="Century Gothic" w:cs="Verdana"/>
              <w:sz w:val="18"/>
              <w:lang w:val="es-ES"/>
            </w:rPr>
          </w:pPr>
          <w:r w:rsidRPr="00FE515F">
            <w:rPr>
              <w:rFonts w:ascii="Century Gothic" w:eastAsia="Verdana" w:hAnsi="Century Gothic" w:cs="Verdana"/>
              <w:spacing w:val="-4"/>
              <w:sz w:val="18"/>
              <w:lang w:val="es-ES"/>
            </w:rPr>
            <w:t>Página:</w:t>
          </w:r>
          <w:r w:rsidRPr="00FE515F">
            <w:rPr>
              <w:rFonts w:ascii="Century Gothic" w:eastAsia="Verdana" w:hAnsi="Century Gothic" w:cs="Verdana"/>
              <w:spacing w:val="-10"/>
              <w:sz w:val="18"/>
              <w:lang w:val="es-ES"/>
            </w:rPr>
            <w:t xml:space="preserve"> </w:t>
          </w:r>
          <w:r w:rsidRPr="00FE515F">
            <w:rPr>
              <w:rFonts w:ascii="Century Gothic" w:eastAsia="Verdana" w:hAnsi="Century Gothic" w:cs="Verdana"/>
              <w:spacing w:val="-4"/>
              <w:sz w:val="18"/>
            </w:rPr>
            <w:fldChar w:fldCharType="begin"/>
          </w:r>
          <w:r w:rsidRPr="00FE515F">
            <w:rPr>
              <w:rFonts w:ascii="Century Gothic" w:eastAsia="Verdana" w:hAnsi="Century Gothic" w:cs="Verdana"/>
              <w:spacing w:val="-4"/>
              <w:sz w:val="18"/>
              <w:lang w:val="es-ES"/>
            </w:rPr>
            <w:instrText xml:space="preserve"> PAGE </w:instrText>
          </w:r>
          <w:r w:rsidRPr="00FE515F">
            <w:rPr>
              <w:rFonts w:ascii="Century Gothic" w:eastAsia="Verdana" w:hAnsi="Century Gothic" w:cs="Verdana"/>
              <w:spacing w:val="-4"/>
              <w:sz w:val="18"/>
            </w:rPr>
            <w:fldChar w:fldCharType="separate"/>
          </w:r>
          <w:r w:rsidRPr="00FE515F">
            <w:rPr>
              <w:rFonts w:ascii="Century Gothic" w:eastAsia="Verdana" w:hAnsi="Century Gothic" w:cs="Verdana"/>
              <w:noProof/>
              <w:spacing w:val="-4"/>
              <w:sz w:val="18"/>
              <w:lang w:val="es-ES"/>
            </w:rPr>
            <w:t>1</w:t>
          </w:r>
          <w:r w:rsidRPr="00FE515F">
            <w:rPr>
              <w:rFonts w:ascii="Century Gothic" w:eastAsia="Verdana" w:hAnsi="Century Gothic" w:cs="Verdana"/>
              <w:spacing w:val="-4"/>
              <w:sz w:val="18"/>
            </w:rPr>
            <w:fldChar w:fldCharType="end"/>
          </w:r>
          <w:r w:rsidRPr="00FE515F">
            <w:rPr>
              <w:rFonts w:ascii="Century Gothic" w:eastAsia="Verdana" w:hAnsi="Century Gothic" w:cs="Verdana"/>
              <w:spacing w:val="-8"/>
              <w:sz w:val="18"/>
              <w:lang w:val="es-ES"/>
            </w:rPr>
            <w:t xml:space="preserve"> </w:t>
          </w:r>
          <w:r w:rsidRPr="00FE515F">
            <w:rPr>
              <w:rFonts w:ascii="Century Gothic" w:eastAsia="Verdana" w:hAnsi="Century Gothic" w:cs="Verdana"/>
              <w:spacing w:val="-4"/>
              <w:sz w:val="18"/>
              <w:lang w:val="es-ES"/>
            </w:rPr>
            <w:t>de</w:t>
          </w:r>
          <w:r w:rsidRPr="00FE515F">
            <w:rPr>
              <w:rFonts w:ascii="Century Gothic" w:eastAsia="Verdana" w:hAnsi="Century Gothic" w:cs="Verdana"/>
              <w:spacing w:val="-9"/>
              <w:sz w:val="18"/>
              <w:lang w:val="es-ES"/>
            </w:rPr>
            <w:t xml:space="preserve"> </w:t>
          </w:r>
          <w:r w:rsidRPr="00FE515F">
            <w:rPr>
              <w:rFonts w:ascii="Century Gothic" w:eastAsia="Verdana" w:hAnsi="Century Gothic" w:cs="Verdana"/>
              <w:spacing w:val="-5"/>
              <w:sz w:val="18"/>
            </w:rPr>
            <w:fldChar w:fldCharType="begin"/>
          </w:r>
          <w:r w:rsidRPr="00FE515F">
            <w:rPr>
              <w:rFonts w:ascii="Century Gothic" w:eastAsia="Verdana" w:hAnsi="Century Gothic" w:cs="Verdana"/>
              <w:spacing w:val="-5"/>
              <w:sz w:val="18"/>
              <w:lang w:val="es-ES"/>
            </w:rPr>
            <w:instrText xml:space="preserve"> NUMPAGES </w:instrText>
          </w:r>
          <w:r w:rsidRPr="00FE515F">
            <w:rPr>
              <w:rFonts w:ascii="Century Gothic" w:eastAsia="Verdana" w:hAnsi="Century Gothic" w:cs="Verdana"/>
              <w:spacing w:val="-5"/>
              <w:sz w:val="18"/>
            </w:rPr>
            <w:fldChar w:fldCharType="separate"/>
          </w:r>
          <w:r w:rsidRPr="00FE515F">
            <w:rPr>
              <w:rFonts w:ascii="Century Gothic" w:eastAsia="Verdana" w:hAnsi="Century Gothic" w:cs="Verdana"/>
              <w:noProof/>
              <w:spacing w:val="-5"/>
              <w:sz w:val="18"/>
              <w:lang w:val="es-ES"/>
            </w:rPr>
            <w:t>1</w:t>
          </w:r>
          <w:r w:rsidRPr="00FE515F">
            <w:rPr>
              <w:rFonts w:ascii="Century Gothic" w:eastAsia="Verdana" w:hAnsi="Century Gothic" w:cs="Verdana"/>
              <w:spacing w:val="-5"/>
              <w:sz w:val="18"/>
            </w:rPr>
            <w:fldChar w:fldCharType="end"/>
          </w:r>
        </w:p>
      </w:tc>
    </w:tr>
  </w:tbl>
  <w:p w14:paraId="323627CC" w14:textId="77777777" w:rsidR="00FE515F" w:rsidRDefault="00FE515F" w:rsidP="00FE515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4C3E" w14:textId="77777777" w:rsidR="00182CC0" w:rsidRDefault="00182C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C6E"/>
    <w:multiLevelType w:val="hybridMultilevel"/>
    <w:tmpl w:val="0F0A2F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515C90"/>
    <w:multiLevelType w:val="hybridMultilevel"/>
    <w:tmpl w:val="3AB0E4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2056205"/>
    <w:multiLevelType w:val="hybridMultilevel"/>
    <w:tmpl w:val="4B3EF64A"/>
    <w:lvl w:ilvl="0" w:tplc="08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05A"/>
    <w:rsid w:val="000175FD"/>
    <w:rsid w:val="0005192A"/>
    <w:rsid w:val="001405FB"/>
    <w:rsid w:val="00177A00"/>
    <w:rsid w:val="00182CC0"/>
    <w:rsid w:val="00256B9D"/>
    <w:rsid w:val="002D3A0C"/>
    <w:rsid w:val="003E7D18"/>
    <w:rsid w:val="00502BF3"/>
    <w:rsid w:val="0052453C"/>
    <w:rsid w:val="005E5973"/>
    <w:rsid w:val="006157C3"/>
    <w:rsid w:val="00697DBC"/>
    <w:rsid w:val="006F3046"/>
    <w:rsid w:val="00783760"/>
    <w:rsid w:val="007A1767"/>
    <w:rsid w:val="007E375C"/>
    <w:rsid w:val="008229E3"/>
    <w:rsid w:val="00852E4B"/>
    <w:rsid w:val="00942241"/>
    <w:rsid w:val="0099561A"/>
    <w:rsid w:val="009D3BAF"/>
    <w:rsid w:val="00A1505A"/>
    <w:rsid w:val="00A322A4"/>
    <w:rsid w:val="00A35A4D"/>
    <w:rsid w:val="00A6657C"/>
    <w:rsid w:val="00A73953"/>
    <w:rsid w:val="00AB5EF0"/>
    <w:rsid w:val="00AC5275"/>
    <w:rsid w:val="00B27E66"/>
    <w:rsid w:val="00B77089"/>
    <w:rsid w:val="00B91A6C"/>
    <w:rsid w:val="00BB1806"/>
    <w:rsid w:val="00CC0511"/>
    <w:rsid w:val="00CF167C"/>
    <w:rsid w:val="00D5491D"/>
    <w:rsid w:val="00D8483E"/>
    <w:rsid w:val="00DF1242"/>
    <w:rsid w:val="00E612B7"/>
    <w:rsid w:val="00EC2DC4"/>
    <w:rsid w:val="00F36948"/>
    <w:rsid w:val="00F537A9"/>
    <w:rsid w:val="00F6625A"/>
    <w:rsid w:val="00FE515F"/>
    <w:rsid w:val="00FF3E02"/>
    <w:rsid w:val="00FF41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E3E2"/>
  <w15:chartTrackingRefBased/>
  <w15:docId w15:val="{3FBEDC55-0BF7-4C93-8D11-F798903E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241"/>
    <w:pPr>
      <w:keepNext/>
      <w:keepLines/>
      <w:spacing w:before="240" w:after="0"/>
      <w:outlineLvl w:val="0"/>
    </w:pPr>
    <w:rPr>
      <w:rFonts w:ascii="Century Gothic" w:eastAsiaTheme="majorEastAsia" w:hAnsi="Century Gothic" w:cstheme="majorBidi"/>
      <w:b/>
      <w:color w:val="000000" w:themeColor="text1"/>
      <w:szCs w:val="32"/>
    </w:rPr>
  </w:style>
  <w:style w:type="paragraph" w:styleId="Ttulo2">
    <w:name w:val="heading 2"/>
    <w:basedOn w:val="Normal"/>
    <w:next w:val="Normal"/>
    <w:link w:val="Ttulo2Car"/>
    <w:uiPriority w:val="9"/>
    <w:unhideWhenUsed/>
    <w:qFormat/>
    <w:rsid w:val="00942241"/>
    <w:pPr>
      <w:keepNext/>
      <w:keepLines/>
      <w:spacing w:before="40" w:after="0"/>
      <w:outlineLvl w:val="1"/>
    </w:pPr>
    <w:rPr>
      <w:rFonts w:ascii="Century Gothic" w:eastAsiaTheme="majorEastAsia" w:hAnsi="Century Gothic"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50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505A"/>
  </w:style>
  <w:style w:type="paragraph" w:styleId="Piedepgina">
    <w:name w:val="footer"/>
    <w:basedOn w:val="Normal"/>
    <w:link w:val="PiedepginaCar"/>
    <w:uiPriority w:val="99"/>
    <w:unhideWhenUsed/>
    <w:rsid w:val="00A150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505A"/>
  </w:style>
  <w:style w:type="table" w:customStyle="1" w:styleId="1">
    <w:name w:val="1"/>
    <w:basedOn w:val="Tablanormal"/>
    <w:rsid w:val="00A1505A"/>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paragraph" w:styleId="Sinespaciado">
    <w:name w:val="No Spacing"/>
    <w:uiPriority w:val="1"/>
    <w:qFormat/>
    <w:rsid w:val="00A1505A"/>
    <w:pPr>
      <w:spacing w:after="0" w:line="240" w:lineRule="auto"/>
    </w:pPr>
  </w:style>
  <w:style w:type="character" w:customStyle="1" w:styleId="Ttulo1Car">
    <w:name w:val="Título 1 Car"/>
    <w:basedOn w:val="Fuentedeprrafopredeter"/>
    <w:link w:val="Ttulo1"/>
    <w:uiPriority w:val="9"/>
    <w:rsid w:val="00942241"/>
    <w:rPr>
      <w:rFonts w:ascii="Century Gothic" w:eastAsiaTheme="majorEastAsia" w:hAnsi="Century Gothic" w:cstheme="majorBidi"/>
      <w:b/>
      <w:color w:val="000000" w:themeColor="text1"/>
      <w:szCs w:val="32"/>
    </w:rPr>
  </w:style>
  <w:style w:type="table" w:customStyle="1" w:styleId="10">
    <w:name w:val="10"/>
    <w:basedOn w:val="Tablanormal"/>
    <w:rsid w:val="00A1505A"/>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paragraph" w:styleId="Prrafodelista">
    <w:name w:val="List Paragraph"/>
    <w:basedOn w:val="Normal"/>
    <w:uiPriority w:val="34"/>
    <w:qFormat/>
    <w:rsid w:val="00D5491D"/>
    <w:pPr>
      <w:ind w:left="720"/>
      <w:contextualSpacing/>
    </w:pPr>
  </w:style>
  <w:style w:type="table" w:customStyle="1" w:styleId="9">
    <w:name w:val="9"/>
    <w:basedOn w:val="Tablanormal"/>
    <w:rsid w:val="00D5491D"/>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paragraph" w:styleId="NormalWeb">
    <w:name w:val="Normal (Web)"/>
    <w:basedOn w:val="Normal"/>
    <w:uiPriority w:val="99"/>
    <w:unhideWhenUsed/>
    <w:rsid w:val="0005192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05192A"/>
    <w:rPr>
      <w:b/>
      <w:bCs/>
    </w:rPr>
  </w:style>
  <w:style w:type="character" w:customStyle="1" w:styleId="Ttulo2Car">
    <w:name w:val="Título 2 Car"/>
    <w:basedOn w:val="Fuentedeprrafopredeter"/>
    <w:link w:val="Ttulo2"/>
    <w:uiPriority w:val="9"/>
    <w:rsid w:val="00942241"/>
    <w:rPr>
      <w:rFonts w:ascii="Century Gothic" w:eastAsiaTheme="majorEastAsia" w:hAnsi="Century Gothic" w:cstheme="majorBidi"/>
      <w:b/>
      <w:szCs w:val="26"/>
    </w:rPr>
  </w:style>
  <w:style w:type="table" w:customStyle="1" w:styleId="TableNormal">
    <w:name w:val="Table Normal"/>
    <w:uiPriority w:val="2"/>
    <w:semiHidden/>
    <w:unhideWhenUsed/>
    <w:qFormat/>
    <w:rsid w:val="00FE515F"/>
    <w:pPr>
      <w:widowControl w:val="0"/>
      <w:autoSpaceDE w:val="0"/>
      <w:autoSpaceDN w:val="0"/>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2742">
      <w:bodyDiv w:val="1"/>
      <w:marLeft w:val="0"/>
      <w:marRight w:val="0"/>
      <w:marTop w:val="0"/>
      <w:marBottom w:val="0"/>
      <w:divBdr>
        <w:top w:val="none" w:sz="0" w:space="0" w:color="auto"/>
        <w:left w:val="none" w:sz="0" w:space="0" w:color="auto"/>
        <w:bottom w:val="none" w:sz="0" w:space="0" w:color="auto"/>
        <w:right w:val="none" w:sz="0" w:space="0" w:color="auto"/>
      </w:divBdr>
    </w:div>
    <w:div w:id="26326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1128</Words>
  <Characters>6208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 OBRERO</dc:creator>
  <cp:keywords/>
  <dc:description/>
  <cp:lastModifiedBy>IPS OBRERO</cp:lastModifiedBy>
  <cp:revision>37</cp:revision>
  <cp:lastPrinted>2025-05-12T21:00:00Z</cp:lastPrinted>
  <dcterms:created xsi:type="dcterms:W3CDTF">2025-03-04T18:57:00Z</dcterms:created>
  <dcterms:modified xsi:type="dcterms:W3CDTF">2025-05-12T21:00:00Z</dcterms:modified>
</cp:coreProperties>
</file>