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EA138" w14:textId="682B0E6E" w:rsidR="00217CEF" w:rsidRDefault="00217CEF" w:rsidP="0028573C"/>
    <w:p w14:paraId="56D57337" w14:textId="7ECB72BA" w:rsidR="00847A06" w:rsidRDefault="00847A06" w:rsidP="0028573C"/>
    <w:p w14:paraId="5DFD4D38" w14:textId="133C8CEB" w:rsidR="00847A06" w:rsidRDefault="00847A06" w:rsidP="0028573C"/>
    <w:p w14:paraId="14F6BE4F" w14:textId="77777777" w:rsidR="00847A06" w:rsidRDefault="00847A06" w:rsidP="0028573C"/>
    <w:p w14:paraId="3BAE9ACC" w14:textId="02BA96F2" w:rsidR="00FD7C34" w:rsidRDefault="00FD7C34" w:rsidP="00FE635A">
      <w:pPr>
        <w:widowControl w:val="0"/>
        <w:autoSpaceDE w:val="0"/>
        <w:autoSpaceDN w:val="0"/>
        <w:rPr>
          <w:rFonts w:eastAsia="Verdana" w:cs="Verdana"/>
          <w:lang w:val="es-ES"/>
        </w:rPr>
      </w:pPr>
    </w:p>
    <w:tbl>
      <w:tblPr>
        <w:tblpPr w:leftFromText="141" w:rightFromText="141" w:vertAnchor="text" w:horzAnchor="margin" w:tblpY="805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2552"/>
        <w:gridCol w:w="2409"/>
        <w:gridCol w:w="2557"/>
      </w:tblGrid>
      <w:tr w:rsidR="008F7AD0" w:rsidRPr="008F7AD0" w14:paraId="324A1E69" w14:textId="77777777" w:rsidTr="00E929DD">
        <w:trPr>
          <w:trHeight w:val="776"/>
        </w:trPr>
        <w:tc>
          <w:tcPr>
            <w:tcW w:w="2405" w:type="dxa"/>
            <w:tcBorders>
              <w:bottom w:val="nil"/>
            </w:tcBorders>
          </w:tcPr>
          <w:p w14:paraId="3038D99B" w14:textId="77777777" w:rsidR="008F7AD0" w:rsidRPr="008F7AD0" w:rsidRDefault="008F7AD0" w:rsidP="008F7AD0">
            <w:pPr>
              <w:jc w:val="left"/>
              <w:rPr>
                <w:sz w:val="20"/>
                <w:szCs w:val="20"/>
              </w:rPr>
            </w:pPr>
          </w:p>
          <w:p w14:paraId="1000EA20" w14:textId="77777777" w:rsidR="008F7AD0" w:rsidRPr="008F7AD0" w:rsidRDefault="008F7AD0" w:rsidP="008F7AD0">
            <w:pPr>
              <w:jc w:val="left"/>
              <w:rPr>
                <w:sz w:val="20"/>
                <w:szCs w:val="20"/>
              </w:rPr>
            </w:pPr>
            <w:r w:rsidRPr="008F7AD0">
              <w:rPr>
                <w:sz w:val="20"/>
                <w:szCs w:val="20"/>
              </w:rPr>
              <w:t xml:space="preserve"> Elaboración:</w:t>
            </w:r>
          </w:p>
          <w:p w14:paraId="0E2286CC" w14:textId="77777777" w:rsidR="008F7AD0" w:rsidRPr="008F7AD0" w:rsidRDefault="008F7AD0" w:rsidP="008F7AD0">
            <w:pPr>
              <w:jc w:val="left"/>
              <w:rPr>
                <w:sz w:val="20"/>
                <w:szCs w:val="20"/>
              </w:rPr>
            </w:pPr>
          </w:p>
        </w:tc>
        <w:tc>
          <w:tcPr>
            <w:tcW w:w="2552" w:type="dxa"/>
            <w:tcBorders>
              <w:bottom w:val="nil"/>
            </w:tcBorders>
          </w:tcPr>
          <w:p w14:paraId="5D9A0A49" w14:textId="77777777" w:rsidR="008F7AD0" w:rsidRPr="008F7AD0" w:rsidRDefault="008F7AD0" w:rsidP="008F7AD0">
            <w:pPr>
              <w:jc w:val="left"/>
              <w:rPr>
                <w:sz w:val="20"/>
                <w:szCs w:val="20"/>
              </w:rPr>
            </w:pPr>
            <w:r w:rsidRPr="008F7AD0">
              <w:rPr>
                <w:sz w:val="20"/>
                <w:szCs w:val="20"/>
              </w:rPr>
              <w:t xml:space="preserve"> Revisión </w:t>
            </w:r>
          </w:p>
          <w:p w14:paraId="79898BFA" w14:textId="77777777" w:rsidR="008F7AD0" w:rsidRPr="008F7AD0" w:rsidRDefault="008F7AD0" w:rsidP="008F7AD0">
            <w:pPr>
              <w:jc w:val="left"/>
              <w:rPr>
                <w:sz w:val="20"/>
                <w:szCs w:val="20"/>
              </w:rPr>
            </w:pPr>
            <w:r w:rsidRPr="008F7AD0">
              <w:rPr>
                <w:noProof/>
                <w:sz w:val="20"/>
                <w:szCs w:val="20"/>
                <w:lang w:eastAsia="es-MX"/>
              </w:rPr>
              <w:drawing>
                <wp:anchor distT="0" distB="0" distL="114300" distR="114300" simplePos="0" relativeHeight="251659264" behindDoc="1" locked="0" layoutInCell="1" allowOverlap="1" wp14:anchorId="13124405" wp14:editId="3EC82844">
                  <wp:simplePos x="0" y="0"/>
                  <wp:positionH relativeFrom="column">
                    <wp:posOffset>9525</wp:posOffset>
                  </wp:positionH>
                  <wp:positionV relativeFrom="paragraph">
                    <wp:posOffset>119380</wp:posOffset>
                  </wp:positionV>
                  <wp:extent cx="1532121" cy="583894"/>
                  <wp:effectExtent l="0" t="0" r="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2121" cy="583894"/>
                          </a:xfrm>
                          <a:prstGeom prst="rect">
                            <a:avLst/>
                          </a:prstGeom>
                          <a:noFill/>
                        </pic:spPr>
                      </pic:pic>
                    </a:graphicData>
                  </a:graphic>
                  <wp14:sizeRelH relativeFrom="margin">
                    <wp14:pctWidth>0</wp14:pctWidth>
                  </wp14:sizeRelH>
                  <wp14:sizeRelV relativeFrom="margin">
                    <wp14:pctHeight>0</wp14:pctHeight>
                  </wp14:sizeRelV>
                </wp:anchor>
              </w:drawing>
            </w:r>
            <w:r w:rsidRPr="008F7AD0">
              <w:rPr>
                <w:sz w:val="20"/>
                <w:szCs w:val="20"/>
              </w:rPr>
              <w:t xml:space="preserve"> Técnico/Científica:</w:t>
            </w:r>
          </w:p>
          <w:p w14:paraId="2CCBE085" w14:textId="77777777" w:rsidR="008F7AD0" w:rsidRPr="008F7AD0" w:rsidRDefault="008F7AD0" w:rsidP="008F7AD0">
            <w:pPr>
              <w:jc w:val="left"/>
              <w:rPr>
                <w:sz w:val="20"/>
                <w:szCs w:val="20"/>
              </w:rPr>
            </w:pPr>
          </w:p>
        </w:tc>
        <w:tc>
          <w:tcPr>
            <w:tcW w:w="2409" w:type="dxa"/>
            <w:tcBorders>
              <w:bottom w:val="nil"/>
            </w:tcBorders>
          </w:tcPr>
          <w:p w14:paraId="24711AF8" w14:textId="77777777" w:rsidR="008F7AD0" w:rsidRPr="008F7AD0" w:rsidRDefault="008F7AD0" w:rsidP="008F7AD0">
            <w:pPr>
              <w:jc w:val="left"/>
              <w:rPr>
                <w:sz w:val="20"/>
                <w:szCs w:val="20"/>
              </w:rPr>
            </w:pPr>
          </w:p>
          <w:p w14:paraId="22246EF7" w14:textId="77777777" w:rsidR="008F7AD0" w:rsidRPr="008F7AD0" w:rsidRDefault="008F7AD0" w:rsidP="008F7AD0">
            <w:pPr>
              <w:jc w:val="left"/>
              <w:rPr>
                <w:sz w:val="20"/>
                <w:szCs w:val="20"/>
              </w:rPr>
            </w:pPr>
            <w:r w:rsidRPr="008F7AD0">
              <w:rPr>
                <w:sz w:val="20"/>
                <w:szCs w:val="20"/>
              </w:rPr>
              <w:t xml:space="preserve"> Revisión Calidad:</w:t>
            </w:r>
          </w:p>
        </w:tc>
        <w:tc>
          <w:tcPr>
            <w:tcW w:w="2557" w:type="dxa"/>
            <w:tcBorders>
              <w:bottom w:val="nil"/>
            </w:tcBorders>
          </w:tcPr>
          <w:p w14:paraId="6AC1CF85" w14:textId="77777777" w:rsidR="008F7AD0" w:rsidRPr="008F7AD0" w:rsidRDefault="008F7AD0" w:rsidP="008F7AD0">
            <w:pPr>
              <w:jc w:val="left"/>
              <w:rPr>
                <w:sz w:val="20"/>
                <w:szCs w:val="20"/>
              </w:rPr>
            </w:pPr>
          </w:p>
          <w:p w14:paraId="284320B2" w14:textId="77777777" w:rsidR="008F7AD0" w:rsidRPr="008F7AD0" w:rsidRDefault="008F7AD0" w:rsidP="008F7AD0">
            <w:pPr>
              <w:jc w:val="left"/>
              <w:rPr>
                <w:sz w:val="20"/>
                <w:szCs w:val="20"/>
              </w:rPr>
            </w:pPr>
            <w:r w:rsidRPr="008F7AD0">
              <w:rPr>
                <w:sz w:val="20"/>
                <w:szCs w:val="20"/>
              </w:rPr>
              <w:t xml:space="preserve">  Aprobación:</w:t>
            </w:r>
          </w:p>
        </w:tc>
      </w:tr>
      <w:tr w:rsidR="008F7AD0" w:rsidRPr="008F7AD0" w14:paraId="6191024E" w14:textId="77777777" w:rsidTr="00E929DD">
        <w:tblPrEx>
          <w:tblCellMar>
            <w:left w:w="70" w:type="dxa"/>
            <w:right w:w="70" w:type="dxa"/>
          </w:tblCellMar>
        </w:tblPrEx>
        <w:trPr>
          <w:trHeight w:val="999"/>
        </w:trPr>
        <w:tc>
          <w:tcPr>
            <w:tcW w:w="2405" w:type="dxa"/>
            <w:tcBorders>
              <w:top w:val="nil"/>
            </w:tcBorders>
          </w:tcPr>
          <w:p w14:paraId="607D8280" w14:textId="77777777" w:rsidR="008F7AD0" w:rsidRPr="008F7AD0" w:rsidRDefault="008F7AD0" w:rsidP="008F7AD0">
            <w:pPr>
              <w:tabs>
                <w:tab w:val="left" w:pos="538"/>
              </w:tabs>
              <w:rPr>
                <w:noProof/>
                <w:sz w:val="20"/>
                <w:szCs w:val="20"/>
                <w:lang w:eastAsia="es-MX"/>
              </w:rPr>
            </w:pPr>
            <w:r w:rsidRPr="008F7AD0">
              <w:rPr>
                <w:noProof/>
                <w:sz w:val="20"/>
                <w:szCs w:val="20"/>
                <w:lang w:eastAsia="es-MX"/>
              </w:rPr>
              <w:drawing>
                <wp:anchor distT="0" distB="0" distL="114300" distR="114300" simplePos="0" relativeHeight="251660288" behindDoc="1" locked="0" layoutInCell="1" allowOverlap="1" wp14:anchorId="1FBD983D" wp14:editId="47862657">
                  <wp:simplePos x="0" y="0"/>
                  <wp:positionH relativeFrom="column">
                    <wp:posOffset>3810</wp:posOffset>
                  </wp:positionH>
                  <wp:positionV relativeFrom="paragraph">
                    <wp:posOffset>-71755</wp:posOffset>
                  </wp:positionV>
                  <wp:extent cx="1571625" cy="472339"/>
                  <wp:effectExtent l="0" t="0" r="0"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1581225" cy="475224"/>
                          </a:xfrm>
                          <a:prstGeom prst="rect">
                            <a:avLst/>
                          </a:prstGeom>
                        </pic:spPr>
                      </pic:pic>
                    </a:graphicData>
                  </a:graphic>
                  <wp14:sizeRelH relativeFrom="margin">
                    <wp14:pctWidth>0</wp14:pctWidth>
                  </wp14:sizeRelH>
                  <wp14:sizeRelV relativeFrom="margin">
                    <wp14:pctHeight>0</wp14:pctHeight>
                  </wp14:sizeRelV>
                </wp:anchor>
              </w:drawing>
            </w:r>
          </w:p>
          <w:p w14:paraId="4A0458F8" w14:textId="77777777" w:rsidR="008F7AD0" w:rsidRPr="008F7AD0" w:rsidRDefault="008F7AD0" w:rsidP="008F7AD0">
            <w:pPr>
              <w:tabs>
                <w:tab w:val="left" w:pos="538"/>
              </w:tabs>
              <w:rPr>
                <w:sz w:val="20"/>
                <w:szCs w:val="20"/>
              </w:rPr>
            </w:pPr>
          </w:p>
          <w:p w14:paraId="23D5EE39" w14:textId="7E3A15D5" w:rsidR="008F7AD0" w:rsidRPr="008F7AD0" w:rsidRDefault="008F7AD0" w:rsidP="008F7AD0">
            <w:pPr>
              <w:jc w:val="center"/>
              <w:rPr>
                <w:bCs/>
                <w:sz w:val="20"/>
                <w:szCs w:val="20"/>
              </w:rPr>
            </w:pPr>
            <w:r w:rsidRPr="008F7AD0">
              <w:rPr>
                <w:b/>
                <w:sz w:val="20"/>
                <w:szCs w:val="20"/>
              </w:rPr>
              <w:t xml:space="preserve">ANGIE LÓPEZ </w:t>
            </w:r>
            <w:r w:rsidR="00E53CBC" w:rsidRPr="008F7AD0">
              <w:rPr>
                <w:b/>
                <w:sz w:val="20"/>
                <w:szCs w:val="20"/>
              </w:rPr>
              <w:t xml:space="preserve">ALVAREZ </w:t>
            </w:r>
            <w:r w:rsidR="00E53CBC" w:rsidRPr="00E53CBC">
              <w:rPr>
                <w:sz w:val="20"/>
                <w:szCs w:val="20"/>
              </w:rPr>
              <w:t>Profesional</w:t>
            </w:r>
            <w:r w:rsidRPr="008F7AD0">
              <w:rPr>
                <w:bCs/>
                <w:sz w:val="20"/>
                <w:szCs w:val="20"/>
              </w:rPr>
              <w:t xml:space="preserve"> IAMII  </w:t>
            </w:r>
          </w:p>
          <w:p w14:paraId="6120C929" w14:textId="77777777" w:rsidR="008F7AD0" w:rsidRPr="008F7AD0" w:rsidRDefault="008F7AD0" w:rsidP="008F7AD0">
            <w:pPr>
              <w:jc w:val="center"/>
              <w:rPr>
                <w:b/>
                <w:sz w:val="20"/>
                <w:szCs w:val="20"/>
              </w:rPr>
            </w:pPr>
          </w:p>
        </w:tc>
        <w:tc>
          <w:tcPr>
            <w:tcW w:w="2552" w:type="dxa"/>
            <w:tcBorders>
              <w:top w:val="nil"/>
            </w:tcBorders>
          </w:tcPr>
          <w:p w14:paraId="41D21C89" w14:textId="77777777" w:rsidR="008F7AD0" w:rsidRPr="008F7AD0" w:rsidRDefault="008F7AD0" w:rsidP="008F7AD0">
            <w:pPr>
              <w:rPr>
                <w:sz w:val="20"/>
                <w:szCs w:val="20"/>
              </w:rPr>
            </w:pPr>
          </w:p>
          <w:p w14:paraId="349D8A2A" w14:textId="77777777" w:rsidR="008F7AD0" w:rsidRPr="008F7AD0" w:rsidRDefault="008F7AD0" w:rsidP="008F7AD0">
            <w:pPr>
              <w:jc w:val="center"/>
              <w:rPr>
                <w:sz w:val="20"/>
                <w:szCs w:val="20"/>
              </w:rPr>
            </w:pPr>
          </w:p>
          <w:p w14:paraId="1ACA314C" w14:textId="77777777" w:rsidR="008F7AD0" w:rsidRPr="008F7AD0" w:rsidRDefault="008F7AD0" w:rsidP="008F7AD0">
            <w:pPr>
              <w:jc w:val="center"/>
              <w:rPr>
                <w:b/>
                <w:sz w:val="20"/>
                <w:szCs w:val="20"/>
              </w:rPr>
            </w:pPr>
            <w:r w:rsidRPr="008F7AD0">
              <w:rPr>
                <w:b/>
                <w:sz w:val="20"/>
                <w:szCs w:val="20"/>
              </w:rPr>
              <w:t>SANDRA FIGUEROA</w:t>
            </w:r>
          </w:p>
          <w:p w14:paraId="59D1E163" w14:textId="77777777" w:rsidR="008F7AD0" w:rsidRPr="008F7AD0" w:rsidRDefault="008F7AD0" w:rsidP="008F7AD0">
            <w:pPr>
              <w:jc w:val="center"/>
              <w:rPr>
                <w:sz w:val="20"/>
                <w:szCs w:val="20"/>
              </w:rPr>
            </w:pPr>
            <w:r w:rsidRPr="008F7AD0">
              <w:rPr>
                <w:sz w:val="20"/>
                <w:szCs w:val="20"/>
              </w:rPr>
              <w:t>Coordinadora de Calidad y servicios de apoyo</w:t>
            </w:r>
          </w:p>
        </w:tc>
        <w:tc>
          <w:tcPr>
            <w:tcW w:w="2409" w:type="dxa"/>
            <w:tcBorders>
              <w:top w:val="nil"/>
            </w:tcBorders>
          </w:tcPr>
          <w:p w14:paraId="63C07651" w14:textId="77777777" w:rsidR="008F7AD0" w:rsidRPr="008F7AD0" w:rsidRDefault="008F7AD0" w:rsidP="008F7AD0">
            <w:pPr>
              <w:jc w:val="center"/>
              <w:rPr>
                <w:sz w:val="20"/>
                <w:szCs w:val="20"/>
              </w:rPr>
            </w:pPr>
          </w:p>
          <w:p w14:paraId="6987FC15" w14:textId="5A27B173" w:rsidR="008F7AD0" w:rsidRPr="008F7AD0" w:rsidRDefault="008F7AD0" w:rsidP="008F7AD0">
            <w:pPr>
              <w:jc w:val="center"/>
              <w:rPr>
                <w:b/>
                <w:sz w:val="20"/>
                <w:szCs w:val="20"/>
              </w:rPr>
            </w:pPr>
          </w:p>
          <w:p w14:paraId="20DE98BC" w14:textId="6D3BD78F" w:rsidR="008F7AD0" w:rsidRPr="008F7AD0" w:rsidRDefault="00E53CBC" w:rsidP="008F7AD0">
            <w:pPr>
              <w:jc w:val="center"/>
              <w:rPr>
                <w:b/>
                <w:sz w:val="20"/>
                <w:szCs w:val="20"/>
              </w:rPr>
            </w:pPr>
            <w:r>
              <w:rPr>
                <w:b/>
                <w:sz w:val="20"/>
                <w:szCs w:val="20"/>
              </w:rPr>
              <w:t>CRISTIAN JIMENEZ</w:t>
            </w:r>
          </w:p>
          <w:p w14:paraId="16961561" w14:textId="6CC3AF83" w:rsidR="008F7AD0" w:rsidRPr="008F7AD0" w:rsidRDefault="00E53CBC" w:rsidP="008F7AD0">
            <w:pPr>
              <w:jc w:val="center"/>
              <w:rPr>
                <w:b/>
                <w:sz w:val="20"/>
                <w:szCs w:val="20"/>
              </w:rPr>
            </w:pPr>
            <w:r>
              <w:rPr>
                <w:sz w:val="20"/>
                <w:szCs w:val="20"/>
              </w:rPr>
              <w:t>Profesional de Calidad y Riesgos</w:t>
            </w:r>
          </w:p>
        </w:tc>
        <w:tc>
          <w:tcPr>
            <w:tcW w:w="2557" w:type="dxa"/>
            <w:tcBorders>
              <w:top w:val="nil"/>
            </w:tcBorders>
          </w:tcPr>
          <w:p w14:paraId="16BEDCBE" w14:textId="77777777" w:rsidR="008F7AD0" w:rsidRPr="008F7AD0" w:rsidRDefault="008F7AD0" w:rsidP="008F7AD0">
            <w:pPr>
              <w:jc w:val="center"/>
              <w:rPr>
                <w:sz w:val="20"/>
                <w:szCs w:val="20"/>
              </w:rPr>
            </w:pPr>
          </w:p>
          <w:p w14:paraId="332728D6" w14:textId="1BD69EF1" w:rsidR="008F7AD0" w:rsidRPr="008F7AD0" w:rsidRDefault="008F7AD0" w:rsidP="008F7AD0">
            <w:pPr>
              <w:jc w:val="center"/>
              <w:rPr>
                <w:b/>
                <w:sz w:val="20"/>
                <w:szCs w:val="20"/>
              </w:rPr>
            </w:pPr>
          </w:p>
          <w:p w14:paraId="00565BFC" w14:textId="2276183D" w:rsidR="008F7AD0" w:rsidRPr="008F7AD0" w:rsidRDefault="00E53CBC" w:rsidP="008F7AD0">
            <w:pPr>
              <w:jc w:val="center"/>
              <w:rPr>
                <w:b/>
                <w:sz w:val="20"/>
                <w:szCs w:val="20"/>
              </w:rPr>
            </w:pPr>
            <w:r>
              <w:rPr>
                <w:b/>
                <w:sz w:val="20"/>
                <w:szCs w:val="20"/>
              </w:rPr>
              <w:t>MAURICIO ENRIQUEZ</w:t>
            </w:r>
          </w:p>
          <w:p w14:paraId="0C13758B" w14:textId="4A5EE2DF" w:rsidR="008F7AD0" w:rsidRPr="008F7AD0" w:rsidRDefault="00E53CBC" w:rsidP="008F7AD0">
            <w:pPr>
              <w:jc w:val="center"/>
              <w:rPr>
                <w:b/>
                <w:sz w:val="20"/>
                <w:szCs w:val="20"/>
              </w:rPr>
            </w:pPr>
            <w:r>
              <w:rPr>
                <w:sz w:val="20"/>
                <w:szCs w:val="20"/>
              </w:rPr>
              <w:t>Director Ejecutivo</w:t>
            </w:r>
          </w:p>
        </w:tc>
      </w:tr>
    </w:tbl>
    <w:p w14:paraId="4B3D62BB" w14:textId="77777777" w:rsidR="00FD7C34" w:rsidRDefault="00FD7C34">
      <w:pPr>
        <w:spacing w:after="160" w:line="259" w:lineRule="auto"/>
        <w:jc w:val="left"/>
        <w:rPr>
          <w:rFonts w:eastAsia="Verdana" w:cs="Verdana"/>
          <w:lang w:val="es-ES"/>
        </w:rPr>
      </w:pPr>
      <w:r>
        <w:rPr>
          <w:rFonts w:eastAsia="Verdana" w:cs="Verdana"/>
          <w:lang w:val="es-ES"/>
        </w:rPr>
        <w:br w:type="page"/>
      </w:r>
    </w:p>
    <w:p w14:paraId="4450BFB6" w14:textId="77777777" w:rsidR="00FE65B0" w:rsidRPr="00FE65B0" w:rsidRDefault="00FE65B0" w:rsidP="00F655B9">
      <w:pPr>
        <w:keepNext/>
        <w:keepLines/>
        <w:numPr>
          <w:ilvl w:val="0"/>
          <w:numId w:val="1"/>
        </w:numPr>
        <w:spacing w:before="240" w:after="160" w:line="259" w:lineRule="auto"/>
        <w:jc w:val="left"/>
        <w:outlineLvl w:val="0"/>
        <w:rPr>
          <w:rFonts w:eastAsia="Times New Roman" w:cs="Times New Roman"/>
          <w:b/>
          <w:color w:val="000000"/>
          <w:szCs w:val="32"/>
          <w:lang w:eastAsia="es-MX"/>
        </w:rPr>
      </w:pPr>
      <w:r w:rsidRPr="00FE65B0">
        <w:rPr>
          <w:rFonts w:eastAsia="Times New Roman" w:cs="Times New Roman"/>
          <w:b/>
          <w:color w:val="000000"/>
          <w:szCs w:val="32"/>
          <w:lang w:eastAsia="es-MX"/>
        </w:rPr>
        <w:t>OBJETIVO</w:t>
      </w:r>
    </w:p>
    <w:p w14:paraId="2FEFD55B" w14:textId="36724890" w:rsidR="00FE65B0" w:rsidRPr="00FE65B0" w:rsidRDefault="00FE65B0" w:rsidP="00FE65B0">
      <w:pPr>
        <w:keepNext/>
        <w:keepLines/>
        <w:spacing w:before="240" w:line="259" w:lineRule="auto"/>
        <w:outlineLvl w:val="0"/>
        <w:rPr>
          <w:rFonts w:eastAsia="Times New Roman" w:cs="Times New Roman"/>
          <w:b/>
          <w:color w:val="000000"/>
          <w:szCs w:val="32"/>
          <w:lang w:eastAsia="es-MX"/>
        </w:rPr>
      </w:pPr>
      <w:r w:rsidRPr="00FE65B0">
        <w:rPr>
          <w:rFonts w:eastAsia="Times New Roman" w:cs="Times New Roman"/>
          <w:color w:val="000000"/>
          <w:szCs w:val="32"/>
          <w:lang w:eastAsia="es-MX"/>
        </w:rPr>
        <w:t>El objetivo principal es que ninguna mujer afronte su embarazo sin conocer su condición de infectada por el VIH y prioritariamente, que no llegue al parto sin que se haya determinado su estado serológico frente al VIH. Una vez conocida su serología, mantener durante todo el embarazo un TAR óptimo para llegar al parto con carga viral indetectable.</w:t>
      </w:r>
    </w:p>
    <w:p w14:paraId="1ED8DAFA" w14:textId="77777777" w:rsidR="00FE65B0" w:rsidRPr="00FE65B0" w:rsidRDefault="00FE65B0" w:rsidP="00F655B9">
      <w:pPr>
        <w:keepNext/>
        <w:keepLines/>
        <w:numPr>
          <w:ilvl w:val="0"/>
          <w:numId w:val="1"/>
        </w:numPr>
        <w:spacing w:before="240" w:after="160" w:line="259" w:lineRule="auto"/>
        <w:jc w:val="left"/>
        <w:outlineLvl w:val="0"/>
        <w:rPr>
          <w:rFonts w:eastAsia="Times New Roman" w:cs="Times New Roman"/>
          <w:b/>
          <w:color w:val="000000"/>
          <w:szCs w:val="32"/>
          <w:lang w:eastAsia="es-MX"/>
        </w:rPr>
      </w:pPr>
      <w:r w:rsidRPr="00FE65B0">
        <w:rPr>
          <w:rFonts w:eastAsia="Times New Roman" w:cs="Times New Roman"/>
          <w:b/>
          <w:color w:val="000000"/>
          <w:szCs w:val="32"/>
          <w:lang w:eastAsia="es-MX"/>
        </w:rPr>
        <w:t xml:space="preserve">ALCANCE </w:t>
      </w:r>
    </w:p>
    <w:p w14:paraId="69CD72B9" w14:textId="59569553" w:rsidR="00FE65B0" w:rsidRPr="00FE65B0" w:rsidRDefault="00FE65B0" w:rsidP="00FE65B0">
      <w:pPr>
        <w:keepNext/>
        <w:keepLines/>
        <w:spacing w:before="240" w:line="259" w:lineRule="auto"/>
        <w:outlineLvl w:val="0"/>
        <w:rPr>
          <w:rFonts w:eastAsia="Times New Roman" w:cs="Times New Roman"/>
          <w:b/>
          <w:color w:val="000000"/>
          <w:szCs w:val="32"/>
          <w:lang w:eastAsia="es-MX"/>
        </w:rPr>
      </w:pPr>
      <w:r w:rsidRPr="00FE65B0">
        <w:rPr>
          <w:rFonts w:eastAsia="Times New Roman" w:cs="Times New Roman"/>
          <w:color w:val="000000"/>
          <w:szCs w:val="32"/>
          <w:lang w:eastAsia="es-MX"/>
        </w:rPr>
        <w:t>Este documento establece la necesidad de una aproximación multidisciplinar a la mujer que debe incluir, al menos especialistas en ginecología, infectología, pediatría, personal de enfermería y psicología. Por otro lado, con el objetivo ideal de alcanzar la transmisión “cero” del VIH a los niños, es fundamental que los cuidadores principales (al menos infectólogos, ginecólogos y pediatras) tengan experiencia demostrada en el manejo de estas situaciones.</w:t>
      </w:r>
    </w:p>
    <w:p w14:paraId="09B70931" w14:textId="77777777" w:rsidR="00FE65B0" w:rsidRPr="00FE65B0" w:rsidRDefault="00FE65B0" w:rsidP="00F655B9">
      <w:pPr>
        <w:keepNext/>
        <w:keepLines/>
        <w:numPr>
          <w:ilvl w:val="0"/>
          <w:numId w:val="1"/>
        </w:numPr>
        <w:spacing w:before="240" w:after="160" w:line="259" w:lineRule="auto"/>
        <w:jc w:val="left"/>
        <w:outlineLvl w:val="0"/>
        <w:rPr>
          <w:rFonts w:eastAsia="Times New Roman" w:cs="Times New Roman"/>
          <w:b/>
          <w:color w:val="000000"/>
          <w:szCs w:val="32"/>
          <w:lang w:eastAsia="es-MX"/>
        </w:rPr>
      </w:pPr>
      <w:r w:rsidRPr="00FE65B0">
        <w:rPr>
          <w:rFonts w:eastAsia="Times New Roman" w:cs="Times New Roman"/>
          <w:b/>
          <w:color w:val="000000"/>
          <w:szCs w:val="32"/>
          <w:lang w:eastAsia="es-MX"/>
        </w:rPr>
        <w:t xml:space="preserve">MATERIALES, EQUIPOS E INSUMOS </w:t>
      </w:r>
    </w:p>
    <w:p w14:paraId="4DE84077" w14:textId="77777777" w:rsidR="00FE65B0" w:rsidRPr="00FE65B0" w:rsidRDefault="00FE65B0" w:rsidP="00FE65B0">
      <w:p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Materiales:</w:t>
      </w:r>
    </w:p>
    <w:p w14:paraId="61FE00C0" w14:textId="77777777" w:rsidR="00FE65B0" w:rsidRPr="00FE65B0" w:rsidRDefault="00FE65B0" w:rsidP="00F655B9">
      <w:pPr>
        <w:numPr>
          <w:ilvl w:val="0"/>
          <w:numId w:val="2"/>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Historia clínica perinatal con énfasis en VIH</w:t>
      </w:r>
    </w:p>
    <w:p w14:paraId="686FB8B0" w14:textId="77777777" w:rsidR="00FE65B0" w:rsidRPr="00FE65B0" w:rsidRDefault="00FE65B0" w:rsidP="00F655B9">
      <w:pPr>
        <w:numPr>
          <w:ilvl w:val="0"/>
          <w:numId w:val="2"/>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Consentimiento informado para toma de pruebas y tratamiento</w:t>
      </w:r>
    </w:p>
    <w:p w14:paraId="210D2A35" w14:textId="77777777" w:rsidR="00FE65B0" w:rsidRPr="00FE65B0" w:rsidRDefault="00FE65B0" w:rsidP="00F655B9">
      <w:pPr>
        <w:numPr>
          <w:ilvl w:val="0"/>
          <w:numId w:val="2"/>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Carné perinatal</w:t>
      </w:r>
    </w:p>
    <w:p w14:paraId="1118E6CF" w14:textId="77777777" w:rsidR="00FE65B0" w:rsidRPr="00FE65B0" w:rsidRDefault="00FE65B0" w:rsidP="00F655B9">
      <w:pPr>
        <w:numPr>
          <w:ilvl w:val="0"/>
          <w:numId w:val="2"/>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Material educativo sobre VIH, embarazo y lactancia segura</w:t>
      </w:r>
    </w:p>
    <w:p w14:paraId="035B457B" w14:textId="77777777" w:rsidR="00FE65B0" w:rsidRPr="00FE65B0" w:rsidRDefault="00FE65B0" w:rsidP="00F655B9">
      <w:pPr>
        <w:numPr>
          <w:ilvl w:val="0"/>
          <w:numId w:val="2"/>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Guías clínicas actualizadas sobre atención a gestantes con VIH</w:t>
      </w:r>
    </w:p>
    <w:p w14:paraId="5F852E96" w14:textId="77777777" w:rsidR="00FE65B0" w:rsidRPr="00FE65B0" w:rsidRDefault="00FE65B0" w:rsidP="00FE65B0">
      <w:p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Equipos:</w:t>
      </w:r>
    </w:p>
    <w:p w14:paraId="13592575" w14:textId="77777777" w:rsidR="00FE65B0" w:rsidRPr="00FE65B0" w:rsidRDefault="00FE65B0" w:rsidP="00F655B9">
      <w:pPr>
        <w:numPr>
          <w:ilvl w:val="0"/>
          <w:numId w:val="3"/>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Báscula materna</w:t>
      </w:r>
    </w:p>
    <w:p w14:paraId="5DFEC1BC" w14:textId="77777777" w:rsidR="00FE65B0" w:rsidRPr="00FE65B0" w:rsidRDefault="00FE65B0" w:rsidP="00F655B9">
      <w:pPr>
        <w:numPr>
          <w:ilvl w:val="0"/>
          <w:numId w:val="3"/>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Tallímetro</w:t>
      </w:r>
    </w:p>
    <w:p w14:paraId="115B2709" w14:textId="77777777" w:rsidR="00FE65B0" w:rsidRPr="00FE65B0" w:rsidRDefault="00FE65B0" w:rsidP="00F655B9">
      <w:pPr>
        <w:numPr>
          <w:ilvl w:val="0"/>
          <w:numId w:val="3"/>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Tensiómetro</w:t>
      </w:r>
    </w:p>
    <w:p w14:paraId="70F540A9" w14:textId="77777777" w:rsidR="00FE65B0" w:rsidRPr="00FE65B0" w:rsidRDefault="00FE65B0" w:rsidP="00F655B9">
      <w:pPr>
        <w:numPr>
          <w:ilvl w:val="0"/>
          <w:numId w:val="3"/>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Estetoscopio</w:t>
      </w:r>
    </w:p>
    <w:p w14:paraId="0BBE7CAC" w14:textId="77777777" w:rsidR="00FE65B0" w:rsidRPr="00FE65B0" w:rsidRDefault="00FE65B0" w:rsidP="00F655B9">
      <w:pPr>
        <w:numPr>
          <w:ilvl w:val="0"/>
          <w:numId w:val="3"/>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Doppler fetal</w:t>
      </w:r>
    </w:p>
    <w:p w14:paraId="25C18DE8" w14:textId="77777777" w:rsidR="00FE65B0" w:rsidRPr="00FE65B0" w:rsidRDefault="00FE65B0" w:rsidP="00F655B9">
      <w:pPr>
        <w:numPr>
          <w:ilvl w:val="0"/>
          <w:numId w:val="3"/>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Equipo de toma de muestras (venopunción)</w:t>
      </w:r>
    </w:p>
    <w:p w14:paraId="0D6DB255" w14:textId="77777777" w:rsidR="00FE65B0" w:rsidRPr="00FE65B0" w:rsidRDefault="00FE65B0" w:rsidP="00F655B9">
      <w:pPr>
        <w:numPr>
          <w:ilvl w:val="0"/>
          <w:numId w:val="3"/>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Refrigeración para almacenamiento de muestras</w:t>
      </w:r>
    </w:p>
    <w:p w14:paraId="445F316F" w14:textId="77777777" w:rsidR="00FE65B0" w:rsidRPr="00FE65B0" w:rsidRDefault="00FE65B0" w:rsidP="00FE65B0">
      <w:p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Insumos:</w:t>
      </w:r>
    </w:p>
    <w:p w14:paraId="12F83EE7" w14:textId="77777777" w:rsidR="00FE65B0" w:rsidRPr="00FE65B0" w:rsidRDefault="00FE65B0" w:rsidP="00F655B9">
      <w:pPr>
        <w:numPr>
          <w:ilvl w:val="0"/>
          <w:numId w:val="4"/>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Pruebas rápidas de VIH y ELISA de cuarta generación</w:t>
      </w:r>
    </w:p>
    <w:p w14:paraId="5891D3A5" w14:textId="77777777" w:rsidR="00FE65B0" w:rsidRPr="00FE65B0" w:rsidRDefault="00FE65B0" w:rsidP="00F655B9">
      <w:pPr>
        <w:numPr>
          <w:ilvl w:val="0"/>
          <w:numId w:val="4"/>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Insumos para toma de carga viral y CD4</w:t>
      </w:r>
    </w:p>
    <w:p w14:paraId="6D7155D4" w14:textId="77777777" w:rsidR="00FE65B0" w:rsidRPr="00FE65B0" w:rsidRDefault="00FE65B0" w:rsidP="00F655B9">
      <w:pPr>
        <w:numPr>
          <w:ilvl w:val="0"/>
          <w:numId w:val="4"/>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Medicamentos antirretrovirales (ARV) según protocolo TAR (terapia antirretroviral)</w:t>
      </w:r>
    </w:p>
    <w:p w14:paraId="2FF68DA5" w14:textId="77777777" w:rsidR="00FE65B0" w:rsidRPr="00FE65B0" w:rsidRDefault="00FE65B0" w:rsidP="00F655B9">
      <w:pPr>
        <w:numPr>
          <w:ilvl w:val="0"/>
          <w:numId w:val="4"/>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Preservativos para distribución</w:t>
      </w:r>
    </w:p>
    <w:p w14:paraId="20A4AE83" w14:textId="77777777" w:rsidR="00FE65B0" w:rsidRPr="00FE65B0" w:rsidRDefault="00FE65B0" w:rsidP="00F655B9">
      <w:pPr>
        <w:numPr>
          <w:ilvl w:val="0"/>
          <w:numId w:val="4"/>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Jeringas, tubos y agujas para toma de sangre</w:t>
      </w:r>
    </w:p>
    <w:p w14:paraId="68C79A93" w14:textId="77777777" w:rsidR="00FE65B0" w:rsidRPr="00FE65B0" w:rsidRDefault="00FE65B0" w:rsidP="00F655B9">
      <w:pPr>
        <w:numPr>
          <w:ilvl w:val="0"/>
          <w:numId w:val="4"/>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Guantes, tapabocas, batas desechables</w:t>
      </w:r>
    </w:p>
    <w:p w14:paraId="4C81E214" w14:textId="77777777" w:rsidR="00FE65B0" w:rsidRPr="00FE65B0" w:rsidRDefault="00FE65B0" w:rsidP="00F655B9">
      <w:pPr>
        <w:numPr>
          <w:ilvl w:val="0"/>
          <w:numId w:val="4"/>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lastRenderedPageBreak/>
        <w:t>Alcohol glicerinado, solución antiséptica</w:t>
      </w:r>
    </w:p>
    <w:p w14:paraId="2DCAE997" w14:textId="77777777" w:rsidR="00FE65B0" w:rsidRPr="00FE65B0" w:rsidRDefault="00FE65B0" w:rsidP="00F655B9">
      <w:pPr>
        <w:numPr>
          <w:ilvl w:val="0"/>
          <w:numId w:val="4"/>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Material de bioseguridad para desecho de residuos cortopunzantes y biológicos.</w:t>
      </w:r>
    </w:p>
    <w:p w14:paraId="5C7014E7" w14:textId="77777777" w:rsidR="00FE65B0" w:rsidRPr="00FE65B0" w:rsidRDefault="00FE65B0" w:rsidP="00F655B9">
      <w:pPr>
        <w:keepNext/>
        <w:keepLines/>
        <w:numPr>
          <w:ilvl w:val="0"/>
          <w:numId w:val="1"/>
        </w:numPr>
        <w:spacing w:before="240" w:after="160" w:line="259" w:lineRule="auto"/>
        <w:jc w:val="left"/>
        <w:outlineLvl w:val="0"/>
        <w:rPr>
          <w:rFonts w:eastAsia="Times New Roman" w:cs="Times New Roman"/>
          <w:b/>
          <w:color w:val="000000"/>
          <w:szCs w:val="32"/>
          <w:lang w:eastAsia="es-MX"/>
        </w:rPr>
      </w:pPr>
      <w:r w:rsidRPr="00FE65B0">
        <w:rPr>
          <w:rFonts w:eastAsia="Times New Roman" w:cs="Times New Roman"/>
          <w:b/>
          <w:color w:val="000000"/>
          <w:szCs w:val="32"/>
          <w:lang w:eastAsia="es-MX"/>
        </w:rPr>
        <w:t xml:space="preserve">RIESGOS Y COMPLICACIONES </w:t>
      </w:r>
    </w:p>
    <w:p w14:paraId="52DED3F5" w14:textId="77777777" w:rsidR="00FE65B0" w:rsidRPr="00FE65B0" w:rsidRDefault="00FE65B0" w:rsidP="00FE65B0">
      <w:p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Para la gestante:</w:t>
      </w:r>
    </w:p>
    <w:p w14:paraId="49764960" w14:textId="77777777" w:rsidR="00FE65B0" w:rsidRPr="00FE65B0" w:rsidRDefault="00FE65B0" w:rsidP="00F655B9">
      <w:pPr>
        <w:numPr>
          <w:ilvl w:val="0"/>
          <w:numId w:val="5"/>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Progresión del VIH por no adherencia al tratamiento</w:t>
      </w:r>
    </w:p>
    <w:p w14:paraId="59E9CCE1" w14:textId="77777777" w:rsidR="00FE65B0" w:rsidRPr="00FE65B0" w:rsidRDefault="00FE65B0" w:rsidP="00F655B9">
      <w:pPr>
        <w:numPr>
          <w:ilvl w:val="0"/>
          <w:numId w:val="5"/>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Efectos adversos de los ARV</w:t>
      </w:r>
    </w:p>
    <w:p w14:paraId="7965A7E1" w14:textId="77777777" w:rsidR="00FE65B0" w:rsidRPr="00FE65B0" w:rsidRDefault="00FE65B0" w:rsidP="00F655B9">
      <w:pPr>
        <w:numPr>
          <w:ilvl w:val="0"/>
          <w:numId w:val="5"/>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Coinfecciones (como sífilis, tuberculosis, hepatitis)</w:t>
      </w:r>
    </w:p>
    <w:p w14:paraId="4BE66244" w14:textId="77777777" w:rsidR="00FE65B0" w:rsidRPr="00FE65B0" w:rsidRDefault="00FE65B0" w:rsidP="00F655B9">
      <w:pPr>
        <w:numPr>
          <w:ilvl w:val="0"/>
          <w:numId w:val="5"/>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Discriminación y estigmatización en los servicios de salud</w:t>
      </w:r>
    </w:p>
    <w:p w14:paraId="6054AA89" w14:textId="77777777" w:rsidR="00FE65B0" w:rsidRPr="00FE65B0" w:rsidRDefault="00FE65B0" w:rsidP="00F655B9">
      <w:pPr>
        <w:numPr>
          <w:ilvl w:val="0"/>
          <w:numId w:val="5"/>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Mayor riesgo de complicaciones obstétricas si no hay control prenatal adecuado</w:t>
      </w:r>
    </w:p>
    <w:p w14:paraId="2B1F2FD3" w14:textId="77777777" w:rsidR="00FE65B0" w:rsidRPr="00FE65B0" w:rsidRDefault="00FE65B0" w:rsidP="00FE65B0">
      <w:p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Para el recién nacido:</w:t>
      </w:r>
    </w:p>
    <w:p w14:paraId="667A7443" w14:textId="77777777" w:rsidR="00FE65B0" w:rsidRPr="00FE65B0" w:rsidRDefault="00FE65B0" w:rsidP="00F655B9">
      <w:pPr>
        <w:numPr>
          <w:ilvl w:val="0"/>
          <w:numId w:val="6"/>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Transmisión vertical del VIH (intrauterina, periparto o por lactancia)</w:t>
      </w:r>
    </w:p>
    <w:p w14:paraId="02CB1A8A" w14:textId="77777777" w:rsidR="00FE65B0" w:rsidRPr="00FE65B0" w:rsidRDefault="00FE65B0" w:rsidP="00F655B9">
      <w:pPr>
        <w:numPr>
          <w:ilvl w:val="0"/>
          <w:numId w:val="6"/>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Exposición perinatal a VIH si no se recibe profilaxis</w:t>
      </w:r>
    </w:p>
    <w:p w14:paraId="44C5DEB3" w14:textId="77777777" w:rsidR="00FE65B0" w:rsidRPr="00FE65B0" w:rsidRDefault="00FE65B0" w:rsidP="00F655B9">
      <w:pPr>
        <w:numPr>
          <w:ilvl w:val="0"/>
          <w:numId w:val="6"/>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Reacciones adversas a la profilaxis neonatal</w:t>
      </w:r>
    </w:p>
    <w:p w14:paraId="75FD4634" w14:textId="77777777" w:rsidR="00FE65B0" w:rsidRPr="00FE65B0" w:rsidRDefault="00FE65B0" w:rsidP="00F655B9">
      <w:pPr>
        <w:numPr>
          <w:ilvl w:val="0"/>
          <w:numId w:val="6"/>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Nacimiento prematuro o bajo peso al nacer</w:t>
      </w:r>
    </w:p>
    <w:p w14:paraId="107B2D2F" w14:textId="77777777" w:rsidR="00FE65B0" w:rsidRPr="00FE65B0" w:rsidRDefault="00FE65B0" w:rsidP="00F655B9">
      <w:pPr>
        <w:numPr>
          <w:ilvl w:val="0"/>
          <w:numId w:val="6"/>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Necesidad de alimentación artificial si no se permite lactancia materna</w:t>
      </w:r>
    </w:p>
    <w:p w14:paraId="608113F4" w14:textId="77777777" w:rsidR="00FE65B0" w:rsidRPr="00FE65B0" w:rsidRDefault="00FE65B0" w:rsidP="00FE65B0">
      <w:p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Riesgos institucionales:</w:t>
      </w:r>
    </w:p>
    <w:p w14:paraId="52E7541A" w14:textId="77777777" w:rsidR="00FE65B0" w:rsidRPr="00FE65B0" w:rsidRDefault="00FE65B0" w:rsidP="00F655B9">
      <w:pPr>
        <w:numPr>
          <w:ilvl w:val="0"/>
          <w:numId w:val="7"/>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Falta de confidencialidad o violación del derecho a la privacidad</w:t>
      </w:r>
    </w:p>
    <w:p w14:paraId="0F9248D5" w14:textId="77777777" w:rsidR="00FE65B0" w:rsidRPr="00FE65B0" w:rsidRDefault="00FE65B0" w:rsidP="00F655B9">
      <w:pPr>
        <w:numPr>
          <w:ilvl w:val="0"/>
          <w:numId w:val="7"/>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Inadecuada trazabilidad de los casos (fallas en el reporte a Sivigila)</w:t>
      </w:r>
    </w:p>
    <w:p w14:paraId="7A00CF9E" w14:textId="77777777" w:rsidR="00FE65B0" w:rsidRPr="00FE65B0" w:rsidRDefault="00FE65B0" w:rsidP="00F655B9">
      <w:pPr>
        <w:numPr>
          <w:ilvl w:val="0"/>
          <w:numId w:val="7"/>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Escasez de ARV o de pruebas diagnósticas</w:t>
      </w:r>
    </w:p>
    <w:p w14:paraId="3DD3C31B" w14:textId="79EC8A3E" w:rsidR="00FE65B0" w:rsidRPr="00FE65B0" w:rsidRDefault="00FE65B0" w:rsidP="00F655B9">
      <w:pPr>
        <w:numPr>
          <w:ilvl w:val="0"/>
          <w:numId w:val="7"/>
        </w:numPr>
        <w:spacing w:before="100" w:beforeAutospacing="1" w:after="100" w:afterAutospacing="1" w:line="259" w:lineRule="auto"/>
        <w:jc w:val="left"/>
        <w:rPr>
          <w:rFonts w:eastAsia="Times New Roman" w:cs="Times New Roman"/>
          <w:szCs w:val="24"/>
          <w:lang w:eastAsia="es-MX"/>
        </w:rPr>
      </w:pPr>
      <w:r w:rsidRPr="00FE65B0">
        <w:rPr>
          <w:rFonts w:eastAsia="Times New Roman" w:cs="Times New Roman"/>
          <w:szCs w:val="24"/>
          <w:lang w:eastAsia="es-MX"/>
        </w:rPr>
        <w:t>Ausencia de protocolos diferenciados y personal capacita</w:t>
      </w:r>
    </w:p>
    <w:p w14:paraId="7FF0BD78" w14:textId="77777777" w:rsidR="00FE65B0" w:rsidRPr="00FE65B0" w:rsidRDefault="00FE65B0" w:rsidP="00F655B9">
      <w:pPr>
        <w:keepNext/>
        <w:keepLines/>
        <w:numPr>
          <w:ilvl w:val="0"/>
          <w:numId w:val="1"/>
        </w:numPr>
        <w:spacing w:before="240" w:after="160" w:line="259" w:lineRule="auto"/>
        <w:jc w:val="left"/>
        <w:outlineLvl w:val="0"/>
        <w:rPr>
          <w:rFonts w:eastAsia="Times New Roman" w:cs="Times New Roman"/>
          <w:b/>
          <w:color w:val="000000"/>
          <w:szCs w:val="32"/>
          <w:lang w:eastAsia="es-MX"/>
        </w:rPr>
      </w:pPr>
      <w:r w:rsidRPr="00FE65B0">
        <w:rPr>
          <w:rFonts w:eastAsia="Times New Roman" w:cs="Times New Roman"/>
          <w:b/>
          <w:color w:val="000000"/>
          <w:szCs w:val="32"/>
          <w:lang w:eastAsia="es-MX"/>
        </w:rPr>
        <w:t>DEFINICIONES</w:t>
      </w:r>
    </w:p>
    <w:p w14:paraId="51A19C8E" w14:textId="77777777" w:rsidR="00FE65B0" w:rsidRPr="00FE65B0" w:rsidRDefault="00FE65B0" w:rsidP="00F655B9">
      <w:pPr>
        <w:pStyle w:val="Prrafodelista"/>
        <w:numPr>
          <w:ilvl w:val="0"/>
          <w:numId w:val="11"/>
        </w:num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VIH (Virus de Inmunodeficiencia Humana):</w:t>
      </w:r>
      <w:r w:rsidRPr="00FE65B0">
        <w:rPr>
          <w:rFonts w:eastAsia="Times New Roman" w:cs="Times New Roman"/>
          <w:szCs w:val="24"/>
          <w:lang w:eastAsia="es-MX"/>
        </w:rPr>
        <w:t xml:space="preserve"> Virus que afecta el sistema inmunológico y puede transmitirse por vía sexual, sanguínea o vertical (madre a hijo).</w:t>
      </w:r>
    </w:p>
    <w:p w14:paraId="3FFFC615" w14:textId="77777777" w:rsidR="00FE65B0" w:rsidRPr="00FE65B0" w:rsidRDefault="00FE65B0" w:rsidP="00F655B9">
      <w:pPr>
        <w:pStyle w:val="Prrafodelista"/>
        <w:numPr>
          <w:ilvl w:val="0"/>
          <w:numId w:val="11"/>
        </w:num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Transmisión vertical:</w:t>
      </w:r>
      <w:r w:rsidRPr="00FE65B0">
        <w:rPr>
          <w:rFonts w:eastAsia="Times New Roman" w:cs="Times New Roman"/>
          <w:szCs w:val="24"/>
          <w:lang w:eastAsia="es-MX"/>
        </w:rPr>
        <w:t xml:space="preserve"> Transmisión del VIH de madre a hijo durante el embarazo, el parto o la lactancia.</w:t>
      </w:r>
    </w:p>
    <w:p w14:paraId="525EECF1" w14:textId="77777777" w:rsidR="00FE65B0" w:rsidRPr="00FE65B0" w:rsidRDefault="00FE65B0" w:rsidP="00F655B9">
      <w:pPr>
        <w:pStyle w:val="Prrafodelista"/>
        <w:numPr>
          <w:ilvl w:val="0"/>
          <w:numId w:val="11"/>
        </w:num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TAR (Terapia Antirretroviral):</w:t>
      </w:r>
      <w:r w:rsidRPr="00FE65B0">
        <w:rPr>
          <w:rFonts w:eastAsia="Times New Roman" w:cs="Times New Roman"/>
          <w:szCs w:val="24"/>
          <w:lang w:eastAsia="es-MX"/>
        </w:rPr>
        <w:t xml:space="preserve"> Tratamiento farmacológico utilizado para controlar la replicación del VIH y evitar la progresión a SIDA.</w:t>
      </w:r>
    </w:p>
    <w:p w14:paraId="1EB4C72C" w14:textId="77777777" w:rsidR="00FE65B0" w:rsidRPr="00FE65B0" w:rsidRDefault="00FE65B0" w:rsidP="00F655B9">
      <w:pPr>
        <w:pStyle w:val="Prrafodelista"/>
        <w:numPr>
          <w:ilvl w:val="0"/>
          <w:numId w:val="11"/>
        </w:num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Carga viral:</w:t>
      </w:r>
      <w:r w:rsidRPr="00FE65B0">
        <w:rPr>
          <w:rFonts w:eastAsia="Times New Roman" w:cs="Times New Roman"/>
          <w:szCs w:val="24"/>
          <w:lang w:eastAsia="es-MX"/>
        </w:rPr>
        <w:t xml:space="preserve"> Medida de la cantidad de VIH en la sangre; su control es clave para prevenir la transmisión vertical.</w:t>
      </w:r>
    </w:p>
    <w:p w14:paraId="1849B2DC" w14:textId="77777777" w:rsidR="00FE65B0" w:rsidRPr="00FE65B0" w:rsidRDefault="00FE65B0" w:rsidP="00F655B9">
      <w:pPr>
        <w:pStyle w:val="Prrafodelista"/>
        <w:numPr>
          <w:ilvl w:val="0"/>
          <w:numId w:val="11"/>
        </w:num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CD4:</w:t>
      </w:r>
      <w:r w:rsidRPr="00FE65B0">
        <w:rPr>
          <w:rFonts w:eastAsia="Times New Roman" w:cs="Times New Roman"/>
          <w:szCs w:val="24"/>
          <w:lang w:eastAsia="es-MX"/>
        </w:rPr>
        <w:t xml:space="preserve"> Tipo de glóbulo blanco que disminuye en personas con VIH; se utiliza como indicador del estado del sistema inmune.</w:t>
      </w:r>
    </w:p>
    <w:p w14:paraId="5E5F6D86" w14:textId="77777777" w:rsidR="00FE65B0" w:rsidRPr="00FE65B0" w:rsidRDefault="00FE65B0" w:rsidP="00F655B9">
      <w:pPr>
        <w:pStyle w:val="Prrafodelista"/>
        <w:numPr>
          <w:ilvl w:val="0"/>
          <w:numId w:val="11"/>
        </w:num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Profilaxis perinatal:</w:t>
      </w:r>
      <w:r w:rsidRPr="00FE65B0">
        <w:rPr>
          <w:rFonts w:eastAsia="Times New Roman" w:cs="Times New Roman"/>
          <w:szCs w:val="24"/>
          <w:lang w:eastAsia="es-MX"/>
        </w:rPr>
        <w:t xml:space="preserve"> Administración de medicamentos antirretrovirales a la madre y al recién nacido para prevenir la transmisión del VIH.</w:t>
      </w:r>
    </w:p>
    <w:p w14:paraId="0DF99216" w14:textId="77777777" w:rsidR="00FE65B0" w:rsidRPr="00FE65B0" w:rsidRDefault="00FE65B0" w:rsidP="00F655B9">
      <w:pPr>
        <w:pStyle w:val="Prrafodelista"/>
        <w:numPr>
          <w:ilvl w:val="0"/>
          <w:numId w:val="11"/>
        </w:num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Alimentación segura para el lactante:</w:t>
      </w:r>
      <w:r w:rsidRPr="00FE65B0">
        <w:rPr>
          <w:rFonts w:eastAsia="Times New Roman" w:cs="Times New Roman"/>
          <w:szCs w:val="24"/>
          <w:lang w:eastAsia="es-MX"/>
        </w:rPr>
        <w:t xml:space="preserve"> Estrategia que garantiza nutrición adecuada del recién nacido, evitando la transmisión del VIH a través de la lactancia cuando esta no es segura.</w:t>
      </w:r>
    </w:p>
    <w:p w14:paraId="3A6618C1" w14:textId="77777777" w:rsidR="00FE65B0" w:rsidRPr="00FE65B0" w:rsidRDefault="00FE65B0" w:rsidP="00F655B9">
      <w:pPr>
        <w:pStyle w:val="Prrafodelista"/>
        <w:numPr>
          <w:ilvl w:val="0"/>
          <w:numId w:val="11"/>
        </w:num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Prueba rápida de VIH:</w:t>
      </w:r>
      <w:r w:rsidRPr="00FE65B0">
        <w:rPr>
          <w:rFonts w:eastAsia="Times New Roman" w:cs="Times New Roman"/>
          <w:szCs w:val="24"/>
          <w:lang w:eastAsia="es-MX"/>
        </w:rPr>
        <w:t xml:space="preserve"> Prueba diagnóstica de tamizaje que permite obtener resultados en menos de 30 minutos.</w:t>
      </w:r>
    </w:p>
    <w:p w14:paraId="79D077E1" w14:textId="77777777" w:rsidR="00FE65B0" w:rsidRPr="00FE65B0" w:rsidRDefault="00FE65B0" w:rsidP="00F655B9">
      <w:pPr>
        <w:pStyle w:val="Prrafodelista"/>
        <w:numPr>
          <w:ilvl w:val="0"/>
          <w:numId w:val="11"/>
        </w:num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Consejería en VIH:</w:t>
      </w:r>
      <w:r w:rsidRPr="00FE65B0">
        <w:rPr>
          <w:rFonts w:eastAsia="Times New Roman" w:cs="Times New Roman"/>
          <w:szCs w:val="24"/>
          <w:lang w:eastAsia="es-MX"/>
        </w:rPr>
        <w:t xml:space="preserve"> Espacio de atención individual que brinda información, apoyo emocional y orientación sobre el diagnóstico, tratamiento y autocuidado.</w:t>
      </w:r>
    </w:p>
    <w:p w14:paraId="40491462" w14:textId="0A4FE78A" w:rsidR="00FE65B0" w:rsidRPr="00FE65B0" w:rsidRDefault="00FE65B0" w:rsidP="00F655B9">
      <w:pPr>
        <w:pStyle w:val="Prrafodelista"/>
        <w:numPr>
          <w:ilvl w:val="0"/>
          <w:numId w:val="11"/>
        </w:num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Estigma:</w:t>
      </w:r>
      <w:r w:rsidRPr="00FE65B0">
        <w:rPr>
          <w:rFonts w:eastAsia="Times New Roman" w:cs="Times New Roman"/>
          <w:szCs w:val="24"/>
          <w:lang w:eastAsia="es-MX"/>
        </w:rPr>
        <w:t xml:space="preserve"> Rechazo o discriminación hacia personas que viven con VIH, que puede generar barreras de acceso a los servicios de salud.</w:t>
      </w:r>
    </w:p>
    <w:p w14:paraId="4E9FD0D0" w14:textId="2E884908" w:rsidR="00FE65B0" w:rsidRPr="00FE65B0" w:rsidRDefault="00FE65B0" w:rsidP="00F655B9">
      <w:pPr>
        <w:keepNext/>
        <w:keepLines/>
        <w:numPr>
          <w:ilvl w:val="0"/>
          <w:numId w:val="1"/>
        </w:numPr>
        <w:spacing w:before="240" w:after="160" w:line="259" w:lineRule="auto"/>
        <w:jc w:val="left"/>
        <w:outlineLvl w:val="0"/>
        <w:rPr>
          <w:rFonts w:eastAsia="Times New Roman" w:cs="Times New Roman"/>
          <w:b/>
          <w:color w:val="000000"/>
          <w:szCs w:val="32"/>
          <w:lang w:eastAsia="es-MX"/>
        </w:rPr>
      </w:pPr>
      <w:r w:rsidRPr="00FE65B0">
        <w:rPr>
          <w:rFonts w:eastAsia="Times New Roman" w:cs="Times New Roman"/>
          <w:b/>
          <w:color w:val="000000"/>
          <w:szCs w:val="32"/>
          <w:lang w:eastAsia="es-MX"/>
        </w:rPr>
        <w:t xml:space="preserve">MARCO LEGAL </w:t>
      </w:r>
    </w:p>
    <w:p w14:paraId="641A93E7" w14:textId="77777777" w:rsidR="00FE65B0" w:rsidRPr="00FE65B0" w:rsidRDefault="00FE65B0" w:rsidP="00F655B9">
      <w:pPr>
        <w:pStyle w:val="Prrafodelista"/>
        <w:numPr>
          <w:ilvl w:val="0"/>
          <w:numId w:val="12"/>
        </w:num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Resolución 3280 de 2018:</w:t>
      </w:r>
      <w:r w:rsidRPr="00FE65B0">
        <w:rPr>
          <w:rFonts w:eastAsia="Times New Roman" w:cs="Times New Roman"/>
          <w:szCs w:val="24"/>
          <w:lang w:eastAsia="es-MX"/>
        </w:rPr>
        <w:t xml:space="preserve"> Define las Rutas Integrales de Atención en Salud; establece atención diferenciada para gestantes con condiciones especiales como VIH.</w:t>
      </w:r>
    </w:p>
    <w:p w14:paraId="6AA8E4AD" w14:textId="77777777" w:rsidR="00FE65B0" w:rsidRPr="00FE65B0" w:rsidRDefault="00FE65B0" w:rsidP="00F655B9">
      <w:pPr>
        <w:pStyle w:val="Prrafodelista"/>
        <w:numPr>
          <w:ilvl w:val="0"/>
          <w:numId w:val="12"/>
        </w:num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Guía de Práctica Clínica basada en la evidencia para la prevención de la transmisión materno infantil del VIH (Minsalud, 2014):</w:t>
      </w:r>
      <w:r w:rsidRPr="00FE65B0">
        <w:rPr>
          <w:rFonts w:eastAsia="Times New Roman" w:cs="Times New Roman"/>
          <w:szCs w:val="24"/>
          <w:lang w:eastAsia="es-MX"/>
        </w:rPr>
        <w:t xml:space="preserve"> Documento técnico que orienta la atención clínica de la gestante y el neonato expuesto al VIH.</w:t>
      </w:r>
    </w:p>
    <w:p w14:paraId="6C599FEE" w14:textId="77777777" w:rsidR="00FE65B0" w:rsidRPr="00FE65B0" w:rsidRDefault="00FE65B0" w:rsidP="00F655B9">
      <w:pPr>
        <w:pStyle w:val="Prrafodelista"/>
        <w:numPr>
          <w:ilvl w:val="0"/>
          <w:numId w:val="12"/>
        </w:num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Ley 100 de 1993:</w:t>
      </w:r>
      <w:r w:rsidRPr="00FE65B0">
        <w:rPr>
          <w:rFonts w:eastAsia="Times New Roman" w:cs="Times New Roman"/>
          <w:szCs w:val="24"/>
          <w:lang w:eastAsia="es-MX"/>
        </w:rPr>
        <w:t xml:space="preserve"> Establece el acceso al sistema de salud como un derecho para todos los ciudadanos.</w:t>
      </w:r>
    </w:p>
    <w:p w14:paraId="45595A8E" w14:textId="77777777" w:rsidR="00FE65B0" w:rsidRPr="00FE65B0" w:rsidRDefault="00FE65B0" w:rsidP="00F655B9">
      <w:pPr>
        <w:pStyle w:val="Prrafodelista"/>
        <w:numPr>
          <w:ilvl w:val="0"/>
          <w:numId w:val="12"/>
        </w:num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Ley 972 de 2005:</w:t>
      </w:r>
      <w:r w:rsidRPr="00FE65B0">
        <w:rPr>
          <w:rFonts w:eastAsia="Times New Roman" w:cs="Times New Roman"/>
          <w:szCs w:val="24"/>
          <w:lang w:eastAsia="es-MX"/>
        </w:rPr>
        <w:t xml:space="preserve"> Establece lineamientos para la prevención del VIH/SIDA y garantiza el acceso universal al tratamiento.</w:t>
      </w:r>
    </w:p>
    <w:p w14:paraId="0FF3E569" w14:textId="77777777" w:rsidR="00FE65B0" w:rsidRPr="00FE65B0" w:rsidRDefault="00FE65B0" w:rsidP="00F655B9">
      <w:pPr>
        <w:pStyle w:val="Prrafodelista"/>
        <w:numPr>
          <w:ilvl w:val="0"/>
          <w:numId w:val="12"/>
        </w:num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Decreto 1543 de 1997:</w:t>
      </w:r>
      <w:r w:rsidRPr="00FE65B0">
        <w:rPr>
          <w:rFonts w:eastAsia="Times New Roman" w:cs="Times New Roman"/>
          <w:szCs w:val="24"/>
          <w:lang w:eastAsia="es-MX"/>
        </w:rPr>
        <w:t xml:space="preserve"> Regula la atención integral del VIH/SIDA en Colombia.</w:t>
      </w:r>
    </w:p>
    <w:p w14:paraId="1AB4AF3C" w14:textId="77777777" w:rsidR="00FE65B0" w:rsidRPr="00FE65B0" w:rsidRDefault="00FE65B0" w:rsidP="00F655B9">
      <w:pPr>
        <w:pStyle w:val="Prrafodelista"/>
        <w:numPr>
          <w:ilvl w:val="0"/>
          <w:numId w:val="12"/>
        </w:num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Sentencia T-721 de 2003 (Corte Constitucional):</w:t>
      </w:r>
      <w:r w:rsidRPr="00FE65B0">
        <w:rPr>
          <w:rFonts w:eastAsia="Times New Roman" w:cs="Times New Roman"/>
          <w:szCs w:val="24"/>
          <w:lang w:eastAsia="es-MX"/>
        </w:rPr>
        <w:t xml:space="preserve"> Protege los derechos de las personas con VIH frente a la discriminación y la falta de atención en salud.</w:t>
      </w:r>
    </w:p>
    <w:p w14:paraId="20B34C38" w14:textId="77777777" w:rsidR="00FE65B0" w:rsidRPr="00FE65B0" w:rsidRDefault="00FE65B0" w:rsidP="00F655B9">
      <w:pPr>
        <w:pStyle w:val="Prrafodelista"/>
        <w:numPr>
          <w:ilvl w:val="0"/>
          <w:numId w:val="12"/>
        </w:num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Ley 1098 de 2006 – Código de Infancia y Adolescencia:</w:t>
      </w:r>
      <w:r w:rsidRPr="00FE65B0">
        <w:rPr>
          <w:rFonts w:eastAsia="Times New Roman" w:cs="Times New Roman"/>
          <w:szCs w:val="24"/>
          <w:lang w:eastAsia="es-MX"/>
        </w:rPr>
        <w:t xml:space="preserve"> Garantiza el derecho del recién nacido a una vida libre de enfermedades prevenibles como el VIH.</w:t>
      </w:r>
    </w:p>
    <w:p w14:paraId="535EAE3F" w14:textId="6AF43D94" w:rsidR="00FE65B0" w:rsidRPr="00FE65B0" w:rsidRDefault="00FE65B0" w:rsidP="00F655B9">
      <w:pPr>
        <w:pStyle w:val="Prrafodelista"/>
        <w:numPr>
          <w:ilvl w:val="0"/>
          <w:numId w:val="12"/>
        </w:numPr>
        <w:spacing w:before="100" w:beforeAutospacing="1" w:after="100" w:afterAutospacing="1"/>
        <w:rPr>
          <w:rFonts w:eastAsia="Times New Roman" w:cs="Times New Roman"/>
          <w:szCs w:val="24"/>
          <w:lang w:eastAsia="es-MX"/>
        </w:rPr>
      </w:pPr>
      <w:r w:rsidRPr="00FE65B0">
        <w:rPr>
          <w:rFonts w:eastAsia="Times New Roman" w:cs="Times New Roman"/>
          <w:b/>
          <w:bCs/>
          <w:szCs w:val="24"/>
          <w:lang w:eastAsia="es-MX"/>
        </w:rPr>
        <w:t>Guía para la implementación de la atención integral del VIH en la Ruta Materno Perinatal (Minsalud, 2019):</w:t>
      </w:r>
      <w:r w:rsidRPr="00FE65B0">
        <w:rPr>
          <w:rFonts w:eastAsia="Times New Roman" w:cs="Times New Roman"/>
          <w:szCs w:val="24"/>
          <w:lang w:eastAsia="es-MX"/>
        </w:rPr>
        <w:t xml:space="preserve"> Documento operativo que aterriza la atención del VIH durante el embarazo, parto y puerperio.</w:t>
      </w:r>
    </w:p>
    <w:p w14:paraId="6D8062F5" w14:textId="70FE17EA" w:rsidR="00FE65B0" w:rsidRPr="00FE65B0" w:rsidRDefault="00FE65B0" w:rsidP="00F655B9">
      <w:pPr>
        <w:keepNext/>
        <w:keepLines/>
        <w:numPr>
          <w:ilvl w:val="0"/>
          <w:numId w:val="1"/>
        </w:numPr>
        <w:spacing w:before="240" w:after="160" w:line="259" w:lineRule="auto"/>
        <w:jc w:val="left"/>
        <w:outlineLvl w:val="0"/>
        <w:rPr>
          <w:rFonts w:eastAsia="Times New Roman" w:cs="Times New Roman"/>
          <w:b/>
          <w:color w:val="000000"/>
          <w:szCs w:val="32"/>
          <w:lang w:eastAsia="es-MX"/>
        </w:rPr>
      </w:pPr>
      <w:bookmarkStart w:id="0" w:name="_heading=h.8fiapbrrnlhy" w:colFirst="0" w:colLast="0"/>
      <w:bookmarkEnd w:id="0"/>
      <w:r w:rsidRPr="00FE65B0">
        <w:rPr>
          <w:rFonts w:eastAsia="Times New Roman" w:cs="Times New Roman"/>
          <w:b/>
          <w:color w:val="000000"/>
          <w:szCs w:val="32"/>
          <w:lang w:eastAsia="es-MX"/>
        </w:rPr>
        <w:t xml:space="preserve">DESCRIPCIÓN DE ACTIVIDADES  </w:t>
      </w:r>
    </w:p>
    <w:p w14:paraId="716145F7" w14:textId="77777777" w:rsidR="00FE65B0" w:rsidRPr="00FE65B0" w:rsidRDefault="00FE65B0" w:rsidP="00FE65B0">
      <w:pPr>
        <w:spacing w:line="276" w:lineRule="auto"/>
        <w:rPr>
          <w:rFonts w:eastAsia="Century Gothic" w:cs="Century Gothic"/>
          <w:lang w:eastAsia="es-MX"/>
        </w:rPr>
      </w:pPr>
      <w:r w:rsidRPr="00FE65B0">
        <w:rPr>
          <w:rFonts w:eastAsia="Century Gothic" w:cs="Century Gothic"/>
          <w:lang w:eastAsia="es-MX"/>
        </w:rPr>
        <w:t xml:space="preserve">Las intervenciones clave para la prevención de la transmisión materno infantil del VIH se agrupan así: </w:t>
      </w:r>
    </w:p>
    <w:p w14:paraId="3BC60366" w14:textId="77777777" w:rsidR="00FE65B0" w:rsidRPr="00FE65B0" w:rsidRDefault="00FE65B0" w:rsidP="00F655B9">
      <w:pPr>
        <w:numPr>
          <w:ilvl w:val="0"/>
          <w:numId w:val="8"/>
        </w:numPr>
        <w:spacing w:after="160" w:line="276" w:lineRule="auto"/>
        <w:jc w:val="left"/>
        <w:rPr>
          <w:rFonts w:eastAsia="Century Gothic" w:cs="Century Gothic"/>
          <w:lang w:eastAsia="es-MX"/>
        </w:rPr>
      </w:pPr>
      <w:r w:rsidRPr="00FE65B0">
        <w:rPr>
          <w:rFonts w:eastAsia="Century Gothic" w:cs="Century Gothic"/>
          <w:lang w:eastAsia="es-MX"/>
        </w:rPr>
        <w:t xml:space="preserve">Tratamiento antirretroviral a la madre en el ante parto. </w:t>
      </w:r>
    </w:p>
    <w:p w14:paraId="367D44D6" w14:textId="77777777" w:rsidR="00FE65B0" w:rsidRPr="00FE65B0" w:rsidRDefault="00FE65B0" w:rsidP="00F655B9">
      <w:pPr>
        <w:numPr>
          <w:ilvl w:val="0"/>
          <w:numId w:val="8"/>
        </w:numPr>
        <w:spacing w:after="160" w:line="276" w:lineRule="auto"/>
        <w:jc w:val="left"/>
        <w:rPr>
          <w:rFonts w:eastAsia="Century Gothic" w:cs="Century Gothic"/>
          <w:lang w:eastAsia="es-MX"/>
        </w:rPr>
      </w:pPr>
      <w:r w:rsidRPr="00FE65B0">
        <w:rPr>
          <w:rFonts w:eastAsia="Century Gothic" w:cs="Century Gothic"/>
          <w:lang w:eastAsia="es-MX"/>
        </w:rPr>
        <w:t>Profilaxis antirretroviral a la madre en el intraparto.</w:t>
      </w:r>
    </w:p>
    <w:p w14:paraId="7EC684FA" w14:textId="77777777" w:rsidR="00FE65B0" w:rsidRPr="00FE65B0" w:rsidRDefault="00FE65B0" w:rsidP="00F655B9">
      <w:pPr>
        <w:numPr>
          <w:ilvl w:val="0"/>
          <w:numId w:val="8"/>
        </w:numPr>
        <w:spacing w:after="160" w:line="276" w:lineRule="auto"/>
        <w:jc w:val="left"/>
        <w:rPr>
          <w:rFonts w:eastAsia="Century Gothic" w:cs="Century Gothic"/>
          <w:lang w:eastAsia="es-MX"/>
        </w:rPr>
      </w:pPr>
      <w:r w:rsidRPr="00FE65B0">
        <w:rPr>
          <w:rFonts w:eastAsia="Century Gothic" w:cs="Century Gothic"/>
          <w:lang w:eastAsia="es-MX"/>
        </w:rPr>
        <w:t xml:space="preserve">Parto por cesárea o parto vaginal, si está indicado de acuerdo con el resultado de la carga viral realizada 2 - 4 semanas antes de la atención del parto. </w:t>
      </w:r>
    </w:p>
    <w:p w14:paraId="20E876B7" w14:textId="77777777" w:rsidR="00FE65B0" w:rsidRPr="00FE65B0" w:rsidRDefault="00FE65B0" w:rsidP="00F655B9">
      <w:pPr>
        <w:numPr>
          <w:ilvl w:val="0"/>
          <w:numId w:val="8"/>
        </w:numPr>
        <w:spacing w:after="160" w:line="276" w:lineRule="auto"/>
        <w:jc w:val="left"/>
        <w:rPr>
          <w:rFonts w:eastAsia="Century Gothic" w:cs="Century Gothic"/>
          <w:lang w:eastAsia="es-MX"/>
        </w:rPr>
      </w:pPr>
      <w:r w:rsidRPr="00FE65B0">
        <w:rPr>
          <w:rFonts w:eastAsia="Century Gothic" w:cs="Century Gothic"/>
          <w:lang w:eastAsia="es-MX"/>
        </w:rPr>
        <w:t>Profilaxis antirretroviral de la niña o niño expuesto, iniciándola lo más cercano al nacimiento, idealmente en las primeras 6 a 12 horas de vida y teniendo en cuenta la clasificación del riesgo: neonato de bajo riesgo, neonato de alto riesgo. Ver GPC vigente del MSPS.</w:t>
      </w:r>
    </w:p>
    <w:p w14:paraId="6DB96965" w14:textId="76ED9E57" w:rsidR="00FE65B0" w:rsidRPr="00FE65B0" w:rsidRDefault="00FE65B0" w:rsidP="00F655B9">
      <w:pPr>
        <w:numPr>
          <w:ilvl w:val="0"/>
          <w:numId w:val="8"/>
        </w:numPr>
        <w:spacing w:after="160" w:line="276" w:lineRule="auto"/>
        <w:jc w:val="left"/>
        <w:rPr>
          <w:rFonts w:eastAsia="Century Gothic" w:cs="Century Gothic"/>
          <w:lang w:eastAsia="es-MX"/>
        </w:rPr>
      </w:pPr>
      <w:r w:rsidRPr="00FE65B0">
        <w:rPr>
          <w:rFonts w:eastAsia="Century Gothic" w:cs="Century Gothic"/>
          <w:lang w:eastAsia="es-MX"/>
        </w:rPr>
        <w:t xml:space="preserve">Supresión de la lactancia materna, administración de fórmula láctea al recién nacido desde el momento de su nacimiento hasta los 12 meses de edad y, a partir de los 6 meses, iniciar alimentación complementaria. </w:t>
      </w:r>
    </w:p>
    <w:p w14:paraId="7D0D4C3C" w14:textId="2E6B9159" w:rsidR="00FE65B0" w:rsidRPr="00013ECE" w:rsidRDefault="00FE65B0" w:rsidP="00E53CBC">
      <w:pPr>
        <w:pStyle w:val="Prrafodelista"/>
        <w:numPr>
          <w:ilvl w:val="1"/>
          <w:numId w:val="24"/>
        </w:numPr>
        <w:spacing w:line="259" w:lineRule="auto"/>
        <w:rPr>
          <w:rFonts w:eastAsia="Century Gothic" w:cs="Century Gothic"/>
          <w:b/>
          <w:lang w:eastAsia="es-MX"/>
        </w:rPr>
      </w:pPr>
      <w:r w:rsidRPr="00013ECE">
        <w:rPr>
          <w:rFonts w:eastAsia="Century Gothic" w:cs="Century Gothic"/>
          <w:b/>
          <w:lang w:eastAsia="es-MX"/>
        </w:rPr>
        <w:t>Durante el embarazo</w:t>
      </w:r>
    </w:p>
    <w:p w14:paraId="0232A671" w14:textId="77777777" w:rsidR="00FE65B0" w:rsidRPr="00FE65B0" w:rsidRDefault="00FE65B0" w:rsidP="00FE65B0">
      <w:pPr>
        <w:spacing w:line="259" w:lineRule="auto"/>
        <w:rPr>
          <w:rFonts w:eastAsia="Century Gothic" w:cs="Century Gothic"/>
          <w:lang w:eastAsia="es-MX"/>
        </w:rPr>
      </w:pPr>
    </w:p>
    <w:p w14:paraId="52ED0099" w14:textId="14E053F0" w:rsidR="00FE65B0" w:rsidRPr="00FE65B0" w:rsidRDefault="00FE65B0" w:rsidP="003B0710">
      <w:pPr>
        <w:spacing w:line="276" w:lineRule="auto"/>
        <w:rPr>
          <w:rFonts w:eastAsia="Century Gothic" w:cs="Century Gothic"/>
          <w:lang w:eastAsia="es-MX"/>
        </w:rPr>
      </w:pPr>
      <w:r w:rsidRPr="00FE65B0">
        <w:rPr>
          <w:rFonts w:eastAsia="Century Gothic" w:cs="Century Gothic"/>
          <w:lang w:eastAsia="es-MX"/>
        </w:rPr>
        <w:t>La prevención durante el embarazo se hace con la administración de la terapia antirretroviral, cuyo objetivo es reducir los niveles de carga viral a niveles indetectables para disminuir el riesgo de transmisión. Ver las opciones para gestantes en la guía de práctica clínica vigente.</w:t>
      </w:r>
    </w:p>
    <w:p w14:paraId="693CC03A" w14:textId="7A6F4CE3" w:rsidR="00FE65B0" w:rsidRPr="00013ECE" w:rsidRDefault="00FE65B0" w:rsidP="00E53CBC">
      <w:pPr>
        <w:pStyle w:val="Prrafodelista"/>
        <w:numPr>
          <w:ilvl w:val="1"/>
          <w:numId w:val="24"/>
        </w:numPr>
        <w:spacing w:line="360" w:lineRule="auto"/>
        <w:rPr>
          <w:rFonts w:eastAsia="Century Gothic" w:cs="Century Gothic"/>
          <w:b/>
          <w:lang w:eastAsia="es-MX"/>
        </w:rPr>
      </w:pPr>
      <w:r w:rsidRPr="00013ECE">
        <w:rPr>
          <w:rFonts w:eastAsia="Century Gothic" w:cs="Century Gothic"/>
          <w:b/>
          <w:lang w:eastAsia="es-MX"/>
        </w:rPr>
        <w:t>Durante el parto</w:t>
      </w:r>
    </w:p>
    <w:p w14:paraId="5AA75852" w14:textId="77777777" w:rsidR="00FE65B0" w:rsidRPr="00FE65B0" w:rsidRDefault="00FE65B0" w:rsidP="00FE65B0">
      <w:pPr>
        <w:spacing w:line="276" w:lineRule="auto"/>
        <w:rPr>
          <w:rFonts w:eastAsia="Century Gothic" w:cs="Century Gothic"/>
          <w:lang w:eastAsia="es-MX"/>
        </w:rPr>
      </w:pPr>
      <w:r w:rsidRPr="00FE65B0">
        <w:rPr>
          <w:rFonts w:eastAsia="Century Gothic" w:cs="Century Gothic"/>
          <w:lang w:eastAsia="es-MX"/>
        </w:rPr>
        <w:t xml:space="preserve">La cesárea electiva realizada antes del inicio del trabajo de parto o de una ruptura de membranas reduce significativamente la transmisión materno infantil en comparación con la cesárea de urgencia o el parto vaginal, particularmente en gestantes con carga viral mayor o igual a 1.000 copias/ml cerca al tiempo del parto. </w:t>
      </w:r>
    </w:p>
    <w:p w14:paraId="60F4272A" w14:textId="77777777" w:rsidR="00FE65B0" w:rsidRPr="00FE65B0" w:rsidRDefault="00FE65B0" w:rsidP="00FE65B0">
      <w:pPr>
        <w:spacing w:line="276" w:lineRule="auto"/>
        <w:rPr>
          <w:rFonts w:eastAsia="Century Gothic" w:cs="Century Gothic"/>
          <w:lang w:eastAsia="es-MX"/>
        </w:rPr>
      </w:pPr>
      <w:r w:rsidRPr="00FE65B0">
        <w:rPr>
          <w:rFonts w:eastAsia="Century Gothic" w:cs="Century Gothic"/>
          <w:lang w:eastAsia="es-MX"/>
        </w:rPr>
        <w:t xml:space="preserve">Se recomienda la cesárea electiva a las 38 semanas de gestación y abstenerse de confirmar madurez pulmonar fetal a través de amniocentesis; si existe duda, debe esperarse hasta la semana 39. </w:t>
      </w:r>
    </w:p>
    <w:p w14:paraId="118F6D3F" w14:textId="77777777" w:rsidR="00FE65B0" w:rsidRPr="00FE65B0" w:rsidRDefault="00FE65B0" w:rsidP="00FE65B0">
      <w:pPr>
        <w:spacing w:line="276" w:lineRule="auto"/>
        <w:rPr>
          <w:rFonts w:eastAsia="Century Gothic" w:cs="Century Gothic"/>
          <w:lang w:eastAsia="es-MX"/>
        </w:rPr>
      </w:pPr>
      <w:r w:rsidRPr="00FE65B0">
        <w:rPr>
          <w:rFonts w:eastAsia="Century Gothic" w:cs="Century Gothic"/>
          <w:lang w:eastAsia="es-MX"/>
        </w:rPr>
        <w:t xml:space="preserve">Para cesárea electiva, debe iniciarse zidovudina intravenosa 3 horas antes del inicio de la cirugía. Si la paciente está tomando medicación antirretroviral durante el embarazo, ésta no debe interrumpirse en el momento del parto, independiente de la vía de atención de este. </w:t>
      </w:r>
    </w:p>
    <w:p w14:paraId="3E22CCF9" w14:textId="14E80142" w:rsidR="00FE65B0" w:rsidRPr="00FE65B0" w:rsidRDefault="00FE65B0" w:rsidP="003B0710">
      <w:pPr>
        <w:spacing w:line="276" w:lineRule="auto"/>
        <w:rPr>
          <w:rFonts w:eastAsia="Century Gothic" w:cs="Century Gothic"/>
          <w:lang w:eastAsia="es-MX"/>
        </w:rPr>
      </w:pPr>
      <w:r w:rsidRPr="00FE65B0">
        <w:rPr>
          <w:rFonts w:eastAsia="Century Gothic" w:cs="Century Gothic"/>
          <w:lang w:eastAsia="es-MX"/>
        </w:rPr>
        <w:t xml:space="preserve">De elegirse parto por vía vaginal, está contraindicada la anotomía y cualquier procedimiento invasivo que aumente el riesgo de exposición fetal a sangre materna como monitoreo fetal invasivo, instrumentación, etc. </w:t>
      </w:r>
    </w:p>
    <w:p w14:paraId="581E32F7" w14:textId="7BB73137" w:rsidR="00FE65B0" w:rsidRPr="00013ECE" w:rsidRDefault="00FE65B0" w:rsidP="00E53CBC">
      <w:pPr>
        <w:pStyle w:val="Prrafodelista"/>
        <w:numPr>
          <w:ilvl w:val="1"/>
          <w:numId w:val="24"/>
        </w:numPr>
        <w:spacing w:line="360" w:lineRule="auto"/>
        <w:rPr>
          <w:rFonts w:eastAsia="Century Gothic" w:cs="Century Gothic"/>
          <w:lang w:eastAsia="es-MX"/>
        </w:rPr>
      </w:pPr>
      <w:r w:rsidRPr="00013ECE">
        <w:rPr>
          <w:rFonts w:eastAsia="Century Gothic" w:cs="Century Gothic"/>
          <w:b/>
          <w:lang w:eastAsia="es-MX"/>
        </w:rPr>
        <w:t>Vía del parto</w:t>
      </w:r>
    </w:p>
    <w:p w14:paraId="199604A6" w14:textId="77777777" w:rsidR="00FE65B0" w:rsidRPr="00FE65B0" w:rsidRDefault="00FE65B0" w:rsidP="00F655B9">
      <w:pPr>
        <w:numPr>
          <w:ilvl w:val="0"/>
          <w:numId w:val="9"/>
        </w:numPr>
        <w:spacing w:after="160" w:line="276" w:lineRule="auto"/>
        <w:contextualSpacing/>
        <w:jc w:val="left"/>
        <w:rPr>
          <w:rFonts w:eastAsia="Century Gothic" w:cs="Century Gothic"/>
          <w:lang w:eastAsia="es-MX"/>
        </w:rPr>
      </w:pPr>
      <w:r w:rsidRPr="00FE65B0">
        <w:rPr>
          <w:rFonts w:eastAsia="Century Gothic" w:cs="Century Gothic"/>
          <w:lang w:eastAsia="es-MX"/>
        </w:rPr>
        <w:t xml:space="preserve">Mujer en tercer trimestre de embarazo con antirretrovirales, carga viral tercer trimestre desconocida, mayor o igual a 1.000 copias/ml: programe parto por cesárea electiva semana 38. </w:t>
      </w:r>
    </w:p>
    <w:p w14:paraId="2B3D22C2" w14:textId="77777777" w:rsidR="00FE65B0" w:rsidRPr="00FE65B0" w:rsidRDefault="00FE65B0" w:rsidP="00F655B9">
      <w:pPr>
        <w:numPr>
          <w:ilvl w:val="0"/>
          <w:numId w:val="9"/>
        </w:numPr>
        <w:spacing w:after="160" w:line="276" w:lineRule="auto"/>
        <w:contextualSpacing/>
        <w:jc w:val="left"/>
        <w:rPr>
          <w:rFonts w:eastAsia="Century Gothic" w:cs="Century Gothic"/>
          <w:lang w:eastAsia="es-MX"/>
        </w:rPr>
      </w:pPr>
      <w:r w:rsidRPr="00FE65B0">
        <w:rPr>
          <w:rFonts w:eastAsia="Century Gothic" w:cs="Century Gothic"/>
          <w:lang w:eastAsia="es-MX"/>
        </w:rPr>
        <w:t>Mujer en tercer trimestre de embarazo con antirretrovirales, carga viral tercer trimestre menor de 1.000 copias/ml: programe parto vaginal.</w:t>
      </w:r>
    </w:p>
    <w:p w14:paraId="636B26C5" w14:textId="77777777" w:rsidR="00FE65B0" w:rsidRPr="00FE65B0" w:rsidRDefault="00FE65B0" w:rsidP="00FE65B0">
      <w:pPr>
        <w:spacing w:line="276" w:lineRule="auto"/>
        <w:ind w:left="720"/>
        <w:contextualSpacing/>
        <w:rPr>
          <w:rFonts w:eastAsia="Century Gothic" w:cs="Century Gothic"/>
          <w:lang w:eastAsia="es-MX"/>
        </w:rPr>
      </w:pPr>
    </w:p>
    <w:p w14:paraId="499B6B81" w14:textId="2384FA60" w:rsidR="00FE65B0" w:rsidRPr="00FE65B0" w:rsidRDefault="00FE65B0" w:rsidP="003B0710">
      <w:pPr>
        <w:spacing w:line="360" w:lineRule="auto"/>
        <w:jc w:val="center"/>
        <w:rPr>
          <w:rFonts w:eastAsia="Century Gothic" w:cs="Century Gothic"/>
          <w:b/>
          <w:lang w:eastAsia="es-MX"/>
        </w:rPr>
      </w:pPr>
      <w:r w:rsidRPr="00FE65B0">
        <w:rPr>
          <w:rFonts w:eastAsia="Century Gothic" w:cs="Century Gothic"/>
          <w:b/>
          <w:lang w:eastAsia="es-MX"/>
        </w:rPr>
        <w:t>Preparación de zidovudina para infusión endovenosa en 100 ml de dextrosa al 5%</w:t>
      </w:r>
    </w:p>
    <w:p w14:paraId="6A77FDD1" w14:textId="77777777" w:rsidR="00FE65B0" w:rsidRPr="00FE65B0" w:rsidRDefault="00FE65B0" w:rsidP="00FE65B0">
      <w:pPr>
        <w:spacing w:line="360" w:lineRule="auto"/>
        <w:jc w:val="center"/>
        <w:rPr>
          <w:rFonts w:eastAsia="Century Gothic" w:cs="Century Gothic"/>
          <w:b/>
          <w:lang w:eastAsia="es-MX"/>
        </w:rPr>
      </w:pPr>
      <w:r w:rsidRPr="00FE65B0">
        <w:rPr>
          <w:rFonts w:eastAsia="Century Gothic" w:cs="Century Gothic"/>
          <w:noProof/>
          <w:lang w:eastAsia="es-MX"/>
        </w:rPr>
        <w:drawing>
          <wp:anchor distT="0" distB="0" distL="114300" distR="114300" simplePos="0" relativeHeight="251662336" behindDoc="1" locked="0" layoutInCell="1" allowOverlap="1" wp14:anchorId="43AA9366" wp14:editId="01E594B0">
            <wp:simplePos x="0" y="0"/>
            <wp:positionH relativeFrom="margin">
              <wp:posOffset>453390</wp:posOffset>
            </wp:positionH>
            <wp:positionV relativeFrom="paragraph">
              <wp:posOffset>81915</wp:posOffset>
            </wp:positionV>
            <wp:extent cx="5372100" cy="1495425"/>
            <wp:effectExtent l="0" t="0" r="0" b="9525"/>
            <wp:wrapTight wrapText="bothSides">
              <wp:wrapPolygon edited="0">
                <wp:start x="0" y="0"/>
                <wp:lineTo x="0" y="21462"/>
                <wp:lineTo x="21523" y="21462"/>
                <wp:lineTo x="21523"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46001" t="49475" r="22853" b="30905"/>
                    <a:stretch/>
                  </pic:blipFill>
                  <pic:spPr bwMode="auto">
                    <a:xfrm>
                      <a:off x="0" y="0"/>
                      <a:ext cx="5372100" cy="1495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511F7B" w14:textId="77777777" w:rsidR="00FE65B0" w:rsidRPr="00FE65B0" w:rsidRDefault="00FE65B0" w:rsidP="00FE65B0">
      <w:pPr>
        <w:spacing w:line="360" w:lineRule="auto"/>
        <w:jc w:val="center"/>
        <w:rPr>
          <w:rFonts w:eastAsia="Century Gothic" w:cs="Century Gothic"/>
          <w:b/>
          <w:lang w:eastAsia="es-MX"/>
        </w:rPr>
      </w:pPr>
    </w:p>
    <w:p w14:paraId="7B318261" w14:textId="77777777" w:rsidR="00FE65B0" w:rsidRPr="00FE65B0" w:rsidRDefault="00FE65B0" w:rsidP="00FE65B0">
      <w:pPr>
        <w:spacing w:line="360" w:lineRule="auto"/>
        <w:jc w:val="center"/>
        <w:rPr>
          <w:rFonts w:eastAsia="Century Gothic" w:cs="Century Gothic"/>
          <w:b/>
          <w:lang w:eastAsia="es-MX"/>
        </w:rPr>
      </w:pPr>
    </w:p>
    <w:p w14:paraId="3563B521" w14:textId="77777777" w:rsidR="00FE65B0" w:rsidRPr="00FE65B0" w:rsidRDefault="00FE65B0" w:rsidP="00FE65B0">
      <w:pPr>
        <w:spacing w:line="360" w:lineRule="auto"/>
        <w:jc w:val="center"/>
        <w:rPr>
          <w:rFonts w:eastAsia="Century Gothic" w:cs="Century Gothic"/>
          <w:b/>
          <w:lang w:eastAsia="es-MX"/>
        </w:rPr>
      </w:pPr>
    </w:p>
    <w:p w14:paraId="4D28906C" w14:textId="77777777" w:rsidR="00FE65B0" w:rsidRPr="00FE65B0" w:rsidRDefault="00FE65B0" w:rsidP="00FE65B0">
      <w:pPr>
        <w:spacing w:line="360" w:lineRule="auto"/>
        <w:jc w:val="center"/>
        <w:rPr>
          <w:rFonts w:eastAsia="Century Gothic" w:cs="Century Gothic"/>
          <w:b/>
          <w:lang w:eastAsia="es-MX"/>
        </w:rPr>
      </w:pPr>
    </w:p>
    <w:p w14:paraId="3E037E14" w14:textId="77777777" w:rsidR="00FE65B0" w:rsidRPr="00FE65B0" w:rsidRDefault="00FE65B0" w:rsidP="003B0710">
      <w:pPr>
        <w:spacing w:line="360" w:lineRule="auto"/>
        <w:rPr>
          <w:rFonts w:eastAsia="Century Gothic" w:cs="Century Gothic"/>
          <w:b/>
          <w:lang w:eastAsia="es-MX"/>
        </w:rPr>
      </w:pPr>
    </w:p>
    <w:p w14:paraId="2708A57A" w14:textId="77777777" w:rsidR="00FE65B0" w:rsidRPr="00FE65B0" w:rsidRDefault="00FE65B0" w:rsidP="00FE65B0">
      <w:pPr>
        <w:spacing w:line="276" w:lineRule="auto"/>
        <w:rPr>
          <w:rFonts w:eastAsia="Century Gothic" w:cs="Century Gothic"/>
          <w:lang w:eastAsia="es-MX"/>
        </w:rPr>
      </w:pPr>
      <w:r w:rsidRPr="00FE65B0">
        <w:rPr>
          <w:rFonts w:eastAsia="Century Gothic" w:cs="Century Gothic"/>
          <w:lang w:eastAsia="es-MX"/>
        </w:rPr>
        <w:t>En gestantes que acuden a parto institucional sin antecedente de control prenatal ni tamizaje para VIH, deberá realizarse una prueba rápida para VIH al momento del parto y si ésta es reactiva, se debe aplicar el goteo de zidovudina según la tabla expuesta, iniciar la profilaxis del recién nacido de acuerdo a la clasificación del riesgo y se debe definir la condición serológica de la madre frente al VIH.</w:t>
      </w:r>
    </w:p>
    <w:p w14:paraId="329690C8" w14:textId="7D00DA0D" w:rsidR="00FE65B0" w:rsidRPr="00FE65B0" w:rsidRDefault="00FE65B0" w:rsidP="003B0710">
      <w:pPr>
        <w:spacing w:line="276" w:lineRule="auto"/>
        <w:rPr>
          <w:rFonts w:eastAsia="Century Gothic" w:cs="Century Gothic"/>
          <w:b/>
          <w:lang w:eastAsia="es-MX"/>
        </w:rPr>
      </w:pPr>
      <w:r w:rsidRPr="00FE65B0">
        <w:rPr>
          <w:rFonts w:eastAsia="Century Gothic" w:cs="Century Gothic"/>
          <w:lang w:eastAsia="es-MX"/>
        </w:rPr>
        <w:t xml:space="preserve">Posterior al parto inmediatamente después del parto se deben suministrar medicamentos para la supresión de la lactancia materna como la Cabergolina y remplazar la leche materna por fórmula infantil desde el nacimiento hasta los 12 meses de edad, independientemente de si la madre recibe tratamiento antirretroviral o si la niña o el niño se encuentra en profilaxis antirretroviral; </w:t>
      </w:r>
      <w:r w:rsidRPr="00FE65B0">
        <w:rPr>
          <w:rFonts w:eastAsia="Century Gothic" w:cs="Century Gothic"/>
          <w:b/>
          <w:lang w:eastAsia="es-MX"/>
        </w:rPr>
        <w:t>no se debe dar leche materna.</w:t>
      </w:r>
    </w:p>
    <w:p w14:paraId="553D105D" w14:textId="57D82384" w:rsidR="00FE65B0" w:rsidRPr="00013ECE" w:rsidRDefault="00FE65B0" w:rsidP="00E53CBC">
      <w:pPr>
        <w:pStyle w:val="Prrafodelista"/>
        <w:numPr>
          <w:ilvl w:val="1"/>
          <w:numId w:val="24"/>
        </w:numPr>
        <w:spacing w:line="360" w:lineRule="auto"/>
        <w:rPr>
          <w:rFonts w:eastAsia="Century Gothic" w:cs="Century Gothic"/>
          <w:b/>
          <w:lang w:eastAsia="es-MX"/>
        </w:rPr>
      </w:pPr>
      <w:r w:rsidRPr="00013ECE">
        <w:rPr>
          <w:rFonts w:eastAsia="Century Gothic" w:cs="Century Gothic"/>
          <w:b/>
          <w:lang w:eastAsia="es-MX"/>
        </w:rPr>
        <w:t>Atención del recién nacido</w:t>
      </w:r>
    </w:p>
    <w:p w14:paraId="22A9931C" w14:textId="77777777" w:rsidR="00FE65B0" w:rsidRPr="00FE65B0" w:rsidRDefault="00FE65B0" w:rsidP="00FE65B0">
      <w:pPr>
        <w:spacing w:line="276" w:lineRule="auto"/>
        <w:rPr>
          <w:rFonts w:eastAsia="Century Gothic" w:cs="Century Gothic"/>
          <w:lang w:eastAsia="es-MX"/>
        </w:rPr>
      </w:pPr>
      <w:r w:rsidRPr="00FE65B0">
        <w:rPr>
          <w:rFonts w:eastAsia="Century Gothic" w:cs="Century Gothic"/>
          <w:lang w:eastAsia="es-MX"/>
        </w:rPr>
        <w:t xml:space="preserve"> Para reducir la transmisión de la infección durante el momento del parto se debe: </w:t>
      </w:r>
    </w:p>
    <w:p w14:paraId="5E7D4C0C" w14:textId="77777777" w:rsidR="00FE65B0" w:rsidRPr="00FE65B0" w:rsidRDefault="00FE65B0" w:rsidP="00F655B9">
      <w:pPr>
        <w:numPr>
          <w:ilvl w:val="0"/>
          <w:numId w:val="10"/>
        </w:numPr>
        <w:spacing w:after="160" w:line="276" w:lineRule="auto"/>
        <w:contextualSpacing/>
        <w:jc w:val="left"/>
        <w:rPr>
          <w:rFonts w:eastAsia="Century Gothic" w:cs="Century Gothic"/>
          <w:lang w:eastAsia="es-MX"/>
        </w:rPr>
      </w:pPr>
      <w:r w:rsidRPr="00FE65B0">
        <w:rPr>
          <w:rFonts w:eastAsia="Century Gothic" w:cs="Century Gothic"/>
          <w:lang w:eastAsia="es-MX"/>
        </w:rPr>
        <w:t xml:space="preserve">Lavar al niño o niña con agua y jabón inmediatamente después del nacimiento para disminuir el contacto con secreciones cervicovaginales, el líquido amniótico y la sangre materna. </w:t>
      </w:r>
    </w:p>
    <w:p w14:paraId="07DB4F04" w14:textId="77777777" w:rsidR="00FE65B0" w:rsidRPr="00FE65B0" w:rsidRDefault="00FE65B0" w:rsidP="00F655B9">
      <w:pPr>
        <w:numPr>
          <w:ilvl w:val="0"/>
          <w:numId w:val="10"/>
        </w:numPr>
        <w:spacing w:after="160" w:line="276" w:lineRule="auto"/>
        <w:contextualSpacing/>
        <w:jc w:val="left"/>
        <w:rPr>
          <w:rFonts w:eastAsia="Century Gothic" w:cs="Century Gothic"/>
          <w:lang w:eastAsia="es-MX"/>
        </w:rPr>
      </w:pPr>
      <w:r w:rsidRPr="00FE65B0">
        <w:rPr>
          <w:rFonts w:eastAsia="Century Gothic" w:cs="Century Gothic"/>
          <w:lang w:eastAsia="es-MX"/>
        </w:rPr>
        <w:t xml:space="preserve">Succionar la vía aérea evitando traumatismos. </w:t>
      </w:r>
    </w:p>
    <w:p w14:paraId="0372FA17" w14:textId="77777777" w:rsidR="00FE65B0" w:rsidRPr="00FE65B0" w:rsidRDefault="00FE65B0" w:rsidP="00F655B9">
      <w:pPr>
        <w:numPr>
          <w:ilvl w:val="0"/>
          <w:numId w:val="10"/>
        </w:numPr>
        <w:spacing w:after="160" w:line="276" w:lineRule="auto"/>
        <w:contextualSpacing/>
        <w:jc w:val="left"/>
        <w:rPr>
          <w:rFonts w:eastAsia="Century Gothic" w:cs="Century Gothic"/>
          <w:lang w:eastAsia="es-MX"/>
        </w:rPr>
      </w:pPr>
      <w:r w:rsidRPr="00FE65B0">
        <w:rPr>
          <w:rFonts w:eastAsia="Century Gothic" w:cs="Century Gothic"/>
          <w:lang w:eastAsia="es-MX"/>
        </w:rPr>
        <w:t xml:space="preserve">Iniciar suministro de profilaxis antirretroviral entre las 6 y 12 horas de vida de acuerdo a la clasificación del riesgo: neonato de bajo riesgo, neonato de alto riesgo. </w:t>
      </w:r>
    </w:p>
    <w:p w14:paraId="6CF0E938" w14:textId="77777777" w:rsidR="00FE65B0" w:rsidRPr="00FE65B0" w:rsidRDefault="00FE65B0" w:rsidP="00FE65B0">
      <w:pPr>
        <w:spacing w:line="276" w:lineRule="auto"/>
        <w:ind w:left="720"/>
        <w:contextualSpacing/>
        <w:rPr>
          <w:rFonts w:eastAsia="Century Gothic" w:cs="Century Gothic"/>
          <w:lang w:eastAsia="es-MX"/>
        </w:rPr>
      </w:pPr>
    </w:p>
    <w:p w14:paraId="5747BB82" w14:textId="721ECC39" w:rsidR="00FE65B0" w:rsidRPr="00E53CBC" w:rsidRDefault="00FE65B0" w:rsidP="00E53CBC">
      <w:pPr>
        <w:pStyle w:val="Prrafodelista"/>
        <w:numPr>
          <w:ilvl w:val="1"/>
          <w:numId w:val="24"/>
        </w:numPr>
        <w:spacing w:line="276" w:lineRule="auto"/>
        <w:rPr>
          <w:rFonts w:eastAsia="Century Gothic" w:cs="Century Gothic"/>
          <w:lang w:eastAsia="es-MX"/>
        </w:rPr>
      </w:pPr>
      <w:r w:rsidRPr="00E53CBC">
        <w:rPr>
          <w:rFonts w:eastAsia="Century Gothic" w:cs="Century Gothic"/>
          <w:b/>
          <w:lang w:eastAsia="es-MX"/>
        </w:rPr>
        <w:t>Seguimiento del niño o niña expuesto</w:t>
      </w:r>
      <w:r w:rsidRPr="00E53CBC">
        <w:rPr>
          <w:rFonts w:eastAsia="Century Gothic" w:cs="Century Gothic"/>
          <w:lang w:eastAsia="es-MX"/>
        </w:rPr>
        <w:t xml:space="preserve"> </w:t>
      </w:r>
    </w:p>
    <w:p w14:paraId="75F1432A" w14:textId="1E507448" w:rsidR="00FE65B0" w:rsidRDefault="00FE65B0" w:rsidP="00FE65B0">
      <w:pPr>
        <w:spacing w:line="276" w:lineRule="auto"/>
        <w:rPr>
          <w:rFonts w:eastAsia="Century Gothic" w:cs="Century Gothic"/>
          <w:lang w:eastAsia="es-MX"/>
        </w:rPr>
      </w:pPr>
      <w:r w:rsidRPr="00FE65B0">
        <w:rPr>
          <w:rFonts w:eastAsia="Century Gothic" w:cs="Century Gothic"/>
          <w:lang w:eastAsia="es-MX"/>
        </w:rPr>
        <w:t>El seguimiento del niño o niña expuesto al VIH se hará con cargas virales las cuales se realizarán con la frecuencia que determine la guía de práctica clínica vigente hasta que se defina la condición final del niño o niña frente al VIH.</w:t>
      </w:r>
    </w:p>
    <w:p w14:paraId="0F89A11C" w14:textId="77777777" w:rsidR="00E53CBC" w:rsidRPr="00FE65B0" w:rsidRDefault="00E53CBC" w:rsidP="00FE65B0">
      <w:pPr>
        <w:spacing w:line="276" w:lineRule="auto"/>
        <w:rPr>
          <w:rFonts w:eastAsia="Century Gothic" w:cs="Century Gothic"/>
          <w:b/>
          <w:lang w:eastAsia="es-MX"/>
        </w:rPr>
      </w:pPr>
    </w:p>
    <w:tbl>
      <w:tblPr>
        <w:tblStyle w:val="Tabladecuadrcula4-nfasis51"/>
        <w:tblW w:w="10065" w:type="dxa"/>
        <w:jc w:val="center"/>
        <w:tblLook w:val="04A0" w:firstRow="1" w:lastRow="0" w:firstColumn="1" w:lastColumn="0" w:noHBand="0" w:noVBand="1"/>
      </w:tblPr>
      <w:tblGrid>
        <w:gridCol w:w="6232"/>
        <w:gridCol w:w="3833"/>
      </w:tblGrid>
      <w:tr w:rsidR="003B0710" w:rsidRPr="003B0710" w14:paraId="49FE22D9" w14:textId="77777777" w:rsidTr="00E53CBC">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0065" w:type="dxa"/>
            <w:gridSpan w:val="2"/>
          </w:tcPr>
          <w:p w14:paraId="4A6CC63E" w14:textId="77777777" w:rsidR="003B0710" w:rsidRPr="003B0710" w:rsidRDefault="003B0710" w:rsidP="003B0710">
            <w:pPr>
              <w:jc w:val="center"/>
              <w:rPr>
                <w:sz w:val="20"/>
                <w:szCs w:val="20"/>
              </w:rPr>
            </w:pPr>
            <w:r w:rsidRPr="003B0710">
              <w:rPr>
                <w:sz w:val="20"/>
                <w:szCs w:val="20"/>
              </w:rPr>
              <w:t>Recomendaciones sobre la elección de la vía de parto:</w:t>
            </w:r>
          </w:p>
        </w:tc>
      </w:tr>
      <w:tr w:rsidR="003B0710" w:rsidRPr="003B0710" w14:paraId="1B01FB0E" w14:textId="77777777" w:rsidTr="00E53CBC">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6232" w:type="dxa"/>
          </w:tcPr>
          <w:p w14:paraId="358BC602" w14:textId="77777777" w:rsidR="003B0710" w:rsidRPr="003B0710" w:rsidRDefault="003B0710" w:rsidP="003B0710">
            <w:pPr>
              <w:ind w:right="53"/>
              <w:jc w:val="center"/>
              <w:rPr>
                <w:sz w:val="20"/>
                <w:szCs w:val="20"/>
              </w:rPr>
            </w:pPr>
            <w:r w:rsidRPr="003B0710">
              <w:rPr>
                <w:sz w:val="20"/>
                <w:szCs w:val="20"/>
              </w:rPr>
              <w:t>CESAREA ELECTIVA (SEM</w:t>
            </w:r>
          </w:p>
          <w:p w14:paraId="4E381923" w14:textId="77777777" w:rsidR="003B0710" w:rsidRPr="003B0710" w:rsidRDefault="003B0710" w:rsidP="003B0710">
            <w:pPr>
              <w:jc w:val="center"/>
              <w:rPr>
                <w:sz w:val="20"/>
                <w:szCs w:val="20"/>
              </w:rPr>
            </w:pPr>
            <w:r w:rsidRPr="003B0710">
              <w:rPr>
                <w:sz w:val="20"/>
                <w:szCs w:val="20"/>
              </w:rPr>
              <w:t>38)</w:t>
            </w:r>
          </w:p>
        </w:tc>
        <w:tc>
          <w:tcPr>
            <w:tcW w:w="3833" w:type="dxa"/>
          </w:tcPr>
          <w:p w14:paraId="59292875" w14:textId="77777777" w:rsidR="003B0710" w:rsidRPr="003B0710" w:rsidRDefault="003B0710" w:rsidP="003B0710">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0710">
              <w:rPr>
                <w:b/>
                <w:sz w:val="20"/>
                <w:szCs w:val="20"/>
              </w:rPr>
              <w:t>PARTO VAGINAL</w:t>
            </w:r>
          </w:p>
        </w:tc>
      </w:tr>
      <w:tr w:rsidR="003B0710" w:rsidRPr="003B0710" w14:paraId="024D6C8A" w14:textId="77777777" w:rsidTr="00E53CBC">
        <w:trPr>
          <w:trHeight w:val="959"/>
          <w:jc w:val="center"/>
        </w:trPr>
        <w:tc>
          <w:tcPr>
            <w:cnfStyle w:val="001000000000" w:firstRow="0" w:lastRow="0" w:firstColumn="1" w:lastColumn="0" w:oddVBand="0" w:evenVBand="0" w:oddHBand="0" w:evenHBand="0" w:firstRowFirstColumn="0" w:firstRowLastColumn="0" w:lastRowFirstColumn="0" w:lastRowLastColumn="0"/>
            <w:tcW w:w="6232" w:type="dxa"/>
          </w:tcPr>
          <w:p w14:paraId="360906CD" w14:textId="77777777" w:rsidR="003B0710" w:rsidRPr="003B0710" w:rsidRDefault="003B0710" w:rsidP="003B0710">
            <w:pPr>
              <w:ind w:left="15" w:right="39"/>
              <w:rPr>
                <w:sz w:val="20"/>
                <w:szCs w:val="20"/>
              </w:rPr>
            </w:pPr>
            <w:r w:rsidRPr="003B0710">
              <w:rPr>
                <w:sz w:val="20"/>
                <w:szCs w:val="20"/>
              </w:rPr>
              <w:t>CV plasmática materna desconocida (NI) o &gt; 1000* cgml (8-11)</w:t>
            </w:r>
          </w:p>
        </w:tc>
        <w:tc>
          <w:tcPr>
            <w:tcW w:w="3833" w:type="dxa"/>
          </w:tcPr>
          <w:p w14:paraId="1356C197" w14:textId="77777777" w:rsidR="003B0710" w:rsidRPr="003B0710" w:rsidRDefault="003B0710" w:rsidP="003B0710">
            <w:pPr>
              <w:ind w:left="62"/>
              <w:cnfStyle w:val="000000000000" w:firstRow="0" w:lastRow="0" w:firstColumn="0" w:lastColumn="0" w:oddVBand="0" w:evenVBand="0" w:oddHBand="0" w:evenHBand="0" w:firstRowFirstColumn="0" w:firstRowLastColumn="0" w:lastRowFirstColumn="0" w:lastRowLastColumn="0"/>
              <w:rPr>
                <w:sz w:val="20"/>
                <w:szCs w:val="20"/>
              </w:rPr>
            </w:pPr>
            <w:r w:rsidRPr="003B0710">
              <w:rPr>
                <w:sz w:val="20"/>
                <w:szCs w:val="20"/>
              </w:rPr>
              <w:t>CV materna indetectable (B-II)</w:t>
            </w:r>
          </w:p>
        </w:tc>
      </w:tr>
      <w:tr w:rsidR="003B0710" w:rsidRPr="003B0710" w14:paraId="7435E449" w14:textId="77777777" w:rsidTr="00E53CBC">
        <w:trPr>
          <w:cnfStyle w:val="000000100000" w:firstRow="0" w:lastRow="0" w:firstColumn="0" w:lastColumn="0" w:oddVBand="0" w:evenVBand="0" w:oddHBand="1" w:evenHBand="0" w:firstRowFirstColumn="0" w:firstRowLastColumn="0" w:lastRowFirstColumn="0" w:lastRowLastColumn="0"/>
          <w:trHeight w:val="1218"/>
          <w:jc w:val="center"/>
        </w:trPr>
        <w:tc>
          <w:tcPr>
            <w:cnfStyle w:val="001000000000" w:firstRow="0" w:lastRow="0" w:firstColumn="1" w:lastColumn="0" w:oddVBand="0" w:evenVBand="0" w:oddHBand="0" w:evenHBand="0" w:firstRowFirstColumn="0" w:firstRowLastColumn="0" w:lastRowFirstColumn="0" w:lastRowLastColumn="0"/>
            <w:tcW w:w="6232" w:type="dxa"/>
          </w:tcPr>
          <w:p w14:paraId="6F49A3D3" w14:textId="77777777" w:rsidR="003B0710" w:rsidRPr="003B0710" w:rsidRDefault="003B0710" w:rsidP="003B0710">
            <w:pPr>
              <w:ind w:right="159" w:firstLine="15"/>
              <w:rPr>
                <w:sz w:val="20"/>
                <w:szCs w:val="20"/>
              </w:rPr>
            </w:pPr>
            <w:r w:rsidRPr="003B0710">
              <w:rPr>
                <w:sz w:val="20"/>
                <w:szCs w:val="20"/>
              </w:rPr>
              <w:t>No TAR 0 monoterapia con AZT durante el embarazo o pautas antirretroviral distinta a la triple terapia (A-ll)</w:t>
            </w:r>
          </w:p>
        </w:tc>
        <w:tc>
          <w:tcPr>
            <w:tcW w:w="3833" w:type="dxa"/>
          </w:tcPr>
          <w:p w14:paraId="771ED09C" w14:textId="77777777" w:rsidR="003B0710" w:rsidRPr="003B0710" w:rsidRDefault="003B0710" w:rsidP="003B0710">
            <w:pPr>
              <w:ind w:left="47" w:right="-8"/>
              <w:cnfStyle w:val="000000100000" w:firstRow="0" w:lastRow="0" w:firstColumn="0" w:lastColumn="0" w:oddVBand="0" w:evenVBand="0" w:oddHBand="1" w:evenHBand="0" w:firstRowFirstColumn="0" w:firstRowLastColumn="0" w:lastRowFirstColumn="0" w:lastRowLastColumn="0"/>
              <w:rPr>
                <w:sz w:val="20"/>
                <w:szCs w:val="20"/>
              </w:rPr>
            </w:pPr>
            <w:r w:rsidRPr="003B0710">
              <w:rPr>
                <w:sz w:val="20"/>
                <w:szCs w:val="20"/>
              </w:rPr>
              <w:t>TAR (triple terapia) durante el embarazo (B-II)</w:t>
            </w:r>
          </w:p>
        </w:tc>
      </w:tr>
      <w:tr w:rsidR="003B0710" w:rsidRPr="003B0710" w14:paraId="0C3E97AD" w14:textId="77777777" w:rsidTr="00E53CBC">
        <w:trPr>
          <w:trHeight w:val="854"/>
          <w:jc w:val="center"/>
        </w:trPr>
        <w:tc>
          <w:tcPr>
            <w:cnfStyle w:val="001000000000" w:firstRow="0" w:lastRow="0" w:firstColumn="1" w:lastColumn="0" w:oddVBand="0" w:evenVBand="0" w:oddHBand="0" w:evenHBand="0" w:firstRowFirstColumn="0" w:firstRowLastColumn="0" w:lastRowFirstColumn="0" w:lastRowLastColumn="0"/>
            <w:tcW w:w="6232" w:type="dxa"/>
          </w:tcPr>
          <w:p w14:paraId="5283A8D9" w14:textId="77777777" w:rsidR="003B0710" w:rsidRPr="003B0710" w:rsidRDefault="003B0710" w:rsidP="003B0710">
            <w:pPr>
              <w:ind w:firstLine="15"/>
              <w:rPr>
                <w:sz w:val="20"/>
                <w:szCs w:val="20"/>
              </w:rPr>
            </w:pPr>
            <w:r w:rsidRPr="003B0710">
              <w:rPr>
                <w:sz w:val="20"/>
                <w:szCs w:val="20"/>
              </w:rPr>
              <w:t>Deseo de la paciente, no acepta parto vaginal (C-lll)</w:t>
            </w:r>
          </w:p>
        </w:tc>
        <w:tc>
          <w:tcPr>
            <w:tcW w:w="3833" w:type="dxa"/>
          </w:tcPr>
          <w:p w14:paraId="1FF16F11" w14:textId="77777777" w:rsidR="003B0710" w:rsidRPr="003B0710" w:rsidRDefault="003B0710" w:rsidP="003B0710">
            <w:pPr>
              <w:ind w:left="62"/>
              <w:cnfStyle w:val="000000000000" w:firstRow="0" w:lastRow="0" w:firstColumn="0" w:lastColumn="0" w:oddVBand="0" w:evenVBand="0" w:oddHBand="0" w:evenHBand="0" w:firstRowFirstColumn="0" w:firstRowLastColumn="0" w:lastRowFirstColumn="0" w:lastRowLastColumn="0"/>
              <w:rPr>
                <w:sz w:val="20"/>
                <w:szCs w:val="20"/>
              </w:rPr>
            </w:pPr>
            <w:r w:rsidRPr="003B0710">
              <w:rPr>
                <w:sz w:val="20"/>
                <w:szCs w:val="20"/>
              </w:rPr>
              <w:t>Buen control gestacional</w:t>
            </w:r>
          </w:p>
        </w:tc>
      </w:tr>
      <w:tr w:rsidR="003B0710" w:rsidRPr="003B0710" w14:paraId="58E397C2" w14:textId="77777777" w:rsidTr="00E53CBC">
        <w:trPr>
          <w:cnfStyle w:val="000000100000" w:firstRow="0" w:lastRow="0" w:firstColumn="0" w:lastColumn="0" w:oddVBand="0" w:evenVBand="0" w:oddHBand="1" w:evenHBand="0" w:firstRowFirstColumn="0" w:firstRowLastColumn="0" w:lastRowFirstColumn="0" w:lastRowLastColumn="0"/>
          <w:trHeight w:val="4150"/>
          <w:jc w:val="center"/>
        </w:trPr>
        <w:tc>
          <w:tcPr>
            <w:cnfStyle w:val="001000000000" w:firstRow="0" w:lastRow="0" w:firstColumn="1" w:lastColumn="0" w:oddVBand="0" w:evenVBand="0" w:oddHBand="0" w:evenHBand="0" w:firstRowFirstColumn="0" w:firstRowLastColumn="0" w:lastRowFirstColumn="0" w:lastRowLastColumn="0"/>
            <w:tcW w:w="6232" w:type="dxa"/>
          </w:tcPr>
          <w:p w14:paraId="584D79AC" w14:textId="77777777" w:rsidR="003B0710" w:rsidRPr="003B0710" w:rsidRDefault="003B0710" w:rsidP="003B0710">
            <w:pPr>
              <w:spacing w:after="20" w:line="263" w:lineRule="auto"/>
              <w:ind w:right="144" w:firstLine="15"/>
              <w:rPr>
                <w:sz w:val="20"/>
                <w:szCs w:val="20"/>
              </w:rPr>
            </w:pPr>
            <w:r w:rsidRPr="003B0710">
              <w:rPr>
                <w:sz w:val="20"/>
                <w:szCs w:val="20"/>
              </w:rPr>
              <w:t>Se valorará realizar cesárea si ante necesidad de inducir el parto con prontitud (por RPM o sospecha de sufrimiento fetal. por ejemplo) las circunstancias son desfavorables para un parto vaginal (p.e índice de Bishop S 4. macrosomía fetal. etc.), Si son otras las indicaciones de la inducción (por ejemplo, ante gestaciones cronológicamente prolongadas), se puede proceder de la forma habitual (maduración cervical previa con prostaglandinas, administración de oxitócicos con bolsa</w:t>
            </w:r>
          </w:p>
          <w:p w14:paraId="2F41B3AC" w14:textId="77777777" w:rsidR="003B0710" w:rsidRPr="003B0710" w:rsidRDefault="003B0710" w:rsidP="003B0710">
            <w:pPr>
              <w:ind w:left="15"/>
              <w:rPr>
                <w:sz w:val="20"/>
                <w:szCs w:val="20"/>
              </w:rPr>
            </w:pPr>
            <w:r w:rsidRPr="003B0710">
              <w:rPr>
                <w:sz w:val="20"/>
                <w:szCs w:val="20"/>
              </w:rPr>
              <w:t>integra, etc.) (C-III)</w:t>
            </w:r>
          </w:p>
        </w:tc>
        <w:tc>
          <w:tcPr>
            <w:tcW w:w="3833" w:type="dxa"/>
          </w:tcPr>
          <w:p w14:paraId="06968E73" w14:textId="77777777" w:rsidR="003B0710" w:rsidRPr="003B0710" w:rsidRDefault="003B0710" w:rsidP="003B0710">
            <w:pPr>
              <w:ind w:left="62"/>
              <w:cnfStyle w:val="000000100000" w:firstRow="0" w:lastRow="0" w:firstColumn="0" w:lastColumn="0" w:oddVBand="0" w:evenVBand="0" w:oddHBand="1" w:evenHBand="0" w:firstRowFirstColumn="0" w:firstRowLastColumn="0" w:lastRowFirstColumn="0" w:lastRowLastColumn="0"/>
              <w:rPr>
                <w:sz w:val="20"/>
                <w:szCs w:val="20"/>
              </w:rPr>
            </w:pPr>
            <w:r w:rsidRPr="003B0710">
              <w:rPr>
                <w:sz w:val="20"/>
                <w:szCs w:val="20"/>
              </w:rPr>
              <w:t>Inducción si Bishop favorable (B-lll)</w:t>
            </w:r>
          </w:p>
        </w:tc>
      </w:tr>
      <w:tr w:rsidR="003B0710" w:rsidRPr="003B0710" w14:paraId="304854E7" w14:textId="77777777" w:rsidTr="00E53CBC">
        <w:trPr>
          <w:trHeight w:val="1086"/>
          <w:jc w:val="center"/>
        </w:trPr>
        <w:tc>
          <w:tcPr>
            <w:cnfStyle w:val="001000000000" w:firstRow="0" w:lastRow="0" w:firstColumn="1" w:lastColumn="0" w:oddVBand="0" w:evenVBand="0" w:oddHBand="0" w:evenHBand="0" w:firstRowFirstColumn="0" w:firstRowLastColumn="0" w:lastRowFirstColumn="0" w:lastRowLastColumn="0"/>
            <w:tcW w:w="10065" w:type="dxa"/>
            <w:gridSpan w:val="2"/>
          </w:tcPr>
          <w:p w14:paraId="2E41E058" w14:textId="77777777" w:rsidR="003B0710" w:rsidRPr="00E53CBC" w:rsidRDefault="003B0710" w:rsidP="003B0710">
            <w:pPr>
              <w:spacing w:line="216" w:lineRule="auto"/>
              <w:ind w:right="-8"/>
              <w:rPr>
                <w:b w:val="0"/>
                <w:sz w:val="20"/>
                <w:szCs w:val="20"/>
              </w:rPr>
            </w:pPr>
            <w:r w:rsidRPr="00E53CBC">
              <w:rPr>
                <w:b w:val="0"/>
                <w:sz w:val="20"/>
                <w:szCs w:val="20"/>
              </w:rPr>
              <w:t>En el grupo de pacientes que habiendo recibido TAR durante el embarazo la carga viral permanece en valores detectables (entre 50 y 1.000 copias cerca del momento del parto) aunque inferior a 1.000 c/ml. no está claro el beneficio de la cesárea electiva respecto a la transmisión del virus, por tanto, es necesario individualizar los Casos explicando los riesgos asociados a la cirugía frente a los potenciales beneficios, llegando a una decisión consensuada entre obstetra y madre (B-lll).</w:t>
            </w:r>
          </w:p>
        </w:tc>
      </w:tr>
      <w:tr w:rsidR="003B0710" w:rsidRPr="00E80ED7" w14:paraId="7CEA8980" w14:textId="77777777" w:rsidTr="00E53CBC">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10065" w:type="dxa"/>
            <w:gridSpan w:val="2"/>
          </w:tcPr>
          <w:p w14:paraId="286D1C7C" w14:textId="77777777" w:rsidR="003B0710" w:rsidRPr="00E80ED7" w:rsidRDefault="003B0710" w:rsidP="00E53CBC">
            <w:pPr>
              <w:jc w:val="center"/>
              <w:rPr>
                <w:sz w:val="20"/>
                <w:szCs w:val="20"/>
              </w:rPr>
            </w:pPr>
            <w:r w:rsidRPr="00E80ED7">
              <w:rPr>
                <w:color w:val="000000"/>
                <w:sz w:val="20"/>
                <w:szCs w:val="20"/>
              </w:rPr>
              <w:t>Recomendaciones respecto a la cesárea electiva</w:t>
            </w:r>
          </w:p>
        </w:tc>
      </w:tr>
      <w:tr w:rsidR="003B0710" w:rsidRPr="00E80ED7" w14:paraId="70D7BD32" w14:textId="77777777" w:rsidTr="00E53CBC">
        <w:trPr>
          <w:trHeight w:val="1952"/>
          <w:jc w:val="center"/>
        </w:trPr>
        <w:tc>
          <w:tcPr>
            <w:cnfStyle w:val="001000000000" w:firstRow="0" w:lastRow="0" w:firstColumn="1" w:lastColumn="0" w:oddVBand="0" w:evenVBand="0" w:oddHBand="0" w:evenHBand="0" w:firstRowFirstColumn="0" w:firstRowLastColumn="0" w:lastRowFirstColumn="0" w:lastRowLastColumn="0"/>
            <w:tcW w:w="10065" w:type="dxa"/>
            <w:gridSpan w:val="2"/>
          </w:tcPr>
          <w:p w14:paraId="4CA9E624" w14:textId="77777777" w:rsidR="003B0710" w:rsidRPr="00E53CBC" w:rsidRDefault="003B0710" w:rsidP="00F655B9">
            <w:pPr>
              <w:numPr>
                <w:ilvl w:val="0"/>
                <w:numId w:val="13"/>
              </w:numPr>
              <w:spacing w:after="172"/>
              <w:ind w:right="900"/>
              <w:contextualSpacing/>
              <w:rPr>
                <w:b w:val="0"/>
                <w:sz w:val="20"/>
                <w:szCs w:val="20"/>
              </w:rPr>
            </w:pPr>
            <w:r w:rsidRPr="00E53CBC">
              <w:rPr>
                <w:b w:val="0"/>
                <w:sz w:val="20"/>
                <w:szCs w:val="20"/>
              </w:rPr>
              <w:t>Cuando la Indicación de la cesárea electiva es la infección por el VIH se debe programar en la semana 38, para evitar el distress respiratorio neonatal (SDR) (8) y que la paciente inicie el tratamiento espontáneo- (B-11). Si la cesárea electiva es por indicación obstétrica, exclusivamente (por ejemplo, presentación podálica) se puede programar en la semana 39.</w:t>
            </w:r>
          </w:p>
          <w:p w14:paraId="2CEEC99F" w14:textId="77777777" w:rsidR="003B0710" w:rsidRPr="00E53CBC" w:rsidRDefault="003B0710" w:rsidP="00F655B9">
            <w:pPr>
              <w:numPr>
                <w:ilvl w:val="0"/>
                <w:numId w:val="13"/>
              </w:numPr>
              <w:spacing w:after="172"/>
              <w:ind w:right="900"/>
              <w:contextualSpacing/>
              <w:rPr>
                <w:b w:val="0"/>
                <w:sz w:val="20"/>
                <w:szCs w:val="20"/>
              </w:rPr>
            </w:pPr>
            <w:r w:rsidRPr="00E53CBC">
              <w:rPr>
                <w:b w:val="0"/>
                <w:sz w:val="20"/>
                <w:szCs w:val="20"/>
              </w:rPr>
              <w:t>En caso de iniciar trabajo de parto 0 RPM antes de la fecha en que estaba prevista la cesárea. Se debe permitir un parto vaginal si la progresión del parto es rápida o realizar una cesárea urgente cuando se prevé un trabajo de parto largo (C-lll).</w:t>
            </w:r>
          </w:p>
          <w:p w14:paraId="5FB9AABB" w14:textId="77777777" w:rsidR="003B0710" w:rsidRPr="00E80ED7" w:rsidRDefault="003B0710" w:rsidP="00F655B9">
            <w:pPr>
              <w:numPr>
                <w:ilvl w:val="0"/>
                <w:numId w:val="13"/>
              </w:numPr>
              <w:spacing w:after="172"/>
              <w:ind w:right="900"/>
              <w:contextualSpacing/>
              <w:rPr>
                <w:sz w:val="20"/>
                <w:szCs w:val="20"/>
              </w:rPr>
            </w:pPr>
            <w:r w:rsidRPr="00E53CBC">
              <w:rPr>
                <w:b w:val="0"/>
                <w:sz w:val="20"/>
                <w:szCs w:val="20"/>
              </w:rPr>
              <w:t>Administrar antibiótico iv profiláctico durante la cesárea (A-ll).</w:t>
            </w:r>
          </w:p>
        </w:tc>
      </w:tr>
      <w:tr w:rsidR="003B0710" w:rsidRPr="00E80ED7" w14:paraId="5AF72351" w14:textId="77777777" w:rsidTr="00E53CB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0065" w:type="dxa"/>
            <w:gridSpan w:val="2"/>
          </w:tcPr>
          <w:p w14:paraId="1F820B45" w14:textId="77777777" w:rsidR="003B0710" w:rsidRPr="00E80ED7" w:rsidRDefault="003B0710" w:rsidP="00E53CBC">
            <w:pPr>
              <w:jc w:val="center"/>
              <w:rPr>
                <w:sz w:val="20"/>
                <w:szCs w:val="20"/>
              </w:rPr>
            </w:pPr>
            <w:r w:rsidRPr="00E80ED7">
              <w:rPr>
                <w:sz w:val="20"/>
                <w:szCs w:val="20"/>
              </w:rPr>
              <w:t>Recomendaciones respecto al parto por vía vaginal</w:t>
            </w:r>
          </w:p>
        </w:tc>
      </w:tr>
      <w:tr w:rsidR="003B0710" w:rsidRPr="00E80ED7" w14:paraId="62CFFBD2" w14:textId="77777777" w:rsidTr="00E53CBC">
        <w:trPr>
          <w:trHeight w:val="2616"/>
          <w:jc w:val="center"/>
        </w:trPr>
        <w:tc>
          <w:tcPr>
            <w:cnfStyle w:val="001000000000" w:firstRow="0" w:lastRow="0" w:firstColumn="1" w:lastColumn="0" w:oddVBand="0" w:evenVBand="0" w:oddHBand="0" w:evenHBand="0" w:firstRowFirstColumn="0" w:firstRowLastColumn="0" w:lastRowFirstColumn="0" w:lastRowLastColumn="0"/>
            <w:tcW w:w="10065" w:type="dxa"/>
            <w:gridSpan w:val="2"/>
          </w:tcPr>
          <w:p w14:paraId="5612BEAE" w14:textId="77777777" w:rsidR="003B0710" w:rsidRPr="00E53CBC" w:rsidRDefault="003B0710" w:rsidP="00F655B9">
            <w:pPr>
              <w:numPr>
                <w:ilvl w:val="0"/>
                <w:numId w:val="14"/>
              </w:numPr>
              <w:spacing w:after="111" w:line="276" w:lineRule="auto"/>
              <w:ind w:right="30"/>
              <w:contextualSpacing/>
              <w:rPr>
                <w:b w:val="0"/>
                <w:sz w:val="20"/>
                <w:szCs w:val="20"/>
              </w:rPr>
            </w:pPr>
            <w:r w:rsidRPr="00E53CBC">
              <w:rPr>
                <w:b w:val="0"/>
                <w:sz w:val="20"/>
                <w:szCs w:val="20"/>
              </w:rPr>
              <w:t>En aquellas pacientes infectadas por el VIH en las que se decida permitir un parto por vía vaginal debemos Ser cuidadosos en el manejo, para no incrementar el riesgo de transmisión del virus (9) CB-III)</w:t>
            </w:r>
          </w:p>
          <w:p w14:paraId="2829F467" w14:textId="77777777" w:rsidR="003B0710" w:rsidRPr="00E53CBC" w:rsidRDefault="003B0710" w:rsidP="00F655B9">
            <w:pPr>
              <w:numPr>
                <w:ilvl w:val="0"/>
                <w:numId w:val="14"/>
              </w:numPr>
              <w:spacing w:after="111" w:line="276" w:lineRule="auto"/>
              <w:ind w:right="30"/>
              <w:contextualSpacing/>
              <w:rPr>
                <w:b w:val="0"/>
                <w:sz w:val="20"/>
                <w:szCs w:val="20"/>
              </w:rPr>
            </w:pPr>
            <w:r w:rsidRPr="00E53CBC">
              <w:rPr>
                <w:b w:val="0"/>
                <w:sz w:val="20"/>
                <w:szCs w:val="20"/>
              </w:rPr>
              <w:t>Se permite el uso de Oxitocina para acelerar el trabajo de parto (8-111)</w:t>
            </w:r>
          </w:p>
          <w:p w14:paraId="6C91C910" w14:textId="77777777" w:rsidR="003B0710" w:rsidRPr="00E53CBC" w:rsidRDefault="003B0710" w:rsidP="00F655B9">
            <w:pPr>
              <w:numPr>
                <w:ilvl w:val="0"/>
                <w:numId w:val="14"/>
              </w:numPr>
              <w:spacing w:after="111" w:line="276" w:lineRule="auto"/>
              <w:ind w:right="30"/>
              <w:contextualSpacing/>
              <w:rPr>
                <w:b w:val="0"/>
                <w:sz w:val="20"/>
                <w:szCs w:val="20"/>
              </w:rPr>
            </w:pPr>
            <w:r w:rsidRPr="00E53CBC">
              <w:rPr>
                <w:b w:val="0"/>
                <w:sz w:val="20"/>
                <w:szCs w:val="20"/>
              </w:rPr>
              <w:t>Se debe evitar la ruptura artificial de las membranas (B-ll).</w:t>
            </w:r>
          </w:p>
          <w:p w14:paraId="2FDB6D1D" w14:textId="77777777" w:rsidR="003B0710" w:rsidRPr="00E53CBC" w:rsidRDefault="003B0710" w:rsidP="00F655B9">
            <w:pPr>
              <w:numPr>
                <w:ilvl w:val="0"/>
                <w:numId w:val="14"/>
              </w:numPr>
              <w:spacing w:after="111" w:line="276" w:lineRule="auto"/>
              <w:ind w:right="30"/>
              <w:contextualSpacing/>
              <w:rPr>
                <w:b w:val="0"/>
                <w:sz w:val="20"/>
                <w:szCs w:val="20"/>
              </w:rPr>
            </w:pPr>
            <w:r w:rsidRPr="00E53CBC">
              <w:rPr>
                <w:b w:val="0"/>
                <w:sz w:val="20"/>
                <w:szCs w:val="20"/>
              </w:rPr>
              <w:t>Se deben evitar procedimientos invasivos para monitorizar el bienestar fetal como el electrodo interno o la determinación de pH de calota fetal (B411).</w:t>
            </w:r>
          </w:p>
          <w:p w14:paraId="0FF5C695" w14:textId="421A4EED" w:rsidR="00E53CBC" w:rsidRPr="00E53CBC" w:rsidRDefault="003B0710" w:rsidP="00E53CBC">
            <w:pPr>
              <w:numPr>
                <w:ilvl w:val="0"/>
                <w:numId w:val="14"/>
              </w:numPr>
              <w:spacing w:after="111" w:line="276" w:lineRule="auto"/>
              <w:ind w:right="30"/>
              <w:contextualSpacing/>
              <w:rPr>
                <w:b w:val="0"/>
                <w:sz w:val="20"/>
                <w:szCs w:val="20"/>
              </w:rPr>
            </w:pPr>
            <w:r w:rsidRPr="00E53CBC">
              <w:rPr>
                <w:b w:val="0"/>
                <w:sz w:val="20"/>
                <w:szCs w:val="20"/>
              </w:rPr>
              <w:t>La instrumentación del parto (fórceps 0 ventosa) y la episiotomía se deben realizar circunstancias muy seleccionadas</w:t>
            </w:r>
          </w:p>
        </w:tc>
      </w:tr>
      <w:tr w:rsidR="003B0710" w:rsidRPr="00E80ED7" w14:paraId="79E9277F" w14:textId="77777777" w:rsidTr="00E53CBC">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0065" w:type="dxa"/>
            <w:gridSpan w:val="2"/>
          </w:tcPr>
          <w:p w14:paraId="5FFCA23F" w14:textId="77777777" w:rsidR="003B0710" w:rsidRPr="00E80ED7" w:rsidRDefault="003B0710" w:rsidP="00E53CBC">
            <w:pPr>
              <w:ind w:left="15"/>
              <w:jc w:val="center"/>
              <w:rPr>
                <w:sz w:val="20"/>
                <w:szCs w:val="20"/>
              </w:rPr>
            </w:pPr>
            <w:r w:rsidRPr="00E80ED7">
              <w:rPr>
                <w:sz w:val="20"/>
                <w:szCs w:val="20"/>
              </w:rPr>
              <w:t>Recomendaciones de TAR intraparto</w:t>
            </w:r>
          </w:p>
        </w:tc>
      </w:tr>
      <w:tr w:rsidR="003B0710" w:rsidRPr="00E80ED7" w14:paraId="56EB0F51" w14:textId="77777777" w:rsidTr="00E53CBC">
        <w:trPr>
          <w:trHeight w:val="2094"/>
          <w:jc w:val="center"/>
        </w:trPr>
        <w:tc>
          <w:tcPr>
            <w:cnfStyle w:val="001000000000" w:firstRow="0" w:lastRow="0" w:firstColumn="1" w:lastColumn="0" w:oddVBand="0" w:evenVBand="0" w:oddHBand="0" w:evenHBand="0" w:firstRowFirstColumn="0" w:firstRowLastColumn="0" w:lastRowFirstColumn="0" w:lastRowLastColumn="0"/>
            <w:tcW w:w="10065" w:type="dxa"/>
            <w:gridSpan w:val="2"/>
          </w:tcPr>
          <w:p w14:paraId="009D2076" w14:textId="77777777" w:rsidR="003B0710" w:rsidRPr="00E53CBC" w:rsidRDefault="003B0710" w:rsidP="00F655B9">
            <w:pPr>
              <w:numPr>
                <w:ilvl w:val="0"/>
                <w:numId w:val="15"/>
              </w:numPr>
              <w:spacing w:after="84" w:line="257" w:lineRule="auto"/>
              <w:contextualSpacing/>
              <w:rPr>
                <w:b w:val="0"/>
                <w:sz w:val="20"/>
                <w:szCs w:val="20"/>
              </w:rPr>
            </w:pPr>
            <w:r w:rsidRPr="00E53CBC">
              <w:rPr>
                <w:b w:val="0"/>
                <w:sz w:val="20"/>
                <w:szCs w:val="20"/>
              </w:rPr>
              <w:t>El tratamiento intraparto recomendado por haber demostrado mayor eficacia en la reducción de la tasa de transmisión vertical -del virus es la ZDV IV independientemente del tratamiento que llevara previamente la paciente (A-J)</w:t>
            </w:r>
          </w:p>
          <w:p w14:paraId="26F302F2" w14:textId="77777777" w:rsidR="003B0710" w:rsidRPr="00E53CBC" w:rsidRDefault="003B0710" w:rsidP="00E929DD">
            <w:pPr>
              <w:spacing w:after="84" w:line="257" w:lineRule="auto"/>
              <w:ind w:left="735"/>
              <w:contextualSpacing/>
              <w:rPr>
                <w:b w:val="0"/>
                <w:sz w:val="20"/>
                <w:szCs w:val="20"/>
              </w:rPr>
            </w:pPr>
            <w:r w:rsidRPr="00E53CBC">
              <w:rPr>
                <w:b w:val="0"/>
                <w:sz w:val="20"/>
                <w:szCs w:val="20"/>
              </w:rPr>
              <w:t>Dosis: 2 mg/kg de peso durante 1 h Seguido de ZDV a dosis de 1 mgikg de peso/hora hasta finalizar el parto (en caso de cesárea se debe iniciar, idealmente, entre 2 y 3 h antes).</w:t>
            </w:r>
          </w:p>
          <w:p w14:paraId="53C4BA9B" w14:textId="77777777" w:rsidR="003B0710" w:rsidRPr="00E53CBC" w:rsidRDefault="003B0710" w:rsidP="00F655B9">
            <w:pPr>
              <w:numPr>
                <w:ilvl w:val="0"/>
                <w:numId w:val="15"/>
              </w:numPr>
              <w:contextualSpacing/>
              <w:rPr>
                <w:b w:val="0"/>
                <w:sz w:val="20"/>
                <w:szCs w:val="20"/>
              </w:rPr>
            </w:pPr>
            <w:r w:rsidRPr="00E53CBC">
              <w:rPr>
                <w:b w:val="0"/>
                <w:sz w:val="20"/>
                <w:szCs w:val="20"/>
              </w:rPr>
              <w:t>NO se debe suspender el TAR Oral durante el parto (B•lll), excepto en las pacientes tratadas con estavudina durante el embarazo, que deben interrumpirla durante el tratamiento con ZDV (A-I).</w:t>
            </w:r>
          </w:p>
          <w:p w14:paraId="3D37B698" w14:textId="77777777" w:rsidR="003B0710" w:rsidRPr="00E53CBC" w:rsidRDefault="003B0710" w:rsidP="00F655B9">
            <w:pPr>
              <w:numPr>
                <w:ilvl w:val="0"/>
                <w:numId w:val="15"/>
              </w:numPr>
              <w:contextualSpacing/>
              <w:rPr>
                <w:b w:val="0"/>
                <w:sz w:val="20"/>
                <w:szCs w:val="20"/>
              </w:rPr>
            </w:pPr>
            <w:r w:rsidRPr="00E53CBC">
              <w:rPr>
                <w:b w:val="0"/>
                <w:sz w:val="20"/>
                <w:szCs w:val="20"/>
              </w:rPr>
              <w:t>En algunos casos de pacientes que no han recibido tratamiento  antirretroviral durante el embarazo, o que habiendo recibido  durante poco tiempo, presentan cargas virales muy elevadas cerca del parto, se puede asociar  nevirapina (NVP)oral al menos 2 horas  antes del parto , a la ZDV  IV ,especialmente cuando  la vía de parto sea vaginal (C-II).En este contexto se puede valorar también la adición de raltegravir ,dado su rápido paso placentari006F,a dosis de  600 mg/12 horas ,aunque la experiencia con este fármaco es  escasa (C-III).</w:t>
            </w:r>
          </w:p>
          <w:p w14:paraId="1D64C521" w14:textId="77777777" w:rsidR="003B0710" w:rsidRPr="00E53CBC" w:rsidRDefault="003B0710" w:rsidP="00F655B9">
            <w:pPr>
              <w:numPr>
                <w:ilvl w:val="0"/>
                <w:numId w:val="15"/>
              </w:numPr>
              <w:contextualSpacing/>
              <w:rPr>
                <w:b w:val="0"/>
                <w:sz w:val="20"/>
                <w:szCs w:val="20"/>
              </w:rPr>
            </w:pPr>
            <w:r w:rsidRPr="00E53CBC">
              <w:rPr>
                <w:b w:val="0"/>
                <w:sz w:val="20"/>
                <w:szCs w:val="20"/>
              </w:rPr>
              <w:t>Este tratamiento no se recomienda en pacientes que, si han recibido antirretrovirales durante el embarazo, aunque permanezca con carga viral &gt;1000 c/ml(A-II).</w:t>
            </w:r>
          </w:p>
          <w:p w14:paraId="3DEB49A5" w14:textId="77777777" w:rsidR="003B0710" w:rsidRPr="00E53CBC" w:rsidRDefault="003B0710" w:rsidP="00F655B9">
            <w:pPr>
              <w:numPr>
                <w:ilvl w:val="0"/>
                <w:numId w:val="15"/>
              </w:numPr>
              <w:contextualSpacing/>
              <w:rPr>
                <w:b w:val="0"/>
                <w:sz w:val="20"/>
                <w:szCs w:val="20"/>
              </w:rPr>
            </w:pPr>
            <w:r w:rsidRPr="00E53CBC">
              <w:rPr>
                <w:b w:val="0"/>
                <w:sz w:val="20"/>
                <w:szCs w:val="20"/>
              </w:rPr>
              <w:t>En caso de administrar NVP intraparto, el tratamiento post parto materno debe incluir ZDV/lamivudina 7 días para prevenir la aparición de resistencias a NVP (A-II).</w:t>
            </w:r>
          </w:p>
          <w:p w14:paraId="067523CC" w14:textId="77777777" w:rsidR="003B0710" w:rsidRPr="00E80ED7" w:rsidRDefault="003B0710" w:rsidP="00F655B9">
            <w:pPr>
              <w:numPr>
                <w:ilvl w:val="0"/>
                <w:numId w:val="15"/>
              </w:numPr>
              <w:contextualSpacing/>
              <w:rPr>
                <w:sz w:val="20"/>
                <w:szCs w:val="20"/>
              </w:rPr>
            </w:pPr>
            <w:r w:rsidRPr="00E53CBC">
              <w:rPr>
                <w:b w:val="0"/>
                <w:sz w:val="20"/>
                <w:szCs w:val="20"/>
              </w:rPr>
              <w:t>En pacientes bajo tratamiento con inhibidores de la proteasa que presentan hemorragia post parto se debe tratar con prostaglandinas, oxitocina o misoprostol. debemos evitar el uso de ergoticos (por riesgo a excesiva respuesta vasoconstrictora) en caso necesario se usará la menor dosis y el menor tiempo posible (c-III).</w:t>
            </w:r>
          </w:p>
        </w:tc>
      </w:tr>
    </w:tbl>
    <w:p w14:paraId="262325C9" w14:textId="77777777" w:rsidR="003B0710" w:rsidRDefault="003B0710" w:rsidP="003B0710">
      <w:pPr>
        <w:spacing w:after="69" w:line="259" w:lineRule="auto"/>
        <w:ind w:left="10" w:right="180" w:hanging="10"/>
        <w:jc w:val="center"/>
        <w:rPr>
          <w:rFonts w:eastAsia="Century Gothic" w:cs="Century Gothic"/>
          <w:b/>
          <w:lang w:eastAsia="es-MX"/>
        </w:rPr>
      </w:pPr>
    </w:p>
    <w:p w14:paraId="1974DBBC" w14:textId="04459A4B" w:rsidR="003B0710" w:rsidRPr="00013ECE" w:rsidRDefault="003B0710" w:rsidP="00E53CBC">
      <w:pPr>
        <w:pStyle w:val="Prrafodelista"/>
        <w:numPr>
          <w:ilvl w:val="1"/>
          <w:numId w:val="24"/>
        </w:numPr>
        <w:spacing w:after="69" w:line="259" w:lineRule="auto"/>
        <w:ind w:right="180"/>
        <w:rPr>
          <w:rFonts w:eastAsia="Century Gothic" w:cs="Century Gothic"/>
          <w:lang w:eastAsia="es-MX"/>
        </w:rPr>
      </w:pPr>
      <w:r w:rsidRPr="00013ECE">
        <w:rPr>
          <w:rFonts w:eastAsia="Century Gothic" w:cs="Century Gothic"/>
          <w:b/>
          <w:lang w:eastAsia="es-MX"/>
        </w:rPr>
        <w:t>Recomendaciones en las distintas situaciones clínicas</w:t>
      </w:r>
      <w:r w:rsidRPr="00013ECE">
        <w:rPr>
          <w:rFonts w:eastAsia="Century Gothic" w:cs="Century Gothic"/>
          <w:lang w:eastAsia="es-MX"/>
        </w:rPr>
        <w:t>.</w:t>
      </w:r>
    </w:p>
    <w:p w14:paraId="331E68EE" w14:textId="77777777" w:rsidR="003B0710" w:rsidRPr="003B0710" w:rsidRDefault="003B0710" w:rsidP="003B0710">
      <w:pPr>
        <w:spacing w:line="276" w:lineRule="auto"/>
        <w:rPr>
          <w:rFonts w:eastAsia="Century Gothic" w:cs="Century Gothic"/>
          <w:lang w:eastAsia="es-MX"/>
        </w:rPr>
      </w:pPr>
      <w:r w:rsidRPr="003B0710">
        <w:rPr>
          <w:rFonts w:eastAsia="Century Gothic" w:cs="Century Gothic"/>
          <w:lang w:eastAsia="es-MX"/>
        </w:rPr>
        <w:t xml:space="preserve">Gestante en la que se desconoce serología de VIH y que se presenta con rotura de membranas o en trabajo de parto en la semana 36 o más </w:t>
      </w:r>
    </w:p>
    <w:p w14:paraId="30AC3DB1" w14:textId="77777777" w:rsidR="003B0710" w:rsidRPr="003B0710" w:rsidRDefault="003B0710" w:rsidP="00F655B9">
      <w:pPr>
        <w:numPr>
          <w:ilvl w:val="0"/>
          <w:numId w:val="16"/>
        </w:numPr>
        <w:spacing w:after="160" w:line="276" w:lineRule="auto"/>
        <w:jc w:val="left"/>
        <w:rPr>
          <w:rFonts w:eastAsia="Century Gothic" w:cs="Century Gothic"/>
          <w:lang w:eastAsia="es-MX"/>
        </w:rPr>
      </w:pPr>
      <w:r w:rsidRPr="003B0710">
        <w:rPr>
          <w:rFonts w:eastAsia="Century Gothic" w:cs="Century Gothic"/>
          <w:lang w:eastAsia="es-MX"/>
        </w:rPr>
        <w:t>Realización de test rápido de VIH.</w:t>
      </w:r>
    </w:p>
    <w:p w14:paraId="5AC770DD" w14:textId="77777777" w:rsidR="003B0710" w:rsidRPr="003B0710" w:rsidRDefault="003B0710" w:rsidP="00F655B9">
      <w:pPr>
        <w:numPr>
          <w:ilvl w:val="0"/>
          <w:numId w:val="16"/>
        </w:numPr>
        <w:spacing w:after="160" w:line="276" w:lineRule="auto"/>
        <w:jc w:val="left"/>
        <w:rPr>
          <w:rFonts w:eastAsia="Century Gothic" w:cs="Century Gothic"/>
          <w:lang w:eastAsia="es-MX"/>
        </w:rPr>
      </w:pPr>
      <w:r w:rsidRPr="003B0710">
        <w:rPr>
          <w:rFonts w:eastAsia="Century Gothic" w:cs="Century Gothic"/>
          <w:lang w:eastAsia="es-MX"/>
        </w:rPr>
        <w:t>Si es positivo. iniciar tratamiento IV con zidovudina, administrar una dosis única de NVP de 200 mg al menos 2 horas antes del parto y practicar cesárea.</w:t>
      </w:r>
      <w:r w:rsidRPr="003B0710">
        <w:rPr>
          <w:rFonts w:eastAsia="Century Gothic" w:cs="Century Gothic"/>
          <w:noProof/>
          <w:lang w:eastAsia="es-MX"/>
        </w:rPr>
        <w:drawing>
          <wp:inline distT="0" distB="0" distL="0" distR="0" wp14:anchorId="1157EF6C" wp14:editId="7588C571">
            <wp:extent cx="9525" cy="57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57150"/>
                    </a:xfrm>
                    <a:prstGeom prst="rect">
                      <a:avLst/>
                    </a:prstGeom>
                    <a:noFill/>
                    <a:ln>
                      <a:noFill/>
                    </a:ln>
                  </pic:spPr>
                </pic:pic>
              </a:graphicData>
            </a:graphic>
          </wp:inline>
        </w:drawing>
      </w:r>
    </w:p>
    <w:p w14:paraId="617CC990" w14:textId="3685914E" w:rsidR="003B0710" w:rsidRPr="003B0710" w:rsidRDefault="003B0710" w:rsidP="00F655B9">
      <w:pPr>
        <w:numPr>
          <w:ilvl w:val="0"/>
          <w:numId w:val="16"/>
        </w:numPr>
        <w:spacing w:after="160" w:line="276" w:lineRule="auto"/>
        <w:jc w:val="left"/>
        <w:rPr>
          <w:rFonts w:eastAsia="Century Gothic" w:cs="Century Gothic"/>
          <w:lang w:eastAsia="es-MX"/>
        </w:rPr>
      </w:pPr>
      <w:r w:rsidRPr="003B0710">
        <w:rPr>
          <w:rFonts w:eastAsia="Century Gothic" w:cs="Century Gothic"/>
          <w:lang w:eastAsia="es-MX"/>
        </w:rPr>
        <w:t>Confirmar la serología de VIH lo antes posible.</w:t>
      </w:r>
    </w:p>
    <w:p w14:paraId="0B4D879C" w14:textId="77777777" w:rsidR="003B0710" w:rsidRPr="003B0710" w:rsidRDefault="003B0710" w:rsidP="003B0710">
      <w:pPr>
        <w:spacing w:line="276" w:lineRule="auto"/>
        <w:rPr>
          <w:rFonts w:eastAsia="Century Gothic" w:cs="Century Gothic"/>
          <w:lang w:eastAsia="es-MX"/>
        </w:rPr>
      </w:pPr>
      <w:r w:rsidRPr="003B0710">
        <w:rPr>
          <w:rFonts w:eastAsia="Century Gothic" w:cs="Century Gothic"/>
          <w:lang w:eastAsia="es-MX"/>
        </w:rPr>
        <w:t>Gestante con infección por el VIH conocida, de 36 semanas o más, que no ha recibido tratamiento antirretroviral y en la que se desconoce su carga viral y recuento de linfocitos CD4</w:t>
      </w:r>
    </w:p>
    <w:p w14:paraId="38582D89" w14:textId="77777777" w:rsidR="003B0710" w:rsidRPr="003B0710" w:rsidRDefault="003B0710" w:rsidP="00F655B9">
      <w:pPr>
        <w:numPr>
          <w:ilvl w:val="0"/>
          <w:numId w:val="17"/>
        </w:numPr>
        <w:spacing w:after="160" w:line="276" w:lineRule="auto"/>
        <w:jc w:val="left"/>
        <w:rPr>
          <w:rFonts w:eastAsia="Century Gothic" w:cs="Century Gothic"/>
          <w:lang w:eastAsia="es-MX"/>
        </w:rPr>
      </w:pPr>
      <w:r w:rsidRPr="003B0710">
        <w:rPr>
          <w:rFonts w:eastAsia="Century Gothic" w:cs="Century Gothic"/>
          <w:lang w:eastAsia="es-MX"/>
        </w:rPr>
        <w:t xml:space="preserve">Se recomienda iniciar tratamiento antirretroviral al tiempo que se solicitan las </w:t>
      </w:r>
      <w:r w:rsidRPr="003B0710">
        <w:rPr>
          <w:rFonts w:eastAsia="Century Gothic" w:cs="Century Gothic"/>
          <w:noProof/>
          <w:lang w:eastAsia="es-MX"/>
        </w:rPr>
        <w:drawing>
          <wp:inline distT="0" distB="0" distL="0" distR="0" wp14:anchorId="1B0B7DA2" wp14:editId="22DF73D0">
            <wp:extent cx="9525" cy="95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B0710">
        <w:rPr>
          <w:rFonts w:eastAsia="Century Gothic" w:cs="Century Gothic"/>
          <w:lang w:eastAsia="es-MX"/>
        </w:rPr>
        <w:t>determinaciones de carga viral y CD4.</w:t>
      </w:r>
    </w:p>
    <w:p w14:paraId="29D7ADA6" w14:textId="77777777" w:rsidR="003B0710" w:rsidRPr="003B0710" w:rsidRDefault="003B0710" w:rsidP="00F655B9">
      <w:pPr>
        <w:numPr>
          <w:ilvl w:val="0"/>
          <w:numId w:val="17"/>
        </w:numPr>
        <w:spacing w:after="160" w:line="276" w:lineRule="auto"/>
        <w:jc w:val="left"/>
        <w:rPr>
          <w:rFonts w:eastAsia="Century Gothic" w:cs="Century Gothic"/>
          <w:lang w:eastAsia="es-MX"/>
        </w:rPr>
      </w:pPr>
      <w:r w:rsidRPr="003B0710">
        <w:rPr>
          <w:rFonts w:eastAsia="Century Gothic" w:cs="Century Gothic"/>
          <w:lang w:eastAsia="es-MX"/>
        </w:rPr>
        <w:t>Cesárea electiva en la Semana 38, bajo tratamiento IV Con zidovudina que Se debe iniciar entre 2 y 3 horas antes de la cirugía y hasta el corte del cordón umbilical. Valorar la adición de NVP si carga viral alta.</w:t>
      </w:r>
    </w:p>
    <w:p w14:paraId="522D7AB7" w14:textId="77777777" w:rsidR="003B0710" w:rsidRPr="003B0710" w:rsidRDefault="003B0710" w:rsidP="003B0710">
      <w:pPr>
        <w:spacing w:line="276" w:lineRule="auto"/>
        <w:rPr>
          <w:rFonts w:eastAsia="Century Gothic" w:cs="Century Gothic"/>
          <w:lang w:eastAsia="es-MX"/>
        </w:rPr>
      </w:pPr>
    </w:p>
    <w:p w14:paraId="35C9AE46" w14:textId="77777777" w:rsidR="003B0710" w:rsidRPr="003B0710" w:rsidRDefault="003B0710" w:rsidP="003B0710">
      <w:pPr>
        <w:spacing w:line="276" w:lineRule="auto"/>
        <w:rPr>
          <w:rFonts w:eastAsia="Century Gothic" w:cs="Century Gothic"/>
          <w:lang w:eastAsia="es-MX"/>
        </w:rPr>
      </w:pPr>
      <w:r w:rsidRPr="003B0710">
        <w:rPr>
          <w:rFonts w:eastAsia="Century Gothic" w:cs="Century Gothic"/>
          <w:lang w:eastAsia="es-MX"/>
        </w:rPr>
        <w:t>Gestante con infección por el VIH en TAR combinado, pero con carga viral igual o mayor a 1.000 copias, en la semana 36:</w:t>
      </w:r>
    </w:p>
    <w:p w14:paraId="152F8D92" w14:textId="77777777" w:rsidR="003B0710" w:rsidRPr="003B0710" w:rsidRDefault="003B0710" w:rsidP="003B0710">
      <w:pPr>
        <w:spacing w:line="276" w:lineRule="auto"/>
        <w:rPr>
          <w:rFonts w:eastAsia="Century Gothic" w:cs="Century Gothic"/>
          <w:lang w:eastAsia="es-MX"/>
        </w:rPr>
      </w:pPr>
    </w:p>
    <w:p w14:paraId="5C56E138" w14:textId="77777777" w:rsidR="003B0710" w:rsidRPr="003B0710" w:rsidRDefault="003B0710" w:rsidP="00F655B9">
      <w:pPr>
        <w:numPr>
          <w:ilvl w:val="0"/>
          <w:numId w:val="18"/>
        </w:numPr>
        <w:spacing w:after="160" w:line="276" w:lineRule="auto"/>
        <w:jc w:val="left"/>
        <w:rPr>
          <w:rFonts w:eastAsia="Century Gothic" w:cs="Century Gothic"/>
          <w:lang w:eastAsia="es-MX"/>
        </w:rPr>
      </w:pPr>
      <w:r w:rsidRPr="003B0710">
        <w:rPr>
          <w:rFonts w:eastAsia="Century Gothic" w:cs="Century Gothic"/>
          <w:lang w:eastAsia="es-MX"/>
        </w:rPr>
        <w:t>Continuar el tratamiento ya que está respondiendo con disminución de su CVP, pero dado que todavía no se han alcanzado niveles indetectables. se recorriendo cesárea electiva en la semana 38, bajo tratamiento IV con Zidovudina, como en el caso anterior.</w:t>
      </w:r>
    </w:p>
    <w:p w14:paraId="0C0B109E" w14:textId="77777777" w:rsidR="003B0710" w:rsidRPr="003B0710" w:rsidRDefault="003B0710" w:rsidP="003B0710">
      <w:pPr>
        <w:spacing w:line="276" w:lineRule="auto"/>
        <w:rPr>
          <w:rFonts w:eastAsia="Century Gothic" w:cs="Century Gothic"/>
          <w:lang w:eastAsia="es-MX"/>
        </w:rPr>
      </w:pPr>
    </w:p>
    <w:p w14:paraId="1F8926C3" w14:textId="77777777" w:rsidR="003B0710" w:rsidRPr="003B0710" w:rsidRDefault="003B0710" w:rsidP="003B0710">
      <w:pPr>
        <w:spacing w:line="276" w:lineRule="auto"/>
        <w:rPr>
          <w:rFonts w:eastAsia="Century Gothic" w:cs="Century Gothic"/>
          <w:lang w:eastAsia="es-MX"/>
        </w:rPr>
      </w:pPr>
      <w:r w:rsidRPr="003B0710">
        <w:rPr>
          <w:rFonts w:eastAsia="Century Gothic" w:cs="Century Gothic"/>
          <w:lang w:eastAsia="es-MX"/>
        </w:rPr>
        <w:t>Gestante con infección por ef. VIH en TAR combinado con carga viral indetectable en la semana 36.</w:t>
      </w:r>
    </w:p>
    <w:p w14:paraId="6BA0C481" w14:textId="77777777" w:rsidR="003B0710" w:rsidRPr="003B0710" w:rsidRDefault="003B0710" w:rsidP="00F655B9">
      <w:pPr>
        <w:numPr>
          <w:ilvl w:val="0"/>
          <w:numId w:val="18"/>
        </w:numPr>
        <w:spacing w:after="160" w:line="276" w:lineRule="auto"/>
        <w:jc w:val="left"/>
        <w:rPr>
          <w:rFonts w:eastAsia="Century Gothic" w:cs="Century Gothic"/>
          <w:lang w:eastAsia="es-MX"/>
        </w:rPr>
      </w:pPr>
      <w:r w:rsidRPr="003B0710">
        <w:rPr>
          <w:rFonts w:eastAsia="Century Gothic" w:cs="Century Gothic"/>
          <w:lang w:eastAsia="es-MX"/>
        </w:rPr>
        <w:t>En estos casos no se ha comprobado que la cesárea electiva mejore el riesgo de transmisión vertical al feto (1% 0 menor) frente al parto vaginal aumentando sin embargo los riesgos maternos: por tanto, Se recomienda este último. salvo Otras indicaciones obstétricas.</w:t>
      </w:r>
    </w:p>
    <w:p w14:paraId="119F7583" w14:textId="77777777" w:rsidR="003B0710" w:rsidRPr="003B0710" w:rsidRDefault="003B0710" w:rsidP="003B0710">
      <w:pPr>
        <w:spacing w:line="276" w:lineRule="auto"/>
        <w:rPr>
          <w:rFonts w:eastAsia="Century Gothic" w:cs="Century Gothic"/>
          <w:lang w:eastAsia="es-MX"/>
        </w:rPr>
      </w:pPr>
    </w:p>
    <w:p w14:paraId="2D6BE4C1" w14:textId="77777777" w:rsidR="003B0710" w:rsidRPr="003B0710" w:rsidRDefault="003B0710" w:rsidP="003B0710">
      <w:pPr>
        <w:spacing w:line="276" w:lineRule="auto"/>
        <w:rPr>
          <w:rFonts w:eastAsia="Century Gothic" w:cs="Century Gothic"/>
          <w:lang w:eastAsia="es-MX"/>
        </w:rPr>
      </w:pPr>
      <w:r w:rsidRPr="003B0710">
        <w:rPr>
          <w:rFonts w:eastAsia="Century Gothic" w:cs="Century Gothic"/>
          <w:lang w:eastAsia="es-MX"/>
        </w:rPr>
        <w:t>Gestante con infección por e/ VIH la que se ha decidido previamente cesárea electiva que se presenta con rotura de membranas en la semana 37 o más 0 bien en trabajo de parto:</w:t>
      </w:r>
    </w:p>
    <w:p w14:paraId="1F338281" w14:textId="77777777" w:rsidR="003B0710" w:rsidRPr="003B0710" w:rsidRDefault="003B0710" w:rsidP="00F655B9">
      <w:pPr>
        <w:numPr>
          <w:ilvl w:val="0"/>
          <w:numId w:val="18"/>
        </w:numPr>
        <w:spacing w:after="160" w:line="276" w:lineRule="auto"/>
        <w:jc w:val="left"/>
        <w:rPr>
          <w:rFonts w:eastAsia="Century Gothic" w:cs="Century Gothic"/>
          <w:lang w:eastAsia="es-MX"/>
        </w:rPr>
      </w:pPr>
      <w:r w:rsidRPr="003B0710">
        <w:rPr>
          <w:rFonts w:eastAsia="Century Gothic" w:cs="Century Gothic"/>
          <w:lang w:eastAsia="es-MX"/>
        </w:rPr>
        <w:t>Iniciar Zidovudina IV</w:t>
      </w:r>
    </w:p>
    <w:p w14:paraId="16223FCB" w14:textId="77777777" w:rsidR="003B0710" w:rsidRPr="003B0710" w:rsidRDefault="003B0710" w:rsidP="00F655B9">
      <w:pPr>
        <w:numPr>
          <w:ilvl w:val="0"/>
          <w:numId w:val="18"/>
        </w:numPr>
        <w:spacing w:after="160" w:line="276" w:lineRule="auto"/>
        <w:jc w:val="left"/>
        <w:rPr>
          <w:rFonts w:eastAsia="Century Gothic" w:cs="Century Gothic"/>
          <w:lang w:eastAsia="es-MX"/>
        </w:rPr>
      </w:pPr>
      <w:r w:rsidRPr="003B0710">
        <w:rPr>
          <w:rFonts w:eastAsia="Century Gothic" w:cs="Century Gothic"/>
          <w:lang w:eastAsia="es-MX"/>
        </w:rPr>
        <w:t>El modo de parto debe decidirse de forma individualizada valorando el tiempo de rotura de las membranas, la progresión del parto, la carga viral y si está en tratamiento antirretroviral adecuado.</w:t>
      </w:r>
      <w:bookmarkStart w:id="1" w:name="_heading=h.17dp8vu" w:colFirst="0" w:colLast="0"/>
      <w:bookmarkEnd w:id="1"/>
    </w:p>
    <w:sdt>
      <w:sdtPr>
        <w:rPr>
          <w:rFonts w:ascii="Century Gothic" w:eastAsiaTheme="minorHAnsi" w:hAnsi="Century Gothic" w:cstheme="minorBidi"/>
          <w:color w:val="auto"/>
          <w:sz w:val="22"/>
          <w:szCs w:val="22"/>
          <w:lang w:val="es-ES"/>
        </w:rPr>
        <w:id w:val="726495055"/>
        <w:docPartObj>
          <w:docPartGallery w:val="Bibliographies"/>
          <w:docPartUnique/>
        </w:docPartObj>
      </w:sdtPr>
      <w:sdtEndPr>
        <w:rPr>
          <w:lang w:val="es-MX"/>
        </w:rPr>
      </w:sdtEndPr>
      <w:sdtContent>
        <w:p w14:paraId="4AFECE6E" w14:textId="553E93E8" w:rsidR="00D9670B" w:rsidRDefault="00D9670B" w:rsidP="00F655B9">
          <w:pPr>
            <w:pStyle w:val="Ttulo1"/>
            <w:numPr>
              <w:ilvl w:val="0"/>
              <w:numId w:val="1"/>
            </w:numPr>
            <w:spacing w:before="240" w:after="0" w:line="259" w:lineRule="auto"/>
            <w:jc w:val="left"/>
            <w:rPr>
              <w:rFonts w:ascii="Century Gothic" w:hAnsi="Century Gothic"/>
              <w:b/>
              <w:color w:val="auto"/>
              <w:sz w:val="22"/>
              <w:szCs w:val="22"/>
            </w:rPr>
          </w:pPr>
          <w:r w:rsidRPr="00D9670B">
            <w:rPr>
              <w:rFonts w:ascii="Century Gothic" w:hAnsi="Century Gothic"/>
              <w:b/>
              <w:color w:val="auto"/>
              <w:sz w:val="22"/>
              <w:szCs w:val="22"/>
            </w:rPr>
            <w:t>REFERENCIAS BIBLIOGRÁFICAS</w:t>
          </w:r>
        </w:p>
        <w:p w14:paraId="410F2475" w14:textId="36A0D9D0" w:rsidR="00D9670B" w:rsidRPr="00E80ED7" w:rsidRDefault="00D9670B" w:rsidP="00F655B9">
          <w:pPr>
            <w:pStyle w:val="Sinespaciado"/>
            <w:numPr>
              <w:ilvl w:val="0"/>
              <w:numId w:val="19"/>
            </w:numPr>
            <w:spacing w:line="276" w:lineRule="auto"/>
          </w:pPr>
          <w:r w:rsidRPr="00E80ED7">
            <w:t>Organización panamericana de la salud eliminación de la transmisión materno infantil del VIH, la sífilis, la hepatitis b y la enfermedad de Chagas. Colombia 2021-2030 https://www.minsalud.gov.co/sites/rid/lists/bibliotecadigital/ride/vs/pp/et/etmi-plus-colombia-2021-2030.pdf</w:t>
          </w:r>
        </w:p>
        <w:p w14:paraId="1D83AD7E" w14:textId="05F2EB5B" w:rsidR="003B0710" w:rsidRPr="00527298" w:rsidRDefault="00D9670B" w:rsidP="00F655B9">
          <w:pPr>
            <w:pStyle w:val="Sinespaciado"/>
            <w:numPr>
              <w:ilvl w:val="0"/>
              <w:numId w:val="19"/>
            </w:numPr>
            <w:spacing w:line="276" w:lineRule="auto"/>
          </w:pPr>
          <w:r w:rsidRPr="00E80ED7">
            <w:t>Colombia. ministerio de salud y protección social. circular externa 013 de 2019 por la cual se definen las acciones de gestión en salud pública para la prevención, el diagnóstico, manejo, control y vigilancia del VIH, confección tb/VIH, sífilis gestacional y congénita, hepatitis b y hepatitis c.</w:t>
          </w:r>
        </w:p>
      </w:sdtContent>
    </w:sdt>
    <w:p w14:paraId="4C22DB1C" w14:textId="5FA098EF" w:rsidR="00527298" w:rsidRPr="00527298" w:rsidRDefault="00527298" w:rsidP="00527298">
      <w:pPr>
        <w:tabs>
          <w:tab w:val="left" w:pos="4530"/>
        </w:tabs>
        <w:rPr>
          <w:rFonts w:eastAsia="Verdana" w:cs="Verdana"/>
        </w:rPr>
      </w:pPr>
    </w:p>
    <w:sectPr w:rsidR="00527298" w:rsidRPr="00527298">
      <w:headerReference w:type="even" r:id="rId13"/>
      <w:headerReference w:type="default" r:id="rId14"/>
      <w:footerReference w:type="even" r:id="rId15"/>
      <w:footerReference w:type="default" r:id="rId16"/>
      <w:headerReference w:type="first" r:id="rId17"/>
      <w:footerReference w:type="first" r:id="rId18"/>
      <w:pgSz w:w="12240" w:h="15840"/>
      <w:pgMar w:top="1134" w:right="1134" w:bottom="1134" w:left="1134" w:header="850" w:footer="850"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19701" w14:textId="77777777" w:rsidR="00F655B9" w:rsidRDefault="00F655B9">
      <w:r>
        <w:separator/>
      </w:r>
    </w:p>
  </w:endnote>
  <w:endnote w:type="continuationSeparator" w:id="0">
    <w:p w14:paraId="1F5E783D" w14:textId="77777777" w:rsidR="00F655B9" w:rsidRDefault="00F65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0D256" w14:textId="77777777" w:rsidR="00E53CBC" w:rsidRDefault="00E53CB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70A10" w14:textId="41785221" w:rsidR="00D76E10" w:rsidRDefault="00FE7363">
    <w:pPr>
      <w:pStyle w:val="Encabezado"/>
    </w:pPr>
    <w:r w:rsidRPr="00FE7363">
      <w:rPr>
        <w:rFonts w:ascii="Tahoma" w:eastAsia="Verdana" w:hAnsi="Verdana" w:cs="Verdana"/>
        <w:noProof/>
        <w:sz w:val="20"/>
        <w:lang w:eastAsia="es-MX"/>
      </w:rPr>
      <w:drawing>
        <wp:anchor distT="0" distB="0" distL="114300" distR="114300" simplePos="0" relativeHeight="251660288" behindDoc="1" locked="0" layoutInCell="1" allowOverlap="1" wp14:anchorId="007BC17A" wp14:editId="76A4C40C">
          <wp:simplePos x="0" y="0"/>
          <wp:positionH relativeFrom="margin">
            <wp:align>left</wp:align>
          </wp:positionH>
          <wp:positionV relativeFrom="paragraph">
            <wp:posOffset>-22225</wp:posOffset>
          </wp:positionV>
          <wp:extent cx="6332220" cy="500811"/>
          <wp:effectExtent l="0" t="0" r="0" b="0"/>
          <wp:wrapNone/>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32220" cy="500811"/>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F1D52" w14:textId="77777777" w:rsidR="00E53CBC" w:rsidRDefault="00E53CB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19539" w14:textId="77777777" w:rsidR="00F655B9" w:rsidRDefault="00F655B9">
      <w:r>
        <w:separator/>
      </w:r>
    </w:p>
  </w:footnote>
  <w:footnote w:type="continuationSeparator" w:id="0">
    <w:p w14:paraId="5B14B4EC" w14:textId="77777777" w:rsidR="00F655B9" w:rsidRDefault="00F655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43967" w14:textId="77777777" w:rsidR="00E53CBC" w:rsidRDefault="00E53CB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Normal"/>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463"/>
      <w:gridCol w:w="2268"/>
    </w:tblGrid>
    <w:tr w:rsidR="00A6018A" w14:paraId="27D1FCD0" w14:textId="77777777" w:rsidTr="00E53CBC">
      <w:trPr>
        <w:trHeight w:val="285"/>
      </w:trPr>
      <w:tc>
        <w:tcPr>
          <w:tcW w:w="2192" w:type="dxa"/>
          <w:vMerge w:val="restart"/>
        </w:tcPr>
        <w:p w14:paraId="57A084D5" w14:textId="77777777" w:rsidR="00A6018A" w:rsidRPr="00A80628" w:rsidRDefault="00A6018A">
          <w:pPr>
            <w:rPr>
              <w:rFonts w:eastAsia="Verdana" w:cs="Verdana"/>
              <w:lang w:val="es-ES"/>
            </w:rPr>
          </w:pPr>
          <w:r w:rsidRPr="00A80628">
            <w:rPr>
              <w:rFonts w:eastAsia="Verdana" w:cs="Verdana"/>
              <w:noProof/>
              <w:szCs w:val="18"/>
            </w:rPr>
            <w:drawing>
              <wp:anchor distT="0" distB="0" distL="114300" distR="114300" simplePos="0" relativeHeight="251659264" behindDoc="1" locked="0" layoutInCell="1" allowOverlap="1" wp14:anchorId="4669F60E" wp14:editId="6A114935">
                <wp:simplePos x="0" y="0"/>
                <wp:positionH relativeFrom="column">
                  <wp:posOffset>19685</wp:posOffset>
                </wp:positionH>
                <wp:positionV relativeFrom="paragraph">
                  <wp:posOffset>254000</wp:posOffset>
                </wp:positionV>
                <wp:extent cx="1333500" cy="3917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a:picLocks noChangeAspect="1"/>
                        </pic:cNvPicPr>
                      </pic:nvPicPr>
                      <pic:blipFill>
                        <a:blip r:embed="rId1"/>
                        <a:stretch/>
                      </pic:blipFill>
                      <pic:spPr bwMode="auto">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w:r>
        </w:p>
      </w:tc>
      <w:tc>
        <w:tcPr>
          <w:tcW w:w="5463" w:type="dxa"/>
          <w:vMerge w:val="restart"/>
          <w:vAlign w:val="center"/>
        </w:tcPr>
        <w:p w14:paraId="4414D3F8" w14:textId="5CC38427" w:rsidR="00A6018A" w:rsidRPr="00E53CBC" w:rsidRDefault="00A6018A" w:rsidP="00E53CBC">
          <w:pPr>
            <w:jc w:val="center"/>
            <w:rPr>
              <w:rFonts w:eastAsia="Century Gothic" w:cs="Century Gothic"/>
              <w:b/>
              <w:sz w:val="22"/>
              <w:szCs w:val="22"/>
              <w:lang w:val="es-MX"/>
            </w:rPr>
          </w:pPr>
          <w:r w:rsidRPr="00E53CBC">
            <w:rPr>
              <w:rFonts w:eastAsia="Century Gothic" w:cs="Century Gothic"/>
              <w:b/>
              <w:sz w:val="22"/>
              <w:szCs w:val="22"/>
              <w:lang w:val="es-MX"/>
            </w:rPr>
            <w:t xml:space="preserve">PROCESO </w:t>
          </w:r>
          <w:r w:rsidR="00FE7363" w:rsidRPr="00E53CBC">
            <w:rPr>
              <w:rFonts w:eastAsia="Century Gothic" w:cs="Century Gothic"/>
              <w:b/>
              <w:sz w:val="22"/>
              <w:szCs w:val="22"/>
              <w:lang w:val="es-MX"/>
            </w:rPr>
            <w:t>ATENCIÓN CONSULTA</w:t>
          </w:r>
          <w:r w:rsidR="00E53CBC">
            <w:rPr>
              <w:rFonts w:eastAsia="Century Gothic" w:cs="Century Gothic"/>
              <w:b/>
              <w:sz w:val="22"/>
              <w:szCs w:val="22"/>
              <w:lang w:val="es-MX"/>
            </w:rPr>
            <w:t xml:space="preserve"> </w:t>
          </w:r>
          <w:r w:rsidR="00FE7363" w:rsidRPr="00E53CBC">
            <w:rPr>
              <w:rFonts w:eastAsia="Century Gothic" w:cs="Century Gothic"/>
              <w:b/>
              <w:sz w:val="22"/>
              <w:szCs w:val="22"/>
              <w:lang w:val="es-MX"/>
            </w:rPr>
            <w:t>EXTERNA</w:t>
          </w:r>
        </w:p>
      </w:tc>
      <w:tc>
        <w:tcPr>
          <w:tcW w:w="2268" w:type="dxa"/>
        </w:tcPr>
        <w:p w14:paraId="6E149CD8" w14:textId="3802F7B1" w:rsidR="00A6018A" w:rsidRPr="00A6018A" w:rsidRDefault="00A6018A">
          <w:pPr>
            <w:rPr>
              <w:b/>
              <w:sz w:val="18"/>
              <w:szCs w:val="18"/>
            </w:rPr>
          </w:pPr>
          <w:r w:rsidRPr="00A6018A">
            <w:rPr>
              <w:sz w:val="18"/>
              <w:szCs w:val="18"/>
            </w:rPr>
            <w:t xml:space="preserve">Código: </w:t>
          </w:r>
          <w:r w:rsidR="00E53CBC">
            <w:rPr>
              <w:sz w:val="18"/>
              <w:szCs w:val="18"/>
            </w:rPr>
            <w:t>PT-ACE-008</w:t>
          </w:r>
        </w:p>
      </w:tc>
    </w:tr>
    <w:tr w:rsidR="00A6018A" w14:paraId="2CF73643" w14:textId="77777777" w:rsidTr="00E53CBC">
      <w:trPr>
        <w:trHeight w:val="285"/>
      </w:trPr>
      <w:tc>
        <w:tcPr>
          <w:tcW w:w="2192" w:type="dxa"/>
          <w:vMerge/>
          <w:tcBorders>
            <w:top w:val="none" w:sz="4" w:space="0" w:color="000000"/>
          </w:tcBorders>
        </w:tcPr>
        <w:p w14:paraId="3DDC723B" w14:textId="77777777" w:rsidR="00A6018A" w:rsidRDefault="00A6018A">
          <w:pPr>
            <w:rPr>
              <w:sz w:val="2"/>
              <w:szCs w:val="2"/>
            </w:rPr>
          </w:pPr>
        </w:p>
      </w:tc>
      <w:tc>
        <w:tcPr>
          <w:tcW w:w="5463" w:type="dxa"/>
          <w:vMerge/>
          <w:tcBorders>
            <w:top w:val="none" w:sz="4" w:space="0" w:color="000000"/>
          </w:tcBorders>
          <w:vAlign w:val="center"/>
        </w:tcPr>
        <w:p w14:paraId="4D1723E4" w14:textId="77777777" w:rsidR="00A6018A" w:rsidRPr="00FE7363" w:rsidRDefault="00A6018A" w:rsidP="00E53CBC">
          <w:pPr>
            <w:jc w:val="center"/>
            <w:rPr>
              <w:sz w:val="22"/>
              <w:szCs w:val="22"/>
            </w:rPr>
          </w:pPr>
        </w:p>
      </w:tc>
      <w:tc>
        <w:tcPr>
          <w:tcW w:w="2268" w:type="dxa"/>
        </w:tcPr>
        <w:p w14:paraId="0BC8AF3C" w14:textId="339FF302" w:rsidR="00A6018A" w:rsidRPr="00A6018A" w:rsidRDefault="00A6018A">
          <w:pPr>
            <w:rPr>
              <w:b/>
              <w:sz w:val="18"/>
              <w:szCs w:val="18"/>
            </w:rPr>
          </w:pPr>
          <w:r w:rsidRPr="00A6018A">
            <w:rPr>
              <w:sz w:val="18"/>
              <w:szCs w:val="18"/>
            </w:rPr>
            <w:t>Versión:</w:t>
          </w:r>
          <w:r w:rsidRPr="00A6018A">
            <w:rPr>
              <w:spacing w:val="16"/>
              <w:sz w:val="18"/>
              <w:szCs w:val="18"/>
            </w:rPr>
            <w:t xml:space="preserve"> </w:t>
          </w:r>
          <w:r w:rsidR="00E53CBC">
            <w:rPr>
              <w:spacing w:val="16"/>
              <w:sz w:val="18"/>
              <w:szCs w:val="18"/>
            </w:rPr>
            <w:t>00</w:t>
          </w:r>
        </w:p>
      </w:tc>
    </w:tr>
    <w:tr w:rsidR="00A6018A" w14:paraId="36EDE3EB" w14:textId="77777777" w:rsidTr="00E53CBC">
      <w:trPr>
        <w:trHeight w:val="441"/>
      </w:trPr>
      <w:tc>
        <w:tcPr>
          <w:tcW w:w="2192" w:type="dxa"/>
          <w:vMerge/>
          <w:tcBorders>
            <w:top w:val="none" w:sz="4" w:space="0" w:color="000000"/>
          </w:tcBorders>
        </w:tcPr>
        <w:p w14:paraId="22E97B4A" w14:textId="77777777" w:rsidR="00A6018A" w:rsidRDefault="00A6018A">
          <w:pPr>
            <w:rPr>
              <w:sz w:val="2"/>
              <w:szCs w:val="2"/>
            </w:rPr>
          </w:pPr>
        </w:p>
      </w:tc>
      <w:tc>
        <w:tcPr>
          <w:tcW w:w="5463" w:type="dxa"/>
          <w:vMerge w:val="restart"/>
          <w:vAlign w:val="center"/>
        </w:tcPr>
        <w:p w14:paraId="722B7C47" w14:textId="10180404" w:rsidR="00A6018A" w:rsidRPr="00FE7363" w:rsidRDefault="00FE65B0" w:rsidP="00E53CBC">
          <w:pPr>
            <w:jc w:val="center"/>
            <w:rPr>
              <w:b/>
              <w:sz w:val="22"/>
              <w:szCs w:val="22"/>
            </w:rPr>
          </w:pPr>
          <w:bookmarkStart w:id="2" w:name="_GoBack"/>
          <w:r w:rsidRPr="00FE65B0">
            <w:rPr>
              <w:rFonts w:eastAsia="Century Gothic" w:cs="Century Gothic"/>
              <w:b/>
              <w:sz w:val="22"/>
              <w:szCs w:val="22"/>
              <w:lang w:val="es-MX"/>
            </w:rPr>
            <w:t>PRO</w:t>
          </w:r>
          <w:r w:rsidR="00E53CBC">
            <w:rPr>
              <w:rFonts w:eastAsia="Century Gothic" w:cs="Century Gothic"/>
              <w:b/>
              <w:sz w:val="22"/>
              <w:szCs w:val="22"/>
              <w:lang w:val="es-MX"/>
            </w:rPr>
            <w:t xml:space="preserve">TOCOLO DE ATENCIÓN DEL PARTO DE </w:t>
          </w:r>
          <w:r w:rsidRPr="00FE65B0">
            <w:rPr>
              <w:rFonts w:eastAsia="Century Gothic" w:cs="Century Gothic"/>
              <w:b/>
              <w:sz w:val="22"/>
              <w:szCs w:val="22"/>
              <w:lang w:val="es-MX"/>
            </w:rPr>
            <w:t>GESTANTES CON VIH</w:t>
          </w:r>
          <w:bookmarkEnd w:id="2"/>
        </w:p>
      </w:tc>
      <w:tc>
        <w:tcPr>
          <w:tcW w:w="2268" w:type="dxa"/>
        </w:tcPr>
        <w:p w14:paraId="4B15FBCF" w14:textId="77777777" w:rsidR="00A6018A" w:rsidRDefault="00A6018A">
          <w:pPr>
            <w:rPr>
              <w:sz w:val="18"/>
              <w:szCs w:val="18"/>
            </w:rPr>
          </w:pPr>
          <w:r w:rsidRPr="00A6018A">
            <w:rPr>
              <w:sz w:val="18"/>
              <w:szCs w:val="18"/>
            </w:rPr>
            <w:t xml:space="preserve">Fecha de aprobación: </w:t>
          </w:r>
        </w:p>
        <w:p w14:paraId="094BAB0E" w14:textId="285F9BD2" w:rsidR="00E53CBC" w:rsidRPr="00A6018A" w:rsidRDefault="00E53CBC">
          <w:pPr>
            <w:rPr>
              <w:b/>
              <w:sz w:val="18"/>
              <w:szCs w:val="18"/>
            </w:rPr>
          </w:pPr>
          <w:r>
            <w:rPr>
              <w:sz w:val="18"/>
              <w:szCs w:val="18"/>
            </w:rPr>
            <w:t>28 de julio de 2025</w:t>
          </w:r>
        </w:p>
      </w:tc>
    </w:tr>
    <w:tr w:rsidR="00A6018A" w14:paraId="4842BF9F" w14:textId="77777777" w:rsidTr="00A6018A">
      <w:trPr>
        <w:trHeight w:val="371"/>
      </w:trPr>
      <w:tc>
        <w:tcPr>
          <w:tcW w:w="2192" w:type="dxa"/>
          <w:vMerge/>
          <w:tcBorders>
            <w:top w:val="none" w:sz="4" w:space="0" w:color="000000"/>
          </w:tcBorders>
        </w:tcPr>
        <w:p w14:paraId="5F4D922D" w14:textId="77777777" w:rsidR="00A6018A" w:rsidRDefault="00A6018A">
          <w:pPr>
            <w:rPr>
              <w:sz w:val="2"/>
              <w:szCs w:val="2"/>
            </w:rPr>
          </w:pPr>
        </w:p>
      </w:tc>
      <w:tc>
        <w:tcPr>
          <w:tcW w:w="5463" w:type="dxa"/>
          <w:vMerge/>
          <w:tcBorders>
            <w:top w:val="none" w:sz="4" w:space="0" w:color="000000"/>
          </w:tcBorders>
        </w:tcPr>
        <w:p w14:paraId="3DEDA017" w14:textId="77777777" w:rsidR="00A6018A" w:rsidRDefault="00A6018A">
          <w:pPr>
            <w:rPr>
              <w:sz w:val="2"/>
              <w:szCs w:val="2"/>
            </w:rPr>
          </w:pPr>
        </w:p>
      </w:tc>
      <w:tc>
        <w:tcPr>
          <w:tcW w:w="2268" w:type="dxa"/>
        </w:tcPr>
        <w:p w14:paraId="602360BB" w14:textId="179AEC9A" w:rsidR="00A6018A" w:rsidRPr="00A6018A" w:rsidRDefault="00A6018A">
          <w:pPr>
            <w:rPr>
              <w:b/>
              <w:sz w:val="18"/>
              <w:szCs w:val="18"/>
            </w:rPr>
          </w:pPr>
          <w:r w:rsidRPr="00A6018A">
            <w:rPr>
              <w:sz w:val="18"/>
              <w:szCs w:val="18"/>
            </w:rPr>
            <w:t>Página:</w:t>
          </w:r>
          <w:r w:rsidRPr="00A6018A">
            <w:rPr>
              <w:spacing w:val="-10"/>
              <w:sz w:val="18"/>
              <w:szCs w:val="18"/>
            </w:rPr>
            <w:t xml:space="preserve"> </w:t>
          </w:r>
          <w:r w:rsidRPr="00A6018A">
            <w:rPr>
              <w:b/>
              <w:sz w:val="18"/>
              <w:szCs w:val="18"/>
            </w:rPr>
            <w:fldChar w:fldCharType="begin"/>
          </w:r>
          <w:r w:rsidRPr="00A6018A">
            <w:rPr>
              <w:sz w:val="18"/>
              <w:szCs w:val="18"/>
            </w:rPr>
            <w:instrText xml:space="preserve"> PAGE </w:instrText>
          </w:r>
          <w:r w:rsidRPr="00A6018A">
            <w:rPr>
              <w:b/>
              <w:sz w:val="18"/>
              <w:szCs w:val="18"/>
            </w:rPr>
            <w:fldChar w:fldCharType="separate"/>
          </w:r>
          <w:r w:rsidR="00E53CBC">
            <w:rPr>
              <w:noProof/>
              <w:sz w:val="18"/>
              <w:szCs w:val="18"/>
            </w:rPr>
            <w:t>2</w:t>
          </w:r>
          <w:r w:rsidRPr="00A6018A">
            <w:rPr>
              <w:b/>
              <w:sz w:val="18"/>
              <w:szCs w:val="18"/>
            </w:rPr>
            <w:fldChar w:fldCharType="end"/>
          </w:r>
          <w:r w:rsidRPr="00A6018A">
            <w:rPr>
              <w:spacing w:val="-8"/>
              <w:sz w:val="18"/>
              <w:szCs w:val="18"/>
            </w:rPr>
            <w:t xml:space="preserve"> </w:t>
          </w:r>
          <w:r w:rsidRPr="00A6018A">
            <w:rPr>
              <w:sz w:val="18"/>
              <w:szCs w:val="18"/>
            </w:rPr>
            <w:t>de</w:t>
          </w:r>
          <w:r w:rsidRPr="00A6018A">
            <w:rPr>
              <w:spacing w:val="-9"/>
              <w:sz w:val="18"/>
              <w:szCs w:val="18"/>
            </w:rPr>
            <w:t xml:space="preserve"> </w:t>
          </w:r>
          <w:r w:rsidRPr="00A6018A">
            <w:rPr>
              <w:b/>
              <w:spacing w:val="-5"/>
              <w:sz w:val="18"/>
              <w:szCs w:val="18"/>
            </w:rPr>
            <w:fldChar w:fldCharType="begin"/>
          </w:r>
          <w:r w:rsidRPr="00A6018A">
            <w:rPr>
              <w:spacing w:val="-5"/>
              <w:sz w:val="18"/>
              <w:szCs w:val="18"/>
            </w:rPr>
            <w:instrText xml:space="preserve"> NUMPAGES </w:instrText>
          </w:r>
          <w:r w:rsidRPr="00A6018A">
            <w:rPr>
              <w:b/>
              <w:spacing w:val="-5"/>
              <w:sz w:val="18"/>
              <w:szCs w:val="18"/>
            </w:rPr>
            <w:fldChar w:fldCharType="separate"/>
          </w:r>
          <w:r w:rsidR="00E53CBC">
            <w:rPr>
              <w:noProof/>
              <w:spacing w:val="-5"/>
              <w:sz w:val="18"/>
              <w:szCs w:val="18"/>
            </w:rPr>
            <w:t>9</w:t>
          </w:r>
          <w:r w:rsidRPr="00A6018A">
            <w:rPr>
              <w:b/>
              <w:spacing w:val="-5"/>
              <w:sz w:val="18"/>
              <w:szCs w:val="18"/>
            </w:rPr>
            <w:fldChar w:fldCharType="end"/>
          </w:r>
        </w:p>
      </w:tc>
    </w:tr>
  </w:tbl>
  <w:p w14:paraId="43BE20DC" w14:textId="77777777" w:rsidR="00D76E10" w:rsidRPr="00975223" w:rsidRDefault="00D76E10">
    <w:pPr>
      <w:pStyle w:val="Encabezado"/>
      <w:rPr>
        <w:sz w:val="10"/>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86DD1" w14:textId="77777777" w:rsidR="00E53CBC" w:rsidRDefault="00E53CB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5B46"/>
    <w:multiLevelType w:val="hybridMultilevel"/>
    <w:tmpl w:val="8DFC7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2030A3"/>
    <w:multiLevelType w:val="multilevel"/>
    <w:tmpl w:val="1AD8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B1329"/>
    <w:multiLevelType w:val="hybridMultilevel"/>
    <w:tmpl w:val="D4147F88"/>
    <w:lvl w:ilvl="0" w:tplc="0A56ED70">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2B76D6"/>
    <w:multiLevelType w:val="hybridMultilevel"/>
    <w:tmpl w:val="954289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E521BA"/>
    <w:multiLevelType w:val="multilevel"/>
    <w:tmpl w:val="6D4EA252"/>
    <w:lvl w:ilvl="0">
      <w:start w:val="1"/>
      <w:numFmt w:val="bullet"/>
      <w:lvlText w:val=""/>
      <w:lvlJc w:val="left"/>
      <w:pPr>
        <w:tabs>
          <w:tab w:val="num" w:pos="720"/>
        </w:tabs>
        <w:ind w:left="720" w:hanging="360"/>
      </w:pPr>
      <w:rPr>
        <w:rFonts w:ascii="Symbol" w:hAnsi="Symbol" w:hint="default"/>
        <w:sz w:val="20"/>
      </w:rPr>
    </w:lvl>
    <w:lvl w:ilvl="1">
      <w:start w:val="75"/>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C5104"/>
    <w:multiLevelType w:val="hybridMultilevel"/>
    <w:tmpl w:val="996C3B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A6822DF"/>
    <w:multiLevelType w:val="hybridMultilevel"/>
    <w:tmpl w:val="409ACD12"/>
    <w:lvl w:ilvl="0" w:tplc="A67EB298">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C6132DB"/>
    <w:multiLevelType w:val="hybridMultilevel"/>
    <w:tmpl w:val="6DF6E60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38E85857"/>
    <w:multiLevelType w:val="multilevel"/>
    <w:tmpl w:val="83E6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B066E"/>
    <w:multiLevelType w:val="hybridMultilevel"/>
    <w:tmpl w:val="BFEC309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9F93606"/>
    <w:multiLevelType w:val="hybridMultilevel"/>
    <w:tmpl w:val="6E4A69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9C3496"/>
    <w:multiLevelType w:val="multilevel"/>
    <w:tmpl w:val="3622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93C5F"/>
    <w:multiLevelType w:val="hybridMultilevel"/>
    <w:tmpl w:val="A462E9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9E176A3"/>
    <w:multiLevelType w:val="multilevel"/>
    <w:tmpl w:val="5142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76CE2"/>
    <w:multiLevelType w:val="hybridMultilevel"/>
    <w:tmpl w:val="5B66B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FA6626E"/>
    <w:multiLevelType w:val="hybridMultilevel"/>
    <w:tmpl w:val="3224DAC8"/>
    <w:lvl w:ilvl="0" w:tplc="A4A623E2">
      <w:start w:val="1"/>
      <w:numFmt w:val="decimal"/>
      <w:lvlText w:val="%1."/>
      <w:lvlJc w:val="left"/>
      <w:pPr>
        <w:ind w:left="735" w:hanging="360"/>
      </w:pPr>
      <w:rPr>
        <w:b/>
      </w:rPr>
    </w:lvl>
    <w:lvl w:ilvl="1" w:tplc="080A0019" w:tentative="1">
      <w:start w:val="1"/>
      <w:numFmt w:val="lowerLetter"/>
      <w:lvlText w:val="%2."/>
      <w:lvlJc w:val="left"/>
      <w:pPr>
        <w:ind w:left="1455" w:hanging="360"/>
      </w:pPr>
    </w:lvl>
    <w:lvl w:ilvl="2" w:tplc="080A001B" w:tentative="1">
      <w:start w:val="1"/>
      <w:numFmt w:val="lowerRoman"/>
      <w:lvlText w:val="%3."/>
      <w:lvlJc w:val="right"/>
      <w:pPr>
        <w:ind w:left="2175" w:hanging="180"/>
      </w:pPr>
    </w:lvl>
    <w:lvl w:ilvl="3" w:tplc="080A000F" w:tentative="1">
      <w:start w:val="1"/>
      <w:numFmt w:val="decimal"/>
      <w:lvlText w:val="%4."/>
      <w:lvlJc w:val="left"/>
      <w:pPr>
        <w:ind w:left="2895" w:hanging="360"/>
      </w:pPr>
    </w:lvl>
    <w:lvl w:ilvl="4" w:tplc="080A0019" w:tentative="1">
      <w:start w:val="1"/>
      <w:numFmt w:val="lowerLetter"/>
      <w:lvlText w:val="%5."/>
      <w:lvlJc w:val="left"/>
      <w:pPr>
        <w:ind w:left="3615" w:hanging="360"/>
      </w:pPr>
    </w:lvl>
    <w:lvl w:ilvl="5" w:tplc="080A001B" w:tentative="1">
      <w:start w:val="1"/>
      <w:numFmt w:val="lowerRoman"/>
      <w:lvlText w:val="%6."/>
      <w:lvlJc w:val="right"/>
      <w:pPr>
        <w:ind w:left="4335" w:hanging="180"/>
      </w:pPr>
    </w:lvl>
    <w:lvl w:ilvl="6" w:tplc="080A000F" w:tentative="1">
      <w:start w:val="1"/>
      <w:numFmt w:val="decimal"/>
      <w:lvlText w:val="%7."/>
      <w:lvlJc w:val="left"/>
      <w:pPr>
        <w:ind w:left="5055" w:hanging="360"/>
      </w:pPr>
    </w:lvl>
    <w:lvl w:ilvl="7" w:tplc="080A0019" w:tentative="1">
      <w:start w:val="1"/>
      <w:numFmt w:val="lowerLetter"/>
      <w:lvlText w:val="%8."/>
      <w:lvlJc w:val="left"/>
      <w:pPr>
        <w:ind w:left="5775" w:hanging="360"/>
      </w:pPr>
    </w:lvl>
    <w:lvl w:ilvl="8" w:tplc="080A001B" w:tentative="1">
      <w:start w:val="1"/>
      <w:numFmt w:val="lowerRoman"/>
      <w:lvlText w:val="%9."/>
      <w:lvlJc w:val="right"/>
      <w:pPr>
        <w:ind w:left="6495" w:hanging="180"/>
      </w:pPr>
    </w:lvl>
  </w:abstractNum>
  <w:abstractNum w:abstractNumId="16" w15:restartNumberingAfterBreak="0">
    <w:nsid w:val="501A3993"/>
    <w:multiLevelType w:val="multilevel"/>
    <w:tmpl w:val="42A05A08"/>
    <w:lvl w:ilvl="0">
      <w:start w:val="1"/>
      <w:numFmt w:val="decimal"/>
      <w:lvlText w:val="%1."/>
      <w:lvlJc w:val="left"/>
      <w:pPr>
        <w:ind w:left="720" w:hanging="360"/>
      </w:pPr>
      <w:rPr>
        <w:rFonts w:ascii="Century Gothic" w:hAnsi="Century Gothic"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4573DB"/>
    <w:multiLevelType w:val="hybridMultilevel"/>
    <w:tmpl w:val="CC185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BF47901"/>
    <w:multiLevelType w:val="hybridMultilevel"/>
    <w:tmpl w:val="5AA84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5CB6615"/>
    <w:multiLevelType w:val="hybridMultilevel"/>
    <w:tmpl w:val="193C531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5D851BF"/>
    <w:multiLevelType w:val="hybridMultilevel"/>
    <w:tmpl w:val="31B8C63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CB41753"/>
    <w:multiLevelType w:val="hybridMultilevel"/>
    <w:tmpl w:val="FC4803D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FB261C7"/>
    <w:multiLevelType w:val="multilevel"/>
    <w:tmpl w:val="CF0C7704"/>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73B7043A"/>
    <w:multiLevelType w:val="multilevel"/>
    <w:tmpl w:val="C52E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23"/>
  </w:num>
  <w:num w:numId="4">
    <w:abstractNumId w:val="13"/>
  </w:num>
  <w:num w:numId="5">
    <w:abstractNumId w:val="11"/>
  </w:num>
  <w:num w:numId="6">
    <w:abstractNumId w:val="8"/>
  </w:num>
  <w:num w:numId="7">
    <w:abstractNumId w:val="4"/>
  </w:num>
  <w:num w:numId="8">
    <w:abstractNumId w:val="17"/>
  </w:num>
  <w:num w:numId="9">
    <w:abstractNumId w:val="10"/>
  </w:num>
  <w:num w:numId="10">
    <w:abstractNumId w:val="18"/>
  </w:num>
  <w:num w:numId="11">
    <w:abstractNumId w:val="5"/>
  </w:num>
  <w:num w:numId="12">
    <w:abstractNumId w:val="3"/>
  </w:num>
  <w:num w:numId="13">
    <w:abstractNumId w:val="2"/>
  </w:num>
  <w:num w:numId="14">
    <w:abstractNumId w:val="6"/>
  </w:num>
  <w:num w:numId="15">
    <w:abstractNumId w:val="15"/>
  </w:num>
  <w:num w:numId="16">
    <w:abstractNumId w:val="0"/>
  </w:num>
  <w:num w:numId="17">
    <w:abstractNumId w:val="12"/>
  </w:num>
  <w:num w:numId="18">
    <w:abstractNumId w:val="14"/>
  </w:num>
  <w:num w:numId="19">
    <w:abstractNumId w:val="7"/>
  </w:num>
  <w:num w:numId="20">
    <w:abstractNumId w:val="19"/>
  </w:num>
  <w:num w:numId="21">
    <w:abstractNumId w:val="21"/>
  </w:num>
  <w:num w:numId="22">
    <w:abstractNumId w:val="20"/>
  </w:num>
  <w:num w:numId="23">
    <w:abstractNumId w:val="9"/>
  </w:num>
  <w:num w:numId="24">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E10"/>
    <w:rsid w:val="00001F16"/>
    <w:rsid w:val="00013ECE"/>
    <w:rsid w:val="00020C31"/>
    <w:rsid w:val="00024A69"/>
    <w:rsid w:val="00053B4B"/>
    <w:rsid w:val="00081689"/>
    <w:rsid w:val="00086ECC"/>
    <w:rsid w:val="000C2D21"/>
    <w:rsid w:val="000D2D94"/>
    <w:rsid w:val="000F4C60"/>
    <w:rsid w:val="000F6DB7"/>
    <w:rsid w:val="0010372D"/>
    <w:rsid w:val="001260B4"/>
    <w:rsid w:val="001536E4"/>
    <w:rsid w:val="001752E0"/>
    <w:rsid w:val="00196CAB"/>
    <w:rsid w:val="001A3F9B"/>
    <w:rsid w:val="001D37EC"/>
    <w:rsid w:val="00217CEF"/>
    <w:rsid w:val="00264BD5"/>
    <w:rsid w:val="00274ADB"/>
    <w:rsid w:val="0028573C"/>
    <w:rsid w:val="00287110"/>
    <w:rsid w:val="00341C51"/>
    <w:rsid w:val="00344972"/>
    <w:rsid w:val="00347D5E"/>
    <w:rsid w:val="003B0710"/>
    <w:rsid w:val="003D5636"/>
    <w:rsid w:val="00460272"/>
    <w:rsid w:val="00484505"/>
    <w:rsid w:val="00492068"/>
    <w:rsid w:val="00500661"/>
    <w:rsid w:val="00503295"/>
    <w:rsid w:val="0052632B"/>
    <w:rsid w:val="00527298"/>
    <w:rsid w:val="005323BA"/>
    <w:rsid w:val="00543BC0"/>
    <w:rsid w:val="00543E3E"/>
    <w:rsid w:val="00565858"/>
    <w:rsid w:val="00574C26"/>
    <w:rsid w:val="0057593D"/>
    <w:rsid w:val="005A41E9"/>
    <w:rsid w:val="00630292"/>
    <w:rsid w:val="00704265"/>
    <w:rsid w:val="00770D06"/>
    <w:rsid w:val="00780BAD"/>
    <w:rsid w:val="00784683"/>
    <w:rsid w:val="007B5CDB"/>
    <w:rsid w:val="007F65EB"/>
    <w:rsid w:val="00801C33"/>
    <w:rsid w:val="00813E4B"/>
    <w:rsid w:val="00847A06"/>
    <w:rsid w:val="008943F5"/>
    <w:rsid w:val="008D315B"/>
    <w:rsid w:val="008F1FE0"/>
    <w:rsid w:val="008F7AD0"/>
    <w:rsid w:val="00906817"/>
    <w:rsid w:val="009148A4"/>
    <w:rsid w:val="00917D9B"/>
    <w:rsid w:val="00975223"/>
    <w:rsid w:val="009C5B74"/>
    <w:rsid w:val="009F1D97"/>
    <w:rsid w:val="00A5390F"/>
    <w:rsid w:val="00A6018A"/>
    <w:rsid w:val="00A60F76"/>
    <w:rsid w:val="00A61D11"/>
    <w:rsid w:val="00A80628"/>
    <w:rsid w:val="00A84D89"/>
    <w:rsid w:val="00AB67C9"/>
    <w:rsid w:val="00AF1A5D"/>
    <w:rsid w:val="00B25292"/>
    <w:rsid w:val="00B37D22"/>
    <w:rsid w:val="00B904A3"/>
    <w:rsid w:val="00BB20E1"/>
    <w:rsid w:val="00C058C7"/>
    <w:rsid w:val="00C27C89"/>
    <w:rsid w:val="00C646B8"/>
    <w:rsid w:val="00CB7DC4"/>
    <w:rsid w:val="00CD513A"/>
    <w:rsid w:val="00CD7D59"/>
    <w:rsid w:val="00D0207E"/>
    <w:rsid w:val="00D176A6"/>
    <w:rsid w:val="00D25C58"/>
    <w:rsid w:val="00D76E10"/>
    <w:rsid w:val="00D8046B"/>
    <w:rsid w:val="00D85A2E"/>
    <w:rsid w:val="00D9670B"/>
    <w:rsid w:val="00DB0D1B"/>
    <w:rsid w:val="00DC76C1"/>
    <w:rsid w:val="00DF0399"/>
    <w:rsid w:val="00E11C18"/>
    <w:rsid w:val="00E511AC"/>
    <w:rsid w:val="00E53CBC"/>
    <w:rsid w:val="00E6511E"/>
    <w:rsid w:val="00EF1FB8"/>
    <w:rsid w:val="00EF65A3"/>
    <w:rsid w:val="00F06CCA"/>
    <w:rsid w:val="00F117E8"/>
    <w:rsid w:val="00F22596"/>
    <w:rsid w:val="00F56F1C"/>
    <w:rsid w:val="00F655B9"/>
    <w:rsid w:val="00FD7C34"/>
    <w:rsid w:val="00FE635A"/>
    <w:rsid w:val="00FE65B0"/>
    <w:rsid w:val="00FE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70142E"/>
  <w15:docId w15:val="{1091E7BD-037D-483D-8970-D6EE88A7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18A"/>
    <w:pPr>
      <w:spacing w:after="0" w:line="240" w:lineRule="auto"/>
      <w:jc w:val="both"/>
    </w:pPr>
    <w:rPr>
      <w:rFonts w:ascii="Century Gothic" w:hAnsi="Century Gothic"/>
    </w:rPr>
  </w:style>
  <w:style w:type="paragraph" w:styleId="Ttulo1">
    <w:name w:val="heading 1"/>
    <w:basedOn w:val="Normal"/>
    <w:next w:val="Normal"/>
    <w:link w:val="Ttulo1C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tulo6">
    <w:name w:val="heading 6"/>
    <w:basedOn w:val="Normal"/>
    <w:next w:val="Normal"/>
    <w:link w:val="Ttulo6Car"/>
    <w:uiPriority w:val="9"/>
    <w:unhideWhenUsed/>
    <w:qFormat/>
    <w:pPr>
      <w:keepNext/>
      <w:keepLines/>
      <w:spacing w:before="4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de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de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de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MX"/>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MX"/>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tulo1Car">
    <w:name w:val="Título 1 Car"/>
    <w:basedOn w:val="Fuentedeprrafopredeter"/>
    <w:link w:val="Ttulo1"/>
    <w:uiPriority w:val="9"/>
    <w:rPr>
      <w:rFonts w:ascii="Arial" w:eastAsia="Arial" w:hAnsi="Arial" w:cs="Arial"/>
      <w:color w:val="2E74B5" w:themeColor="accent1" w:themeShade="BF"/>
      <w:sz w:val="40"/>
      <w:szCs w:val="40"/>
    </w:rPr>
  </w:style>
  <w:style w:type="character" w:customStyle="1" w:styleId="Ttulo2Car">
    <w:name w:val="Título 2 Car"/>
    <w:basedOn w:val="Fuentedeprrafopredeter"/>
    <w:link w:val="Ttulo2"/>
    <w:uiPriority w:val="9"/>
    <w:rPr>
      <w:rFonts w:ascii="Arial" w:eastAsia="Arial" w:hAnsi="Arial" w:cs="Arial"/>
      <w:color w:val="2E74B5"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E74B5"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E74B5" w:themeColor="accent1" w:themeShade="BF"/>
    </w:rPr>
  </w:style>
  <w:style w:type="character" w:customStyle="1" w:styleId="Ttulo5Car">
    <w:name w:val="Título 5 Car"/>
    <w:basedOn w:val="Fuentedeprrafopredeter"/>
    <w:link w:val="Ttulo5"/>
    <w:uiPriority w:val="9"/>
    <w:rPr>
      <w:rFonts w:ascii="Arial" w:eastAsia="Arial" w:hAnsi="Arial" w:cs="Arial"/>
      <w:color w:val="2E74B5"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paragraph" w:styleId="Ttulo">
    <w:name w:val="Title"/>
    <w:basedOn w:val="Normal"/>
    <w:next w:val="Normal"/>
    <w:link w:val="TtuloCar"/>
    <w:uiPriority w:val="10"/>
    <w:qFormat/>
    <w:pPr>
      <w:spacing w:after="80"/>
      <w:contextualSpacing/>
    </w:pPr>
    <w:rPr>
      <w:rFonts w:ascii="Arial" w:eastAsia="Arial" w:hAnsi="Arial" w:cs="Arial"/>
      <w:spacing w:val="-10"/>
      <w:sz w:val="56"/>
      <w:szCs w:val="56"/>
    </w:rPr>
  </w:style>
  <w:style w:type="character" w:customStyle="1" w:styleId="TtuloCar">
    <w:name w:val="Título Car"/>
    <w:basedOn w:val="Fuentedeprrafopredeter"/>
    <w:link w:val="Ttulo"/>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uiPriority w:val="21"/>
    <w:qFormat/>
    <w:rPr>
      <w:i/>
      <w:iCs/>
      <w:color w:val="2E74B5" w:themeColor="accent1" w:themeShade="BF"/>
    </w:rPr>
  </w:style>
  <w:style w:type="paragraph" w:styleId="Citadestacada">
    <w:name w:val="Intense Quote"/>
    <w:basedOn w:val="Normal"/>
    <w:next w:val="Normal"/>
    <w:link w:val="Citadestacada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Pr>
      <w:i/>
      <w:iCs/>
      <w:color w:val="2E74B5" w:themeColor="accent1" w:themeShade="BF"/>
    </w:rPr>
  </w:style>
  <w:style w:type="character" w:styleId="Referenciaintensa">
    <w:name w:val="Intense Reference"/>
    <w:basedOn w:val="Fuentedeprrafopredeter"/>
    <w:uiPriority w:val="32"/>
    <w:qFormat/>
    <w:rPr>
      <w:b/>
      <w:bCs/>
      <w:smallCaps/>
      <w:color w:val="2E74B5" w:themeColor="accent1" w:themeShade="BF"/>
      <w:spacing w:val="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after="200"/>
    </w:pPr>
    <w:rPr>
      <w:i/>
      <w:iCs/>
      <w:color w:val="44546A" w:themeColor="text2"/>
      <w:szCs w:val="18"/>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paragraph" w:styleId="TDC4">
    <w:name w:val="toc 4"/>
    <w:basedOn w:val="Normal"/>
    <w:next w:val="Normal"/>
    <w:uiPriority w:val="39"/>
    <w:unhideWhenUsed/>
    <w:pPr>
      <w:spacing w:after="100"/>
      <w:ind w:left="660"/>
    </w:pPr>
  </w:style>
  <w:style w:type="paragraph" w:styleId="TDC5">
    <w:name w:val="toc 5"/>
    <w:basedOn w:val="Normal"/>
    <w:next w:val="Normal"/>
    <w:uiPriority w:val="39"/>
    <w:unhideWhenUsed/>
    <w:pPr>
      <w:spacing w:after="100"/>
      <w:ind w:left="880"/>
    </w:pPr>
  </w:style>
  <w:style w:type="paragraph" w:styleId="TDC6">
    <w:name w:val="toc 6"/>
    <w:basedOn w:val="Normal"/>
    <w:next w:val="Normal"/>
    <w:uiPriority w:val="39"/>
    <w:unhideWhenUsed/>
    <w:pPr>
      <w:spacing w:after="100"/>
      <w:ind w:left="1100"/>
    </w:pPr>
  </w:style>
  <w:style w:type="paragraph" w:styleId="TDC7">
    <w:name w:val="toc 7"/>
    <w:basedOn w:val="Normal"/>
    <w:next w:val="Normal"/>
    <w:uiPriority w:val="39"/>
    <w:unhideWhenUsed/>
    <w:pPr>
      <w:spacing w:after="100"/>
      <w:ind w:left="1320"/>
    </w:pPr>
  </w:style>
  <w:style w:type="paragraph" w:styleId="TDC8">
    <w:name w:val="toc 8"/>
    <w:basedOn w:val="Normal"/>
    <w:next w:val="Normal"/>
    <w:uiPriority w:val="39"/>
    <w:unhideWhenUsed/>
    <w:pPr>
      <w:spacing w:after="100"/>
      <w:ind w:left="1540"/>
    </w:pPr>
  </w:style>
  <w:style w:type="paragraph" w:styleId="TDC9">
    <w:name w:val="toc 9"/>
    <w:basedOn w:val="Normal"/>
    <w:next w:val="Normal"/>
    <w:uiPriority w:val="39"/>
    <w:unhideWhenUsed/>
    <w:pPr>
      <w:spacing w:after="100"/>
      <w:ind w:left="1760"/>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table" w:customStyle="1" w:styleId="TableNormal">
    <w:name w:val="Table Normal"/>
    <w:uiPriority w:val="2"/>
    <w:semiHidden/>
    <w:unhideWhenUsed/>
    <w:qFormat/>
    <w:pPr>
      <w:widowControl w:val="0"/>
      <w:spacing w:after="0" w:line="240" w:lineRule="auto"/>
    </w:pPr>
    <w:rPr>
      <w:sz w:val="20"/>
      <w:szCs w:val="20"/>
      <w:lang w:val="en-US" w:eastAsia="es-MX"/>
    </w:rPr>
    <w:tblPr>
      <w:tblInd w:w="0" w:type="dxa"/>
      <w:tblCellMar>
        <w:top w:w="0" w:type="dxa"/>
        <w:left w:w="0" w:type="dxa"/>
        <w:bottom w:w="0" w:type="dxa"/>
        <w:right w:w="0" w:type="dxa"/>
      </w:tblCellMar>
    </w:tblPr>
  </w:style>
  <w:style w:type="paragraph" w:styleId="Sinespaciado">
    <w:name w:val="No Spacing"/>
    <w:uiPriority w:val="1"/>
    <w:qFormat/>
    <w:pPr>
      <w:spacing w:after="0" w:line="240" w:lineRule="auto"/>
      <w:jc w:val="both"/>
    </w:pPr>
    <w:rPr>
      <w:rFonts w:ascii="Century Gothic" w:hAnsi="Century Gothic"/>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pPr>
      <w:widowControl w:val="0"/>
      <w:jc w:val="left"/>
    </w:pPr>
    <w:rPr>
      <w:rFonts w:ascii="Verdana" w:eastAsia="Verdana" w:hAnsi="Verdana" w:cs="Verdana"/>
      <w:b/>
      <w:lang w:val="es-ES"/>
    </w:rPr>
  </w:style>
  <w:style w:type="table" w:customStyle="1" w:styleId="Tablaconcuadrcula1">
    <w:name w:val="Tabla con cuadrícula1"/>
    <w:basedOn w:val="Tablanormal"/>
    <w:next w:val="Tablaconcuadrcula"/>
    <w:uiPriority w:val="39"/>
    <w:pPr>
      <w:widowControl w:val="0"/>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Gen5">
    <w:name w:val="StGen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08" w:type="dxa"/>
        <w:bottom w:w="0" w:type="dxa"/>
        <w:right w:w="108" w:type="dxa"/>
      </w:tblCellMar>
    </w:tblPr>
    <w:tcPr>
      <w:tcW w:w="0" w:type="auto"/>
    </w:tcPr>
  </w:style>
  <w:style w:type="table" w:customStyle="1" w:styleId="9">
    <w:name w:val="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000000"/>
      <w:sz w:val="24"/>
      <w:szCs w:val="24"/>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15" w:type="dxa"/>
        <w:bottom w:w="0" w:type="dxa"/>
        <w:right w:w="115" w:type="dxa"/>
      </w:tblCellMar>
    </w:tblPr>
    <w:tcPr>
      <w:tcW w:w="0" w:type="auto"/>
      <w:shd w:val="clear" w:color="auto" w:fill="E8E8E8"/>
    </w:tc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paragraph" w:customStyle="1" w:styleId="Ttulo21">
    <w:name w:val="Título 21"/>
    <w:qFormat/>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1"/>
    </w:pPr>
    <w:rPr>
      <w:rFonts w:ascii="Times New Roman" w:eastAsia="Times New Roman" w:hAnsi="Times New Roman" w:cs="Times New Roman"/>
      <w:b/>
      <w:bCs/>
      <w:color w:val="008000"/>
      <w:sz w:val="18"/>
      <w:szCs w:val="24"/>
      <w:vertAlign w:val="superscript"/>
      <w:lang w:val="es-ES" w:eastAsia="es-ES"/>
    </w:rPr>
  </w:style>
  <w:style w:type="paragraph" w:customStyle="1" w:styleId="Ttulo31">
    <w:name w:val="Título 31"/>
    <w:qFormat/>
    <w:rsid w:val="00A6018A"/>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2"/>
    </w:pPr>
    <w:rPr>
      <w:rFonts w:ascii="Century Gothic" w:eastAsia="Times New Roman" w:hAnsi="Century Gothic" w:cs="Times New Roman"/>
      <w:b/>
      <w:bCs/>
      <w:color w:val="000000"/>
      <w:szCs w:val="24"/>
      <w:lang w:val="es-ES" w:eastAsia="es-ES"/>
    </w:rPr>
  </w:style>
  <w:style w:type="paragraph" w:styleId="Textoindependiente">
    <w:name w:val="Body Text"/>
    <w:basedOn w:val="Normal"/>
    <w:link w:val="TextoindependienteCar"/>
    <w:uiPriority w:val="1"/>
    <w:unhideWhenUsed/>
    <w:qFormat/>
    <w:rsid w:val="0028573C"/>
    <w:pPr>
      <w:widowControl w:val="0"/>
      <w:jc w:val="left"/>
    </w:pPr>
    <w:rPr>
      <w:rFonts w:ascii="Calibri" w:eastAsia="Calibri" w:hAnsi="Calibri" w:cs="Times New Roman"/>
      <w:b/>
      <w:sz w:val="21"/>
      <w:szCs w:val="21"/>
      <w:lang w:val="en-US"/>
    </w:rPr>
  </w:style>
  <w:style w:type="character" w:customStyle="1" w:styleId="TextoindependienteCar">
    <w:name w:val="Texto independiente Car"/>
    <w:basedOn w:val="Fuentedeprrafopredeter"/>
    <w:link w:val="Textoindependiente"/>
    <w:uiPriority w:val="1"/>
    <w:rsid w:val="0028573C"/>
    <w:rPr>
      <w:rFonts w:ascii="Calibri" w:eastAsia="Calibri" w:hAnsi="Calibri" w:cs="Times New Roman"/>
      <w:sz w:val="21"/>
      <w:szCs w:val="21"/>
      <w:lang w:val="en-US"/>
    </w:rPr>
  </w:style>
  <w:style w:type="paragraph" w:styleId="NormalWeb">
    <w:name w:val="Normal (Web)"/>
    <w:basedOn w:val="Normal"/>
    <w:uiPriority w:val="99"/>
    <w:unhideWhenUsed/>
    <w:rsid w:val="0028573C"/>
    <w:pPr>
      <w:spacing w:before="100" w:beforeAutospacing="1" w:after="100" w:afterAutospacing="1"/>
      <w:jc w:val="left"/>
    </w:pPr>
    <w:rPr>
      <w:rFonts w:ascii="Times New Roman" w:eastAsia="Times New Roman" w:hAnsi="Times New Roman" w:cs="Times New Roman"/>
      <w:b/>
      <w:sz w:val="24"/>
      <w:szCs w:val="24"/>
      <w:lang w:eastAsia="es-MX"/>
    </w:rPr>
  </w:style>
  <w:style w:type="character" w:customStyle="1" w:styleId="fadeinm1hgl8">
    <w:name w:val="_fadein_m1hgl_8"/>
    <w:rsid w:val="0028573C"/>
  </w:style>
  <w:style w:type="table" w:customStyle="1" w:styleId="Tablaconcuadrcula2">
    <w:name w:val="Tabla con cuadrícula2"/>
    <w:basedOn w:val="Tablanormal"/>
    <w:next w:val="Tablaconcuadrcula"/>
    <w:uiPriority w:val="59"/>
    <w:rsid w:val="00A61D1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F1FE0"/>
    <w:rPr>
      <w:sz w:val="16"/>
      <w:szCs w:val="16"/>
    </w:rPr>
  </w:style>
  <w:style w:type="paragraph" w:styleId="Textocomentario">
    <w:name w:val="annotation text"/>
    <w:basedOn w:val="Normal"/>
    <w:link w:val="TextocomentarioCar"/>
    <w:uiPriority w:val="99"/>
    <w:semiHidden/>
    <w:unhideWhenUsed/>
    <w:rsid w:val="008F1FE0"/>
    <w:rPr>
      <w:sz w:val="20"/>
      <w:szCs w:val="20"/>
    </w:rPr>
  </w:style>
  <w:style w:type="character" w:customStyle="1" w:styleId="TextocomentarioCar">
    <w:name w:val="Texto comentario Car"/>
    <w:basedOn w:val="Fuentedeprrafopredeter"/>
    <w:link w:val="Textocomentario"/>
    <w:uiPriority w:val="99"/>
    <w:semiHidden/>
    <w:rsid w:val="008F1FE0"/>
    <w:rPr>
      <w:rFonts w:ascii="Century Gothic" w:hAnsi="Century Gothic"/>
      <w:b/>
      <w:sz w:val="20"/>
      <w:szCs w:val="20"/>
    </w:rPr>
  </w:style>
  <w:style w:type="paragraph" w:styleId="Asuntodelcomentario">
    <w:name w:val="annotation subject"/>
    <w:basedOn w:val="Textocomentario"/>
    <w:next w:val="Textocomentario"/>
    <w:link w:val="AsuntodelcomentarioCar"/>
    <w:uiPriority w:val="99"/>
    <w:semiHidden/>
    <w:unhideWhenUsed/>
    <w:rsid w:val="008F1FE0"/>
    <w:rPr>
      <w:bCs/>
    </w:rPr>
  </w:style>
  <w:style w:type="character" w:customStyle="1" w:styleId="AsuntodelcomentarioCar">
    <w:name w:val="Asunto del comentario Car"/>
    <w:basedOn w:val="TextocomentarioCar"/>
    <w:link w:val="Asuntodelcomentario"/>
    <w:uiPriority w:val="99"/>
    <w:semiHidden/>
    <w:rsid w:val="008F1FE0"/>
    <w:rPr>
      <w:rFonts w:ascii="Century Gothic" w:hAnsi="Century Gothic"/>
      <w:b/>
      <w:bCs/>
      <w:sz w:val="20"/>
      <w:szCs w:val="20"/>
    </w:rPr>
  </w:style>
  <w:style w:type="paragraph" w:styleId="Textodeglobo">
    <w:name w:val="Balloon Text"/>
    <w:basedOn w:val="Normal"/>
    <w:link w:val="TextodegloboCar"/>
    <w:uiPriority w:val="99"/>
    <w:semiHidden/>
    <w:unhideWhenUsed/>
    <w:rsid w:val="008F1FE0"/>
    <w:rPr>
      <w:rFonts w:ascii="Segoe UI" w:hAnsi="Segoe UI" w:cs="Segoe UI"/>
      <w:szCs w:val="18"/>
    </w:rPr>
  </w:style>
  <w:style w:type="character" w:customStyle="1" w:styleId="TextodegloboCar">
    <w:name w:val="Texto de globo Car"/>
    <w:basedOn w:val="Fuentedeprrafopredeter"/>
    <w:link w:val="Textodeglobo"/>
    <w:uiPriority w:val="99"/>
    <w:semiHidden/>
    <w:rsid w:val="008F1FE0"/>
    <w:rPr>
      <w:rFonts w:ascii="Segoe UI" w:hAnsi="Segoe UI" w:cs="Segoe UI"/>
      <w:b/>
      <w:sz w:val="18"/>
      <w:szCs w:val="18"/>
    </w:rPr>
  </w:style>
  <w:style w:type="character" w:styleId="Textodelmarcadordeposicin">
    <w:name w:val="Placeholder Text"/>
    <w:basedOn w:val="Fuentedeprrafopredeter"/>
    <w:uiPriority w:val="99"/>
    <w:semiHidden/>
    <w:rsid w:val="00847A06"/>
    <w:rPr>
      <w:color w:val="808080"/>
    </w:rPr>
  </w:style>
  <w:style w:type="table" w:customStyle="1" w:styleId="Tablaconcuadrcula3">
    <w:name w:val="Tabla con cuadrícula3"/>
    <w:basedOn w:val="Tablanormal"/>
    <w:next w:val="Tablaconcuadrcula"/>
    <w:uiPriority w:val="39"/>
    <w:rsid w:val="001752E0"/>
    <w:pPr>
      <w:spacing w:after="0" w:line="240" w:lineRule="auto"/>
    </w:pPr>
    <w:rPr>
      <w:rFonts w:ascii="Calibri" w:eastAsia="Calibri" w:hAnsi="Calibri" w:cs="Calibri"/>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51">
    <w:name w:val="Tabla de cuadrícula 4 - Énfasis 51"/>
    <w:basedOn w:val="Tablanormal"/>
    <w:next w:val="Tabladecuadrcula4-nfasis5"/>
    <w:uiPriority w:val="49"/>
    <w:rsid w:val="003B0710"/>
    <w:pPr>
      <w:spacing w:after="0" w:line="240" w:lineRule="auto"/>
      <w:jc w:val="both"/>
    </w:pPr>
    <w:rPr>
      <w:rFonts w:ascii="Century Gothic" w:eastAsia="Century Gothic" w:hAnsi="Century Gothic" w:cs="Century Gothic"/>
      <w:lang w:eastAsia="es-MX"/>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nfasis5">
    <w:name w:val="Grid Table 4 Accent 5"/>
    <w:basedOn w:val="Tablanormal"/>
    <w:uiPriority w:val="49"/>
    <w:rsid w:val="003B07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396354">
      <w:bodyDiv w:val="1"/>
      <w:marLeft w:val="0"/>
      <w:marRight w:val="0"/>
      <w:marTop w:val="0"/>
      <w:marBottom w:val="0"/>
      <w:divBdr>
        <w:top w:val="none" w:sz="0" w:space="0" w:color="auto"/>
        <w:left w:val="none" w:sz="0" w:space="0" w:color="auto"/>
        <w:bottom w:val="none" w:sz="0" w:space="0" w:color="auto"/>
        <w:right w:val="none" w:sz="0" w:space="0" w:color="auto"/>
      </w:divBdr>
    </w:div>
    <w:div w:id="1178885929">
      <w:bodyDiv w:val="1"/>
      <w:marLeft w:val="0"/>
      <w:marRight w:val="0"/>
      <w:marTop w:val="0"/>
      <w:marBottom w:val="0"/>
      <w:divBdr>
        <w:top w:val="none" w:sz="0" w:space="0" w:color="auto"/>
        <w:left w:val="none" w:sz="0" w:space="0" w:color="auto"/>
        <w:bottom w:val="none" w:sz="0" w:space="0" w:color="auto"/>
        <w:right w:val="none" w:sz="0" w:space="0" w:color="auto"/>
      </w:divBdr>
    </w:div>
    <w:div w:id="1263299348">
      <w:bodyDiv w:val="1"/>
      <w:marLeft w:val="0"/>
      <w:marRight w:val="0"/>
      <w:marTop w:val="0"/>
      <w:marBottom w:val="0"/>
      <w:divBdr>
        <w:top w:val="none" w:sz="0" w:space="0" w:color="auto"/>
        <w:left w:val="none" w:sz="0" w:space="0" w:color="auto"/>
        <w:bottom w:val="none" w:sz="0" w:space="0" w:color="auto"/>
        <w:right w:val="none" w:sz="0" w:space="0" w:color="auto"/>
      </w:divBdr>
    </w:div>
    <w:div w:id="1433433064">
      <w:bodyDiv w:val="1"/>
      <w:marLeft w:val="0"/>
      <w:marRight w:val="0"/>
      <w:marTop w:val="0"/>
      <w:marBottom w:val="0"/>
      <w:divBdr>
        <w:top w:val="none" w:sz="0" w:space="0" w:color="auto"/>
        <w:left w:val="none" w:sz="0" w:space="0" w:color="auto"/>
        <w:bottom w:val="none" w:sz="0" w:space="0" w:color="auto"/>
        <w:right w:val="none" w:sz="0" w:space="0" w:color="auto"/>
      </w:divBdr>
    </w:div>
    <w:div w:id="18797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2E1FB-3993-411D-BF29-F4B3EEB1D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2616</Words>
  <Characters>14389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2</cp:revision>
  <dcterms:created xsi:type="dcterms:W3CDTF">2025-07-28T15:49:00Z</dcterms:created>
  <dcterms:modified xsi:type="dcterms:W3CDTF">2025-07-28T15:49:00Z</dcterms:modified>
</cp:coreProperties>
</file>