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928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552"/>
        <w:gridCol w:w="2409"/>
        <w:gridCol w:w="2557"/>
      </w:tblGrid>
      <w:tr w:rsidR="00FD0A0A" w:rsidRPr="00FE635A" w14:paraId="6420BAFE" w14:textId="77777777" w:rsidTr="00FD0A0A">
        <w:trPr>
          <w:trHeight w:val="776"/>
        </w:trPr>
        <w:tc>
          <w:tcPr>
            <w:tcW w:w="2405" w:type="dxa"/>
            <w:tcBorders>
              <w:bottom w:val="nil"/>
            </w:tcBorders>
          </w:tcPr>
          <w:p w14:paraId="455B59C9" w14:textId="77777777" w:rsidR="00FD0A0A" w:rsidRPr="00FE635A" w:rsidRDefault="00FD0A0A" w:rsidP="00FD0A0A">
            <w:pPr>
              <w:jc w:val="left"/>
              <w:rPr>
                <w:sz w:val="20"/>
                <w:szCs w:val="20"/>
              </w:rPr>
            </w:pPr>
          </w:p>
          <w:p w14:paraId="5C9048FD" w14:textId="77777777" w:rsidR="00FD0A0A" w:rsidRPr="00FE635A" w:rsidRDefault="00FD0A0A" w:rsidP="00FD0A0A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BE6F30C" wp14:editId="5606D70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160655</wp:posOffset>
                  </wp:positionV>
                  <wp:extent cx="1390015" cy="561975"/>
                  <wp:effectExtent l="0" t="0" r="635" b="952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01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FE635A">
              <w:rPr>
                <w:sz w:val="20"/>
                <w:szCs w:val="20"/>
              </w:rPr>
              <w:t xml:space="preserve"> Elaboración:</w:t>
            </w:r>
          </w:p>
          <w:p w14:paraId="264CEB00" w14:textId="77777777" w:rsidR="00FD0A0A" w:rsidRPr="00FE635A" w:rsidRDefault="00FD0A0A" w:rsidP="00FD0A0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nil"/>
            </w:tcBorders>
          </w:tcPr>
          <w:p w14:paraId="6FE037B6" w14:textId="77777777" w:rsidR="00FD0A0A" w:rsidRPr="00FE635A" w:rsidRDefault="00FD0A0A" w:rsidP="00FD0A0A">
            <w:pPr>
              <w:jc w:val="left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 xml:space="preserve"> Revisión </w:t>
            </w:r>
          </w:p>
          <w:p w14:paraId="07C643B9" w14:textId="77777777" w:rsidR="00FD0A0A" w:rsidRPr="00FE635A" w:rsidRDefault="00FD0A0A" w:rsidP="00FD0A0A">
            <w:pPr>
              <w:jc w:val="left"/>
              <w:rPr>
                <w:sz w:val="20"/>
                <w:szCs w:val="20"/>
              </w:rPr>
            </w:pPr>
            <w:r w:rsidRPr="00FE635A"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F73B57A" wp14:editId="75060147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119380</wp:posOffset>
                  </wp:positionV>
                  <wp:extent cx="1532121" cy="583894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121" cy="58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635A">
              <w:rPr>
                <w:sz w:val="20"/>
                <w:szCs w:val="20"/>
              </w:rPr>
              <w:t xml:space="preserve"> Técnico/Científica:</w:t>
            </w:r>
          </w:p>
          <w:p w14:paraId="5C20B465" w14:textId="77777777" w:rsidR="00FD0A0A" w:rsidRPr="00FE635A" w:rsidRDefault="00FD0A0A" w:rsidP="00FD0A0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6DB57CA0" w14:textId="77777777" w:rsidR="00FD0A0A" w:rsidRPr="00FE635A" w:rsidRDefault="00FD0A0A" w:rsidP="00FD0A0A">
            <w:pPr>
              <w:jc w:val="left"/>
              <w:rPr>
                <w:sz w:val="20"/>
                <w:szCs w:val="20"/>
              </w:rPr>
            </w:pPr>
          </w:p>
          <w:p w14:paraId="667B0294" w14:textId="77777777" w:rsidR="00FD0A0A" w:rsidRPr="00FE635A" w:rsidRDefault="00FD0A0A" w:rsidP="00FD0A0A">
            <w:pPr>
              <w:jc w:val="left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 xml:space="preserve"> Revisión Calidad:</w:t>
            </w:r>
          </w:p>
        </w:tc>
        <w:tc>
          <w:tcPr>
            <w:tcW w:w="2557" w:type="dxa"/>
            <w:tcBorders>
              <w:bottom w:val="nil"/>
            </w:tcBorders>
          </w:tcPr>
          <w:p w14:paraId="181EDCBB" w14:textId="77777777" w:rsidR="00FD0A0A" w:rsidRPr="00FE635A" w:rsidRDefault="00FD0A0A" w:rsidP="00FD0A0A">
            <w:pPr>
              <w:jc w:val="left"/>
              <w:rPr>
                <w:sz w:val="20"/>
                <w:szCs w:val="20"/>
              </w:rPr>
            </w:pPr>
          </w:p>
          <w:p w14:paraId="7306BA29" w14:textId="77777777" w:rsidR="00FD0A0A" w:rsidRPr="00FE635A" w:rsidRDefault="00FD0A0A" w:rsidP="00FD0A0A">
            <w:pPr>
              <w:jc w:val="left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 xml:space="preserve">  Aprobación:</w:t>
            </w:r>
          </w:p>
        </w:tc>
      </w:tr>
      <w:tr w:rsidR="00FD0A0A" w:rsidRPr="00FE635A" w14:paraId="6C44F138" w14:textId="77777777" w:rsidTr="00FD0A0A">
        <w:tblPrEx>
          <w:tblCellMar>
            <w:left w:w="70" w:type="dxa"/>
            <w:right w:w="70" w:type="dxa"/>
          </w:tblCellMar>
        </w:tblPrEx>
        <w:trPr>
          <w:trHeight w:val="999"/>
        </w:trPr>
        <w:tc>
          <w:tcPr>
            <w:tcW w:w="2405" w:type="dxa"/>
            <w:tcBorders>
              <w:top w:val="nil"/>
            </w:tcBorders>
          </w:tcPr>
          <w:p w14:paraId="56B2851A" w14:textId="77777777" w:rsidR="00FD0A0A" w:rsidRPr="00FE635A" w:rsidRDefault="00FD0A0A" w:rsidP="00FD0A0A">
            <w:pPr>
              <w:tabs>
                <w:tab w:val="left" w:pos="538"/>
              </w:tabs>
              <w:rPr>
                <w:noProof/>
                <w:sz w:val="20"/>
                <w:szCs w:val="20"/>
                <w:lang w:eastAsia="es-MX"/>
              </w:rPr>
            </w:pPr>
          </w:p>
          <w:p w14:paraId="19A926B1" w14:textId="77777777" w:rsidR="00FD0A0A" w:rsidRPr="00FE635A" w:rsidRDefault="00FD0A0A" w:rsidP="00FD0A0A">
            <w:pPr>
              <w:tabs>
                <w:tab w:val="left" w:pos="538"/>
              </w:tabs>
              <w:rPr>
                <w:sz w:val="20"/>
                <w:szCs w:val="20"/>
              </w:rPr>
            </w:pPr>
          </w:p>
          <w:p w14:paraId="093E0B87" w14:textId="77777777" w:rsidR="00FD0A0A" w:rsidRDefault="00FD0A0A" w:rsidP="00FD0A0A">
            <w:pPr>
              <w:jc w:val="center"/>
              <w:rPr>
                <w:b/>
                <w:sz w:val="20"/>
                <w:szCs w:val="20"/>
              </w:rPr>
            </w:pPr>
            <w:r w:rsidRPr="00180A23">
              <w:rPr>
                <w:b/>
                <w:sz w:val="20"/>
                <w:szCs w:val="20"/>
              </w:rPr>
              <w:t>ERIK HANS LEON PATIÑO</w:t>
            </w:r>
          </w:p>
          <w:p w14:paraId="2C4CE880" w14:textId="77777777" w:rsidR="00FD0A0A" w:rsidRPr="00FE635A" w:rsidRDefault="00FD0A0A" w:rsidP="00FD0A0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Coordinador médico</w:t>
            </w:r>
            <w:r w:rsidRPr="00180A23">
              <w:rPr>
                <w:sz w:val="20"/>
                <w:szCs w:val="20"/>
              </w:rPr>
              <w:t xml:space="preserve"> UCI</w:t>
            </w:r>
          </w:p>
        </w:tc>
        <w:tc>
          <w:tcPr>
            <w:tcW w:w="2552" w:type="dxa"/>
            <w:tcBorders>
              <w:top w:val="nil"/>
            </w:tcBorders>
          </w:tcPr>
          <w:p w14:paraId="1D8041A8" w14:textId="77777777" w:rsidR="00FD0A0A" w:rsidRPr="00FE635A" w:rsidRDefault="00FD0A0A" w:rsidP="00FD0A0A">
            <w:pPr>
              <w:rPr>
                <w:sz w:val="20"/>
                <w:szCs w:val="20"/>
              </w:rPr>
            </w:pPr>
          </w:p>
          <w:p w14:paraId="5C6384A0" w14:textId="77777777" w:rsidR="00FD0A0A" w:rsidRPr="00FE635A" w:rsidRDefault="00FD0A0A" w:rsidP="00FD0A0A">
            <w:pPr>
              <w:jc w:val="center"/>
              <w:rPr>
                <w:sz w:val="20"/>
                <w:szCs w:val="20"/>
              </w:rPr>
            </w:pPr>
          </w:p>
          <w:p w14:paraId="70E3C99C" w14:textId="77777777" w:rsidR="00FD0A0A" w:rsidRPr="00FE635A" w:rsidRDefault="00FD0A0A" w:rsidP="00FD0A0A">
            <w:pPr>
              <w:jc w:val="center"/>
              <w:rPr>
                <w:b/>
                <w:sz w:val="20"/>
                <w:szCs w:val="20"/>
              </w:rPr>
            </w:pPr>
            <w:r w:rsidRPr="00FE635A">
              <w:rPr>
                <w:b/>
                <w:sz w:val="20"/>
                <w:szCs w:val="20"/>
              </w:rPr>
              <w:t>SANDRA FIGUEROA</w:t>
            </w:r>
            <w:r>
              <w:rPr>
                <w:b/>
                <w:sz w:val="20"/>
                <w:szCs w:val="20"/>
              </w:rPr>
              <w:t xml:space="preserve"> MARTÍNEZ</w:t>
            </w:r>
          </w:p>
          <w:p w14:paraId="6DBA5D8E" w14:textId="77777777" w:rsidR="00FD0A0A" w:rsidRPr="00FE635A" w:rsidRDefault="00FD0A0A" w:rsidP="00FD0A0A">
            <w:pPr>
              <w:jc w:val="center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>Coordina</w:t>
            </w:r>
            <w:r>
              <w:rPr>
                <w:sz w:val="20"/>
                <w:szCs w:val="20"/>
              </w:rPr>
              <w:t xml:space="preserve">dora </w:t>
            </w:r>
            <w:r w:rsidRPr="00FE635A">
              <w:rPr>
                <w:sz w:val="20"/>
                <w:szCs w:val="20"/>
              </w:rPr>
              <w:t>de Calidad y servicios de apoyo</w:t>
            </w:r>
          </w:p>
        </w:tc>
        <w:tc>
          <w:tcPr>
            <w:tcW w:w="2409" w:type="dxa"/>
            <w:tcBorders>
              <w:top w:val="nil"/>
            </w:tcBorders>
          </w:tcPr>
          <w:p w14:paraId="21A40267" w14:textId="77777777" w:rsidR="00FD0A0A" w:rsidRPr="00FE635A" w:rsidRDefault="00FD0A0A" w:rsidP="00FD0A0A">
            <w:pPr>
              <w:jc w:val="center"/>
              <w:rPr>
                <w:sz w:val="20"/>
                <w:szCs w:val="20"/>
              </w:rPr>
            </w:pPr>
          </w:p>
          <w:p w14:paraId="2BFCFFF6" w14:textId="77777777" w:rsidR="00FD0A0A" w:rsidRPr="00FE635A" w:rsidRDefault="00FD0A0A" w:rsidP="00FD0A0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CRISTIAN JIMÉNEZ QUINTERO</w:t>
            </w:r>
          </w:p>
          <w:p w14:paraId="23F45257" w14:textId="77777777" w:rsidR="00FD0A0A" w:rsidRPr="00FE635A" w:rsidRDefault="00FD0A0A" w:rsidP="00FD0A0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Profesional de Calidad y Riesgos</w:t>
            </w:r>
          </w:p>
        </w:tc>
        <w:tc>
          <w:tcPr>
            <w:tcW w:w="2557" w:type="dxa"/>
            <w:tcBorders>
              <w:top w:val="nil"/>
            </w:tcBorders>
          </w:tcPr>
          <w:p w14:paraId="6F07A281" w14:textId="77777777" w:rsidR="00FD0A0A" w:rsidRPr="00FE635A" w:rsidRDefault="00FD0A0A" w:rsidP="00FD0A0A">
            <w:pPr>
              <w:jc w:val="center"/>
              <w:rPr>
                <w:sz w:val="20"/>
                <w:szCs w:val="20"/>
              </w:rPr>
            </w:pPr>
          </w:p>
          <w:p w14:paraId="12F212F8" w14:textId="77777777" w:rsidR="00FD0A0A" w:rsidRPr="00FE635A" w:rsidRDefault="00FD0A0A" w:rsidP="00FD0A0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MAURICIO ENRÍQUEZ VELÁSQUEZ</w:t>
            </w:r>
          </w:p>
          <w:p w14:paraId="6BCE8158" w14:textId="77777777" w:rsidR="00FD0A0A" w:rsidRPr="00FE635A" w:rsidRDefault="00FD0A0A" w:rsidP="00FD0A0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Ejecutivo</w:t>
            </w:r>
          </w:p>
        </w:tc>
      </w:tr>
    </w:tbl>
    <w:p w14:paraId="433EA138" w14:textId="77777777" w:rsidR="00217CEF" w:rsidRDefault="00217CEF" w:rsidP="0028573C"/>
    <w:p w14:paraId="3BAE9ACC" w14:textId="02BA96F2" w:rsidR="00FD7C34" w:rsidRDefault="00FD7C34" w:rsidP="00FE635A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4B3D62BB" w14:textId="77777777" w:rsidR="00FD7C34" w:rsidRDefault="00FD7C34">
      <w:pPr>
        <w:spacing w:after="160" w:line="259" w:lineRule="auto"/>
        <w:jc w:val="left"/>
        <w:rPr>
          <w:rFonts w:eastAsia="Verdana" w:cs="Verdana"/>
          <w:lang w:val="es-ES"/>
        </w:rPr>
      </w:pPr>
      <w:r>
        <w:rPr>
          <w:rFonts w:eastAsia="Verdana" w:cs="Verdana"/>
          <w:lang w:val="es-ES"/>
        </w:rPr>
        <w:br w:type="page"/>
      </w:r>
    </w:p>
    <w:p w14:paraId="52A2FE96" w14:textId="2AFDBAA7" w:rsidR="00617B5C" w:rsidRPr="00617B5C" w:rsidRDefault="00617B5C" w:rsidP="00617B5C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  <w:bCs/>
          <w:lang w:val="es-ES"/>
        </w:rPr>
      </w:pPr>
      <w:r w:rsidRPr="00617B5C">
        <w:rPr>
          <w:rFonts w:eastAsia="Verdana" w:cs="Verdana"/>
          <w:b/>
          <w:bCs/>
          <w:lang w:val="es-ES"/>
        </w:rPr>
        <w:lastRenderedPageBreak/>
        <w:t xml:space="preserve">OBJETIVO </w:t>
      </w:r>
    </w:p>
    <w:p w14:paraId="70163D9F" w14:textId="0FCC8B60" w:rsidR="00617B5C" w:rsidRDefault="00D13F7A" w:rsidP="00617B5C">
      <w:pPr>
        <w:widowControl w:val="0"/>
        <w:autoSpaceDE w:val="0"/>
        <w:autoSpaceDN w:val="0"/>
        <w:rPr>
          <w:rFonts w:eastAsia="Verdana" w:cs="Verdana"/>
        </w:rPr>
      </w:pPr>
      <w:r w:rsidRPr="00D13F7A">
        <w:rPr>
          <w:rFonts w:eastAsia="Verdana" w:cs="Verdana"/>
        </w:rPr>
        <w:t>Definir el proceso clínico y legalmente ajustado para la identificación, diagnóstico, mantenimiento y notificación de potenciales donantes de órganos y tejidos en la Unidad de Cuidados Intensivos (UCI), garantizando una actuación ética, segura y eficiente por parte del equipo de salud, conforme a la Ley 1805 de 2016, la Resolución 3100 de 2019 y demás normativas vigentes.</w:t>
      </w:r>
    </w:p>
    <w:p w14:paraId="350BA191" w14:textId="77777777" w:rsidR="00D13F7A" w:rsidRDefault="00D13F7A" w:rsidP="00617B5C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5BF0BDAB" w14:textId="4B0C8763" w:rsidR="00617B5C" w:rsidRPr="00617B5C" w:rsidRDefault="00617B5C" w:rsidP="00617B5C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  <w:bCs/>
          <w:lang w:val="es-ES"/>
        </w:rPr>
      </w:pPr>
      <w:r w:rsidRPr="00617B5C">
        <w:rPr>
          <w:rFonts w:eastAsia="Verdana" w:cs="Verdana"/>
          <w:b/>
          <w:bCs/>
          <w:lang w:val="es-ES"/>
        </w:rPr>
        <w:t xml:space="preserve">ALCANCE </w:t>
      </w:r>
    </w:p>
    <w:p w14:paraId="237CDB26" w14:textId="0AE14AAB" w:rsidR="00D13F7A" w:rsidRDefault="00617B5C" w:rsidP="00617B5C">
      <w:pPr>
        <w:widowControl w:val="0"/>
        <w:autoSpaceDE w:val="0"/>
        <w:autoSpaceDN w:val="0"/>
        <w:rPr>
          <w:rFonts w:eastAsia="Verdana" w:cs="Verdana"/>
          <w:lang w:val="es-ES"/>
        </w:rPr>
      </w:pPr>
      <w:r w:rsidRPr="00617B5C">
        <w:rPr>
          <w:rFonts w:eastAsia="Verdana" w:cs="Verdana"/>
          <w:lang w:val="es-ES"/>
        </w:rPr>
        <w:t xml:space="preserve">Aplica </w:t>
      </w:r>
      <w:r w:rsidR="00D13F7A" w:rsidRPr="00D13F7A">
        <w:rPr>
          <w:rFonts w:eastAsia="Verdana" w:cs="Verdana"/>
        </w:rPr>
        <w:t>a pacientes adultos con diagnóstico de muerte encefálica atendidos en la Unidad de Cuidados Intensivos de RED MEDICRON IPS habilitada para donación, e involucra al equipo médico, administrativo y asistencial conforme a la Ley 1805 de 2016 y demás normativas vigentes.</w:t>
      </w:r>
    </w:p>
    <w:p w14:paraId="52583C44" w14:textId="1E0CD259" w:rsidR="00617B5C" w:rsidRDefault="00617B5C" w:rsidP="00617B5C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29081E65" w14:textId="51A6D3B7" w:rsidR="00617B5C" w:rsidRPr="00617B5C" w:rsidRDefault="00617B5C" w:rsidP="00617B5C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</w:rPr>
      </w:pPr>
      <w:r w:rsidRPr="00617B5C">
        <w:rPr>
          <w:rFonts w:eastAsia="Verdana" w:cs="Verdana"/>
          <w:b/>
        </w:rPr>
        <w:t>MATERIALES, EQUIPOS E INSUMOS</w:t>
      </w:r>
    </w:p>
    <w:p w14:paraId="3782CD2D" w14:textId="77777777" w:rsidR="00617B5C" w:rsidRPr="00617B5C" w:rsidRDefault="00617B5C" w:rsidP="00617B5C">
      <w:pPr>
        <w:pStyle w:val="Prrafodelista"/>
        <w:widowControl w:val="0"/>
        <w:numPr>
          <w:ilvl w:val="0"/>
          <w:numId w:val="21"/>
        </w:numPr>
        <w:autoSpaceDE w:val="0"/>
        <w:autoSpaceDN w:val="0"/>
        <w:rPr>
          <w:rFonts w:eastAsia="Verdana" w:cs="Verdana"/>
          <w:lang w:val="es-ES"/>
        </w:rPr>
      </w:pPr>
      <w:r w:rsidRPr="00617B5C">
        <w:rPr>
          <w:rFonts w:eastAsia="Verdana" w:cs="Verdana"/>
          <w:lang w:val="es-ES"/>
        </w:rPr>
        <w:t>Monitores y ventilador para soporte hemodinámico y respiratorio.</w:t>
      </w:r>
    </w:p>
    <w:p w14:paraId="300611F0" w14:textId="77777777" w:rsidR="00617B5C" w:rsidRPr="00617B5C" w:rsidRDefault="00617B5C" w:rsidP="00617B5C">
      <w:pPr>
        <w:pStyle w:val="Prrafodelista"/>
        <w:widowControl w:val="0"/>
        <w:numPr>
          <w:ilvl w:val="0"/>
          <w:numId w:val="21"/>
        </w:numPr>
        <w:autoSpaceDE w:val="0"/>
        <w:autoSpaceDN w:val="0"/>
        <w:rPr>
          <w:rFonts w:eastAsia="Verdana" w:cs="Verdana"/>
          <w:lang w:val="es-ES"/>
        </w:rPr>
      </w:pPr>
      <w:r w:rsidRPr="00617B5C">
        <w:rPr>
          <w:rFonts w:eastAsia="Verdana" w:cs="Verdana"/>
          <w:lang w:val="es-ES"/>
        </w:rPr>
        <w:t>Equipos para diagnóstico de muerte encefálica (EEG, angiografía, pruebas clínicas).</w:t>
      </w:r>
    </w:p>
    <w:p w14:paraId="73EAEED0" w14:textId="77777777" w:rsidR="00617B5C" w:rsidRPr="00617B5C" w:rsidRDefault="00617B5C" w:rsidP="00617B5C">
      <w:pPr>
        <w:pStyle w:val="Prrafodelista"/>
        <w:widowControl w:val="0"/>
        <w:numPr>
          <w:ilvl w:val="0"/>
          <w:numId w:val="21"/>
        </w:numPr>
        <w:autoSpaceDE w:val="0"/>
        <w:autoSpaceDN w:val="0"/>
        <w:rPr>
          <w:rFonts w:eastAsia="Verdana" w:cs="Verdana"/>
          <w:lang w:val="es-ES"/>
        </w:rPr>
      </w:pPr>
      <w:r w:rsidRPr="00617B5C">
        <w:rPr>
          <w:rFonts w:eastAsia="Verdana" w:cs="Verdana"/>
          <w:lang w:val="es-ES"/>
        </w:rPr>
        <w:t>Kit para pruebas de compatibilidad e infecciosas (serología, cultivo).</w:t>
      </w:r>
    </w:p>
    <w:p w14:paraId="16D89E79" w14:textId="77777777" w:rsidR="00617B5C" w:rsidRPr="00617B5C" w:rsidRDefault="00617B5C" w:rsidP="00617B5C">
      <w:pPr>
        <w:pStyle w:val="Prrafodelista"/>
        <w:widowControl w:val="0"/>
        <w:numPr>
          <w:ilvl w:val="0"/>
          <w:numId w:val="21"/>
        </w:numPr>
        <w:autoSpaceDE w:val="0"/>
        <w:autoSpaceDN w:val="0"/>
        <w:rPr>
          <w:rFonts w:eastAsia="Verdana" w:cs="Verdana"/>
          <w:lang w:val="es-ES"/>
        </w:rPr>
      </w:pPr>
      <w:r w:rsidRPr="00617B5C">
        <w:rPr>
          <w:rFonts w:eastAsia="Verdana" w:cs="Verdana"/>
          <w:lang w:val="es-ES"/>
        </w:rPr>
        <w:t>Formatos de consentimiento/oposición y notificación INS.</w:t>
      </w:r>
    </w:p>
    <w:p w14:paraId="0F4433A5" w14:textId="77777777" w:rsidR="00617B5C" w:rsidRPr="00617B5C" w:rsidRDefault="00617B5C" w:rsidP="00617B5C">
      <w:pPr>
        <w:pStyle w:val="Prrafodelista"/>
        <w:widowControl w:val="0"/>
        <w:numPr>
          <w:ilvl w:val="0"/>
          <w:numId w:val="21"/>
        </w:numPr>
        <w:autoSpaceDE w:val="0"/>
        <w:autoSpaceDN w:val="0"/>
        <w:rPr>
          <w:rFonts w:eastAsia="Verdana" w:cs="Verdana"/>
          <w:lang w:val="es-ES"/>
        </w:rPr>
      </w:pPr>
      <w:r w:rsidRPr="00617B5C">
        <w:rPr>
          <w:rFonts w:eastAsia="Verdana" w:cs="Verdana"/>
          <w:lang w:val="es-ES"/>
        </w:rPr>
        <w:t>Acceso al Registro Nacional de Donantes del INS para verificar oposición. Canales de comunicación con la Red Nacional de Trasplantes.</w:t>
      </w:r>
    </w:p>
    <w:p w14:paraId="467DF072" w14:textId="77777777" w:rsidR="00617B5C" w:rsidRPr="00617B5C" w:rsidRDefault="00617B5C" w:rsidP="00617B5C">
      <w:pPr>
        <w:pStyle w:val="Prrafodelista"/>
        <w:widowControl w:val="0"/>
        <w:numPr>
          <w:ilvl w:val="0"/>
          <w:numId w:val="21"/>
        </w:numPr>
        <w:autoSpaceDE w:val="0"/>
        <w:autoSpaceDN w:val="0"/>
        <w:rPr>
          <w:rFonts w:eastAsia="Verdana" w:cs="Verdana"/>
          <w:lang w:val="es-ES"/>
        </w:rPr>
      </w:pPr>
      <w:r w:rsidRPr="00617B5C">
        <w:rPr>
          <w:rFonts w:eastAsia="Verdana" w:cs="Verdana"/>
          <w:lang w:val="es-ES"/>
        </w:rPr>
        <w:t>Protocolos de bioseguridad y esterilización.</w:t>
      </w:r>
    </w:p>
    <w:p w14:paraId="687E2565" w14:textId="77777777" w:rsidR="00617B5C" w:rsidRPr="00617B5C" w:rsidRDefault="00617B5C" w:rsidP="00617B5C">
      <w:pPr>
        <w:pStyle w:val="Prrafodelista"/>
        <w:widowControl w:val="0"/>
        <w:autoSpaceDE w:val="0"/>
        <w:autoSpaceDN w:val="0"/>
        <w:rPr>
          <w:rFonts w:eastAsia="Verdana" w:cs="Verdana"/>
          <w:b/>
        </w:rPr>
      </w:pPr>
    </w:p>
    <w:p w14:paraId="4A6D87AE" w14:textId="7F55632F" w:rsidR="00617B5C" w:rsidRDefault="00617B5C" w:rsidP="00617B5C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</w:rPr>
      </w:pPr>
      <w:r w:rsidRPr="00617B5C">
        <w:rPr>
          <w:rFonts w:eastAsia="Verdana" w:cs="Verdana"/>
          <w:b/>
        </w:rPr>
        <w:t>RIESGOS Y COMPLICACIONES</w:t>
      </w:r>
    </w:p>
    <w:p w14:paraId="09CB0DAB" w14:textId="464E1B2D" w:rsidR="00D13F7A" w:rsidRDefault="00D13F7A" w:rsidP="00D13F7A">
      <w:pPr>
        <w:pStyle w:val="Prrafodelista"/>
        <w:widowControl w:val="0"/>
        <w:numPr>
          <w:ilvl w:val="1"/>
          <w:numId w:val="18"/>
        </w:numPr>
        <w:autoSpaceDE w:val="0"/>
        <w:autoSpaceDN w:val="0"/>
        <w:rPr>
          <w:rFonts w:eastAsia="Verdana" w:cs="Verdana"/>
          <w:b/>
        </w:rPr>
      </w:pPr>
      <w:r>
        <w:rPr>
          <w:rFonts w:eastAsia="Verdana" w:cs="Verdana"/>
          <w:b/>
        </w:rPr>
        <w:t>Riesgos:</w:t>
      </w:r>
    </w:p>
    <w:p w14:paraId="0064C91A" w14:textId="77777777" w:rsidR="00D13F7A" w:rsidRPr="00D13F7A" w:rsidRDefault="00D13F7A" w:rsidP="00D13F7A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rFonts w:eastAsia="Verdana" w:cs="Verdana"/>
          <w:bCs/>
        </w:rPr>
      </w:pPr>
      <w:r w:rsidRPr="00D13F7A">
        <w:rPr>
          <w:rFonts w:eastAsia="Verdana" w:cs="Verdana"/>
          <w:bCs/>
        </w:rPr>
        <w:t>Inestabilidad hemodinámica del potencial donante que dificulte el mantenimiento adecuado.</w:t>
      </w:r>
    </w:p>
    <w:p w14:paraId="3583A8DD" w14:textId="77777777" w:rsidR="00D13F7A" w:rsidRPr="00D13F7A" w:rsidRDefault="00D13F7A" w:rsidP="00D13F7A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rFonts w:eastAsia="Verdana" w:cs="Verdana"/>
          <w:bCs/>
        </w:rPr>
      </w:pPr>
      <w:r w:rsidRPr="00D13F7A">
        <w:rPr>
          <w:rFonts w:eastAsia="Verdana" w:cs="Verdana"/>
          <w:bCs/>
        </w:rPr>
        <w:t>Riesgo de infección nosocomial del donante durante el mantenimiento en UCI.</w:t>
      </w:r>
    </w:p>
    <w:p w14:paraId="16F1E587" w14:textId="77777777" w:rsidR="00D13F7A" w:rsidRPr="00D13F7A" w:rsidRDefault="00D13F7A" w:rsidP="00D13F7A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rFonts w:eastAsia="Verdana" w:cs="Verdana"/>
          <w:bCs/>
        </w:rPr>
      </w:pPr>
      <w:r w:rsidRPr="00D13F7A">
        <w:rPr>
          <w:rFonts w:eastAsia="Verdana" w:cs="Verdana"/>
          <w:bCs/>
        </w:rPr>
        <w:t>Riesgo legal por falta de cumplimiento en el consentimiento informado y documentación requerida.</w:t>
      </w:r>
    </w:p>
    <w:p w14:paraId="58FF3998" w14:textId="77777777" w:rsidR="00D13F7A" w:rsidRPr="00D13F7A" w:rsidRDefault="00D13F7A" w:rsidP="00D13F7A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rFonts w:eastAsia="Verdana" w:cs="Verdana"/>
          <w:bCs/>
        </w:rPr>
      </w:pPr>
      <w:r w:rsidRPr="00D13F7A">
        <w:rPr>
          <w:rFonts w:eastAsia="Verdana" w:cs="Verdana"/>
          <w:bCs/>
        </w:rPr>
        <w:t>Error en la validación de voluntad anticipada u oposición expresa del paciente.</w:t>
      </w:r>
    </w:p>
    <w:p w14:paraId="3D756A8F" w14:textId="525155FB" w:rsidR="00D13F7A" w:rsidRPr="00D13F7A" w:rsidRDefault="00D13F7A" w:rsidP="00D13F7A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rFonts w:eastAsia="Verdana" w:cs="Verdana"/>
          <w:bCs/>
        </w:rPr>
      </w:pPr>
      <w:r w:rsidRPr="00D13F7A">
        <w:rPr>
          <w:rFonts w:eastAsia="Verdana" w:cs="Verdana"/>
          <w:bCs/>
        </w:rPr>
        <w:t>Reactividad inmunológica que limite la viabilidad del órgano.</w:t>
      </w:r>
    </w:p>
    <w:p w14:paraId="563015E9" w14:textId="30ABB511" w:rsidR="00D13F7A" w:rsidRPr="00D13F7A" w:rsidRDefault="00D13F7A" w:rsidP="00D13F7A">
      <w:pPr>
        <w:pStyle w:val="Prrafodelista"/>
        <w:widowControl w:val="0"/>
        <w:numPr>
          <w:ilvl w:val="1"/>
          <w:numId w:val="18"/>
        </w:numPr>
        <w:autoSpaceDE w:val="0"/>
        <w:autoSpaceDN w:val="0"/>
        <w:rPr>
          <w:rFonts w:eastAsia="Verdana" w:cs="Verdana"/>
          <w:b/>
        </w:rPr>
      </w:pPr>
      <w:r>
        <w:rPr>
          <w:rFonts w:eastAsia="Verdana" w:cs="Verdana"/>
          <w:b/>
        </w:rPr>
        <w:t>Complicaciones:</w:t>
      </w:r>
    </w:p>
    <w:p w14:paraId="59935BD3" w14:textId="77777777" w:rsidR="00D13F7A" w:rsidRPr="00D13F7A" w:rsidRDefault="00D13F7A" w:rsidP="00D13F7A">
      <w:pPr>
        <w:pStyle w:val="Prrafodelista"/>
        <w:widowControl w:val="0"/>
        <w:numPr>
          <w:ilvl w:val="0"/>
          <w:numId w:val="29"/>
        </w:numPr>
        <w:autoSpaceDE w:val="0"/>
        <w:autoSpaceDN w:val="0"/>
        <w:rPr>
          <w:rFonts w:eastAsia="Verdana" w:cs="Verdana"/>
          <w:lang w:val="es-ES"/>
        </w:rPr>
      </w:pPr>
      <w:r w:rsidRPr="00D13F7A">
        <w:rPr>
          <w:rFonts w:eastAsia="Verdana" w:cs="Verdana"/>
          <w:lang w:val="es-ES"/>
        </w:rPr>
        <w:t>Alteraciones hormonales, electrolíticas o metabólicas secundarias a la muerte encefálica.</w:t>
      </w:r>
    </w:p>
    <w:p w14:paraId="59C77C21" w14:textId="1AB61EE4" w:rsidR="00617B5C" w:rsidRPr="00D13F7A" w:rsidRDefault="00D13F7A" w:rsidP="00D13F7A">
      <w:pPr>
        <w:pStyle w:val="Prrafodelista"/>
        <w:widowControl w:val="0"/>
        <w:numPr>
          <w:ilvl w:val="0"/>
          <w:numId w:val="29"/>
        </w:numPr>
        <w:autoSpaceDE w:val="0"/>
        <w:autoSpaceDN w:val="0"/>
        <w:rPr>
          <w:rFonts w:eastAsia="Verdana" w:cs="Verdana"/>
          <w:lang w:val="es-ES"/>
        </w:rPr>
      </w:pPr>
      <w:r w:rsidRPr="00D13F7A">
        <w:rPr>
          <w:rFonts w:eastAsia="Verdana" w:cs="Verdana"/>
          <w:lang w:val="es-ES"/>
        </w:rPr>
        <w:t>Diuresis masiva o alteraciones severas del equilibrio hidroelectrolítico tras muerte encefálica.</w:t>
      </w:r>
    </w:p>
    <w:p w14:paraId="57CBE220" w14:textId="77777777" w:rsidR="00D13F7A" w:rsidRPr="00617B5C" w:rsidRDefault="00D13F7A" w:rsidP="00D13F7A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142ACCC2" w14:textId="7077CB6B" w:rsidR="00617B5C" w:rsidRPr="00617B5C" w:rsidRDefault="00617B5C" w:rsidP="00617B5C">
      <w:pPr>
        <w:pStyle w:val="Prrafodelista"/>
        <w:keepNext/>
        <w:keepLines/>
        <w:numPr>
          <w:ilvl w:val="0"/>
          <w:numId w:val="18"/>
        </w:numPr>
        <w:spacing w:before="40" w:line="259" w:lineRule="auto"/>
        <w:outlineLvl w:val="1"/>
        <w:rPr>
          <w:rFonts w:eastAsia="Times New Roman" w:cs="Times New Roman"/>
          <w:b/>
        </w:rPr>
      </w:pPr>
      <w:r w:rsidRPr="00617B5C">
        <w:rPr>
          <w:rFonts w:eastAsia="Times New Roman" w:cs="Times New Roman"/>
          <w:b/>
        </w:rPr>
        <w:t>DEFINICIONES</w:t>
      </w:r>
    </w:p>
    <w:p w14:paraId="48FDF07D" w14:textId="77777777" w:rsidR="00617B5C" w:rsidRPr="00617B5C" w:rsidRDefault="00617B5C" w:rsidP="00617B5C">
      <w:pPr>
        <w:numPr>
          <w:ilvl w:val="0"/>
          <w:numId w:val="23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b/>
          <w:bCs/>
          <w:lang w:val="es-ES" w:eastAsia="es-ES"/>
        </w:rPr>
        <w:t>Donante potencial</w:t>
      </w:r>
      <w:r w:rsidRPr="00617B5C">
        <w:rPr>
          <w:rFonts w:eastAsia="Times New Roman" w:cs="Times New Roman"/>
          <w:lang w:val="es-ES" w:eastAsia="es-ES"/>
        </w:rPr>
        <w:t>: paciente con diagnóstico clínico de muerte encefálica, sin oposición registrada.</w:t>
      </w:r>
    </w:p>
    <w:p w14:paraId="50FFC639" w14:textId="77777777" w:rsidR="00617B5C" w:rsidRPr="00617B5C" w:rsidRDefault="00617B5C" w:rsidP="00617B5C">
      <w:pPr>
        <w:numPr>
          <w:ilvl w:val="0"/>
          <w:numId w:val="23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b/>
          <w:bCs/>
          <w:lang w:val="es-ES" w:eastAsia="es-ES"/>
        </w:rPr>
        <w:t>Donante efectivo</w:t>
      </w:r>
      <w:r w:rsidRPr="00617B5C">
        <w:rPr>
          <w:rFonts w:eastAsia="Times New Roman" w:cs="Times New Roman"/>
          <w:lang w:val="es-ES" w:eastAsia="es-ES"/>
        </w:rPr>
        <w:t>: aquel del que se extraen órganos tras diagnóstico, evaluación y autorización.</w:t>
      </w:r>
    </w:p>
    <w:p w14:paraId="7F64583D" w14:textId="77777777" w:rsidR="00617B5C" w:rsidRPr="00617B5C" w:rsidRDefault="00617B5C" w:rsidP="00617B5C">
      <w:pPr>
        <w:numPr>
          <w:ilvl w:val="0"/>
          <w:numId w:val="23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b/>
          <w:bCs/>
          <w:lang w:val="es-ES" w:eastAsia="es-ES"/>
        </w:rPr>
        <w:lastRenderedPageBreak/>
        <w:t>Presunción legal de donación</w:t>
      </w:r>
      <w:r w:rsidRPr="00617B5C">
        <w:rPr>
          <w:rFonts w:eastAsia="Times New Roman" w:cs="Times New Roman"/>
          <w:lang w:val="es-ES" w:eastAsia="es-ES"/>
        </w:rPr>
        <w:t xml:space="preserve">: desde la Ley 1805 de 2016, toda persona es donante salvo oposición en vida </w:t>
      </w:r>
    </w:p>
    <w:p w14:paraId="479A0CB4" w14:textId="77777777" w:rsidR="00617B5C" w:rsidRPr="00617B5C" w:rsidRDefault="00617B5C" w:rsidP="00617B5C">
      <w:pPr>
        <w:numPr>
          <w:ilvl w:val="0"/>
          <w:numId w:val="23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b/>
          <w:bCs/>
          <w:lang w:val="es-ES" w:eastAsia="es-ES"/>
        </w:rPr>
        <w:t>Muerte encefálica</w:t>
      </w:r>
      <w:r w:rsidRPr="00617B5C">
        <w:rPr>
          <w:rFonts w:eastAsia="Times New Roman" w:cs="Times New Roman"/>
          <w:lang w:val="es-ES" w:eastAsia="es-ES"/>
        </w:rPr>
        <w:t>: cese irreversible de función cerebral, con mantenimiento de soporte vital.</w:t>
      </w:r>
    </w:p>
    <w:p w14:paraId="7BE628A2" w14:textId="77777777" w:rsidR="00617B5C" w:rsidRPr="00617B5C" w:rsidRDefault="00617B5C" w:rsidP="00617B5C">
      <w:pPr>
        <w:spacing w:after="160" w:line="259" w:lineRule="auto"/>
        <w:rPr>
          <w:rFonts w:eastAsia="Calibri" w:cs="Times New Roman"/>
        </w:rPr>
      </w:pPr>
    </w:p>
    <w:p w14:paraId="0B487287" w14:textId="3640A126" w:rsidR="00617B5C" w:rsidRPr="00617B5C" w:rsidRDefault="00617B5C" w:rsidP="00617B5C">
      <w:pPr>
        <w:pStyle w:val="Prrafodelista"/>
        <w:keepNext/>
        <w:keepLines/>
        <w:numPr>
          <w:ilvl w:val="0"/>
          <w:numId w:val="18"/>
        </w:numPr>
        <w:spacing w:before="40" w:line="259" w:lineRule="auto"/>
        <w:outlineLvl w:val="1"/>
        <w:rPr>
          <w:rFonts w:eastAsia="Times New Roman" w:cs="Times New Roman"/>
          <w:b/>
        </w:rPr>
      </w:pPr>
      <w:r w:rsidRPr="00617B5C">
        <w:rPr>
          <w:rFonts w:eastAsia="Times New Roman" w:cs="Times New Roman"/>
          <w:b/>
        </w:rPr>
        <w:t>MARCO LEGAL</w:t>
      </w:r>
    </w:p>
    <w:p w14:paraId="0A3ECAF9" w14:textId="77777777" w:rsidR="00617B5C" w:rsidRPr="00617B5C" w:rsidRDefault="00617B5C" w:rsidP="00617B5C">
      <w:pPr>
        <w:numPr>
          <w:ilvl w:val="0"/>
          <w:numId w:val="24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b/>
          <w:bCs/>
          <w:lang w:val="es-ES" w:eastAsia="es-ES"/>
        </w:rPr>
        <w:t>Ley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9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de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1979</w:t>
      </w:r>
      <w:r w:rsidRPr="00617B5C">
        <w:rPr>
          <w:rFonts w:eastAsia="Times New Roman" w:cs="Times New Roman"/>
          <w:lang w:val="es-ES" w:eastAsia="es-ES"/>
        </w:rPr>
        <w:t xml:space="preserve"> (arts.</w:t>
      </w:r>
      <w:r w:rsidRPr="00617B5C">
        <w:rPr>
          <w:rFonts w:ascii="Arial" w:eastAsia="Times New Roman" w:hAnsi="Arial" w:cs="Arial"/>
          <w:lang w:val="es-ES" w:eastAsia="es-ES"/>
        </w:rPr>
        <w:t> </w:t>
      </w:r>
      <w:r w:rsidRPr="00617B5C">
        <w:rPr>
          <w:rFonts w:eastAsia="Times New Roman" w:cs="Times New Roman"/>
          <w:lang w:val="es-ES" w:eastAsia="es-ES"/>
        </w:rPr>
        <w:t>515</w:t>
      </w:r>
      <w:r w:rsidRPr="00617B5C">
        <w:rPr>
          <w:rFonts w:eastAsia="Times New Roman" w:cs="Times New Roman"/>
          <w:lang w:val="es-ES" w:eastAsia="es-ES"/>
        </w:rPr>
        <w:noBreakHyphen/>
        <w:t>546): primeros lineamientos para donaci</w:t>
      </w:r>
      <w:r w:rsidRPr="00617B5C">
        <w:rPr>
          <w:rFonts w:eastAsia="Times New Roman" w:cs="Century Gothic"/>
          <w:lang w:val="es-ES" w:eastAsia="es-ES"/>
        </w:rPr>
        <w:t>ó</w:t>
      </w:r>
      <w:r w:rsidRPr="00617B5C">
        <w:rPr>
          <w:rFonts w:eastAsia="Times New Roman" w:cs="Times New Roman"/>
          <w:lang w:val="es-ES" w:eastAsia="es-ES"/>
        </w:rPr>
        <w:t>n.</w:t>
      </w:r>
    </w:p>
    <w:p w14:paraId="25FD6DA7" w14:textId="77777777" w:rsidR="00617B5C" w:rsidRPr="00617B5C" w:rsidRDefault="00617B5C" w:rsidP="00617B5C">
      <w:pPr>
        <w:numPr>
          <w:ilvl w:val="0"/>
          <w:numId w:val="24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b/>
          <w:bCs/>
          <w:lang w:val="es-ES" w:eastAsia="es-ES"/>
        </w:rPr>
        <w:t>Ley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73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de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1988</w:t>
      </w:r>
      <w:r w:rsidRPr="00617B5C">
        <w:rPr>
          <w:rFonts w:eastAsia="Times New Roman" w:cs="Times New Roman"/>
          <w:lang w:val="es-ES" w:eastAsia="es-ES"/>
        </w:rPr>
        <w:t>: regula consentimiento y delación familiar.</w:t>
      </w:r>
    </w:p>
    <w:p w14:paraId="0664662E" w14:textId="77777777" w:rsidR="00617B5C" w:rsidRPr="00617B5C" w:rsidRDefault="00617B5C" w:rsidP="00617B5C">
      <w:pPr>
        <w:numPr>
          <w:ilvl w:val="0"/>
          <w:numId w:val="24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b/>
          <w:bCs/>
          <w:lang w:val="es-ES" w:eastAsia="es-ES"/>
        </w:rPr>
        <w:t>Ley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919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de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2004</w:t>
      </w:r>
      <w:r w:rsidRPr="00617B5C">
        <w:rPr>
          <w:rFonts w:eastAsia="Times New Roman" w:cs="Times New Roman"/>
          <w:lang w:val="es-ES" w:eastAsia="es-ES"/>
        </w:rPr>
        <w:t>: prohíbe comercialización de órganos.</w:t>
      </w:r>
    </w:p>
    <w:p w14:paraId="54B0A343" w14:textId="77777777" w:rsidR="00617B5C" w:rsidRPr="00617B5C" w:rsidRDefault="00617B5C" w:rsidP="00617B5C">
      <w:pPr>
        <w:numPr>
          <w:ilvl w:val="0"/>
          <w:numId w:val="24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b/>
          <w:bCs/>
          <w:lang w:val="es-ES" w:eastAsia="es-ES"/>
        </w:rPr>
        <w:t>Ley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1805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de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2016</w:t>
      </w:r>
      <w:r w:rsidRPr="00617B5C">
        <w:rPr>
          <w:rFonts w:eastAsia="Times New Roman" w:cs="Times New Roman"/>
          <w:lang w:val="es-ES" w:eastAsia="es-ES"/>
        </w:rPr>
        <w:t>: establece presunción de donación, rol del INS, prohibiciones y excepciones (trasplantes a extranjeros bajo condiciones específicas).</w:t>
      </w:r>
    </w:p>
    <w:p w14:paraId="17743628" w14:textId="77777777" w:rsidR="00617B5C" w:rsidRPr="00617B5C" w:rsidRDefault="00617B5C" w:rsidP="00617B5C">
      <w:pPr>
        <w:numPr>
          <w:ilvl w:val="0"/>
          <w:numId w:val="24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b/>
          <w:bCs/>
          <w:lang w:val="es-ES" w:eastAsia="es-ES"/>
        </w:rPr>
        <w:t>Decreto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2493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de</w:t>
      </w:r>
      <w:r w:rsidRPr="00617B5C">
        <w:rPr>
          <w:rFonts w:ascii="Arial" w:eastAsia="Times New Roman" w:hAnsi="Arial" w:cs="Arial"/>
          <w:b/>
          <w:bCs/>
          <w:lang w:val="es-ES" w:eastAsia="es-ES"/>
        </w:rPr>
        <w:t> </w:t>
      </w:r>
      <w:r w:rsidRPr="00617B5C">
        <w:rPr>
          <w:rFonts w:eastAsia="Times New Roman" w:cs="Times New Roman"/>
          <w:b/>
          <w:bCs/>
          <w:lang w:val="es-ES" w:eastAsia="es-ES"/>
        </w:rPr>
        <w:t>2004</w:t>
      </w:r>
      <w:r w:rsidRPr="00617B5C">
        <w:rPr>
          <w:rFonts w:eastAsia="Times New Roman" w:cs="Times New Roman"/>
          <w:lang w:val="es-ES" w:eastAsia="es-ES"/>
        </w:rPr>
        <w:t xml:space="preserve"> y </w:t>
      </w:r>
      <w:proofErr w:type="spellStart"/>
      <w:r w:rsidRPr="00617B5C">
        <w:rPr>
          <w:rFonts w:eastAsia="Times New Roman" w:cs="Times New Roman"/>
          <w:lang w:val="es-ES" w:eastAsia="es-ES"/>
        </w:rPr>
        <w:t>Cirular</w:t>
      </w:r>
      <w:proofErr w:type="spellEnd"/>
      <w:r w:rsidRPr="00617B5C">
        <w:rPr>
          <w:rFonts w:ascii="Arial" w:eastAsia="Times New Roman" w:hAnsi="Arial" w:cs="Arial"/>
          <w:lang w:val="es-ES" w:eastAsia="es-ES"/>
        </w:rPr>
        <w:t> </w:t>
      </w:r>
      <w:r w:rsidRPr="00617B5C">
        <w:rPr>
          <w:rFonts w:eastAsia="Times New Roman" w:cs="Times New Roman"/>
          <w:lang w:val="es-ES" w:eastAsia="es-ES"/>
        </w:rPr>
        <w:t>7</w:t>
      </w:r>
      <w:r w:rsidRPr="00617B5C">
        <w:rPr>
          <w:rFonts w:ascii="Arial" w:eastAsia="Times New Roman" w:hAnsi="Arial" w:cs="Arial"/>
          <w:lang w:val="es-ES" w:eastAsia="es-ES"/>
        </w:rPr>
        <w:t> </w:t>
      </w:r>
      <w:r w:rsidRPr="00617B5C">
        <w:rPr>
          <w:rFonts w:eastAsia="Times New Roman" w:cs="Times New Roman"/>
          <w:lang w:val="es-ES" w:eastAsia="es-ES"/>
        </w:rPr>
        <w:t>de</w:t>
      </w:r>
      <w:r w:rsidRPr="00617B5C">
        <w:rPr>
          <w:rFonts w:ascii="Arial" w:eastAsia="Times New Roman" w:hAnsi="Arial" w:cs="Arial"/>
          <w:lang w:val="es-ES" w:eastAsia="es-ES"/>
        </w:rPr>
        <w:t> </w:t>
      </w:r>
      <w:r w:rsidRPr="00617B5C">
        <w:rPr>
          <w:rFonts w:eastAsia="Times New Roman" w:cs="Times New Roman"/>
          <w:lang w:val="es-ES" w:eastAsia="es-ES"/>
        </w:rPr>
        <w:t>2017 Minsalud: reglamentan operaci</w:t>
      </w:r>
      <w:r w:rsidRPr="00617B5C">
        <w:rPr>
          <w:rFonts w:eastAsia="Times New Roman" w:cs="Century Gothic"/>
          <w:lang w:val="es-ES" w:eastAsia="es-ES"/>
        </w:rPr>
        <w:t>ó</w:t>
      </w:r>
      <w:r w:rsidRPr="00617B5C">
        <w:rPr>
          <w:rFonts w:eastAsia="Times New Roman" w:cs="Times New Roman"/>
          <w:lang w:val="es-ES" w:eastAsia="es-ES"/>
        </w:rPr>
        <w:t xml:space="preserve">n de la Red Nacional y </w:t>
      </w:r>
      <w:proofErr w:type="spellStart"/>
      <w:r w:rsidRPr="00617B5C">
        <w:rPr>
          <w:rFonts w:eastAsia="Times New Roman" w:cs="Times New Roman"/>
          <w:lang w:val="es-ES" w:eastAsia="es-ES"/>
        </w:rPr>
        <w:t>opposition</w:t>
      </w:r>
      <w:proofErr w:type="spellEnd"/>
      <w:r w:rsidRPr="00617B5C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617B5C">
        <w:rPr>
          <w:rFonts w:eastAsia="Times New Roman" w:cs="Times New Roman"/>
          <w:lang w:val="es-ES" w:eastAsia="es-ES"/>
        </w:rPr>
        <w:t>recording</w:t>
      </w:r>
      <w:proofErr w:type="spellEnd"/>
      <w:r w:rsidRPr="00617B5C">
        <w:rPr>
          <w:rFonts w:eastAsia="Times New Roman" w:cs="Times New Roman"/>
          <w:lang w:val="es-ES" w:eastAsia="es-ES"/>
        </w:rPr>
        <w:t>.</w:t>
      </w:r>
    </w:p>
    <w:p w14:paraId="604E56D3" w14:textId="77777777" w:rsidR="00617B5C" w:rsidRPr="00617B5C" w:rsidRDefault="00617B5C" w:rsidP="00617B5C">
      <w:pPr>
        <w:numPr>
          <w:ilvl w:val="0"/>
          <w:numId w:val="24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lang w:val="es-ES" w:eastAsia="es-ES"/>
        </w:rPr>
        <w:t>Principios éticos internacionales (OMS).</w:t>
      </w:r>
    </w:p>
    <w:p w14:paraId="3865C2A1" w14:textId="77777777" w:rsidR="00617B5C" w:rsidRPr="00617B5C" w:rsidRDefault="00617B5C" w:rsidP="00617B5C">
      <w:pPr>
        <w:numPr>
          <w:ilvl w:val="0"/>
          <w:numId w:val="24"/>
        </w:numPr>
        <w:spacing w:before="100" w:beforeAutospacing="1" w:after="100" w:afterAutospacing="1" w:line="259" w:lineRule="auto"/>
        <w:jc w:val="left"/>
        <w:rPr>
          <w:rFonts w:eastAsia="Times New Roman" w:cs="Times New Roman"/>
          <w:lang w:val="es-ES" w:eastAsia="es-ES"/>
        </w:rPr>
      </w:pPr>
      <w:r w:rsidRPr="00617B5C">
        <w:rPr>
          <w:rFonts w:eastAsia="Times New Roman" w:cs="Times New Roman"/>
          <w:lang w:val="es-ES" w:eastAsia="es-ES"/>
        </w:rPr>
        <w:t>Prohibición de tráfico de órganos con penas de 3 a 6 años.</w:t>
      </w:r>
    </w:p>
    <w:p w14:paraId="6CEE6B68" w14:textId="26337ED6" w:rsidR="00617B5C" w:rsidRPr="00617B5C" w:rsidRDefault="00617B5C" w:rsidP="00617B5C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lang w:val="es-ES"/>
        </w:rPr>
      </w:pPr>
      <w:r w:rsidRPr="00617B5C">
        <w:rPr>
          <w:rFonts w:eastAsia="Verdana" w:cs="Verdana"/>
          <w:b/>
        </w:rPr>
        <w:t>DESCRIPCIÓN DE ACTIVIDADES</w:t>
      </w:r>
    </w:p>
    <w:p w14:paraId="2095AA77" w14:textId="581B1D01" w:rsidR="00617B5C" w:rsidRDefault="00617B5C" w:rsidP="00617B5C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2"/>
        <w:gridCol w:w="1944"/>
        <w:gridCol w:w="3430"/>
        <w:gridCol w:w="1774"/>
        <w:gridCol w:w="2012"/>
      </w:tblGrid>
      <w:tr w:rsidR="00814109" w:rsidRPr="00A52DAF" w14:paraId="441F73D7" w14:textId="77777777" w:rsidTr="0077028D">
        <w:tc>
          <w:tcPr>
            <w:tcW w:w="561" w:type="dxa"/>
            <w:vAlign w:val="center"/>
          </w:tcPr>
          <w:p w14:paraId="53BDCC2E" w14:textId="7CC710BD" w:rsidR="00814109" w:rsidRPr="00A52DAF" w:rsidRDefault="00814109" w:rsidP="001D23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728" w:type="dxa"/>
            <w:vAlign w:val="center"/>
          </w:tcPr>
          <w:p w14:paraId="334EE830" w14:textId="4D313C5B" w:rsidR="00814109" w:rsidRPr="00A52DAF" w:rsidRDefault="00814109" w:rsidP="00814109">
            <w:pPr>
              <w:jc w:val="center"/>
              <w:rPr>
                <w:b/>
                <w:bCs/>
              </w:rPr>
            </w:pPr>
            <w:r w:rsidRPr="00A52DAF">
              <w:rPr>
                <w:b/>
                <w:bCs/>
              </w:rPr>
              <w:t>ACTIVIDAD</w:t>
            </w:r>
          </w:p>
        </w:tc>
        <w:tc>
          <w:tcPr>
            <w:tcW w:w="3863" w:type="dxa"/>
            <w:vAlign w:val="center"/>
          </w:tcPr>
          <w:p w14:paraId="752E4D5B" w14:textId="1A9D9791" w:rsidR="00814109" w:rsidRPr="00A52DAF" w:rsidRDefault="00814109" w:rsidP="00814109">
            <w:pPr>
              <w:jc w:val="center"/>
              <w:rPr>
                <w:b/>
                <w:bCs/>
              </w:rPr>
            </w:pPr>
            <w:r w:rsidRPr="00A52DAF">
              <w:rPr>
                <w:b/>
                <w:bCs/>
              </w:rPr>
              <w:t>DESCRIPCIÓN</w:t>
            </w:r>
          </w:p>
        </w:tc>
        <w:tc>
          <w:tcPr>
            <w:tcW w:w="1774" w:type="dxa"/>
            <w:vAlign w:val="center"/>
          </w:tcPr>
          <w:p w14:paraId="0C5A86AF" w14:textId="7B94DE06" w:rsidR="00814109" w:rsidRPr="00A52DAF" w:rsidRDefault="00814109" w:rsidP="00814109">
            <w:pPr>
              <w:jc w:val="center"/>
              <w:rPr>
                <w:b/>
                <w:bCs/>
              </w:rPr>
            </w:pPr>
            <w:r w:rsidRPr="00A52DAF">
              <w:rPr>
                <w:b/>
                <w:bCs/>
              </w:rPr>
              <w:t>RESPONSABLE</w:t>
            </w:r>
          </w:p>
        </w:tc>
        <w:tc>
          <w:tcPr>
            <w:tcW w:w="2036" w:type="dxa"/>
            <w:vAlign w:val="center"/>
          </w:tcPr>
          <w:p w14:paraId="07EDAD56" w14:textId="19168D49" w:rsidR="00814109" w:rsidRPr="00A52DAF" w:rsidRDefault="00814109" w:rsidP="008141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DOCUMENTOS RELACIONADOS</w:t>
            </w:r>
          </w:p>
        </w:tc>
      </w:tr>
      <w:tr w:rsidR="00814109" w:rsidRPr="00A52DAF" w14:paraId="79B7B9B5" w14:textId="77777777" w:rsidTr="0077028D">
        <w:tc>
          <w:tcPr>
            <w:tcW w:w="564" w:type="dxa"/>
            <w:vAlign w:val="center"/>
          </w:tcPr>
          <w:p w14:paraId="05ABD068" w14:textId="77777777" w:rsidR="00814109" w:rsidRPr="00A52DAF" w:rsidRDefault="00814109" w:rsidP="001D23E7">
            <w:pPr>
              <w:jc w:val="center"/>
            </w:pPr>
            <w:r w:rsidRPr="00A52DAF">
              <w:t>1</w:t>
            </w:r>
          </w:p>
        </w:tc>
        <w:tc>
          <w:tcPr>
            <w:tcW w:w="1731" w:type="dxa"/>
            <w:vAlign w:val="center"/>
          </w:tcPr>
          <w:p w14:paraId="2B66DC55" w14:textId="77777777" w:rsidR="00814109" w:rsidRPr="00A52DAF" w:rsidRDefault="00814109" w:rsidP="0077028D">
            <w:r w:rsidRPr="00A52DAF">
              <w:t>Vigilar al paciente potencialmente donante</w:t>
            </w:r>
          </w:p>
        </w:tc>
        <w:tc>
          <w:tcPr>
            <w:tcW w:w="3937" w:type="dxa"/>
            <w:vAlign w:val="center"/>
          </w:tcPr>
          <w:p w14:paraId="241F6559" w14:textId="77777777" w:rsidR="00814109" w:rsidRPr="00A52DAF" w:rsidRDefault="00814109" w:rsidP="0077028D">
            <w:r w:rsidRPr="00A52DAF">
              <w:t>Monitorización continua del estado neurológico de pacientes críticos.</w:t>
            </w:r>
          </w:p>
        </w:tc>
        <w:tc>
          <w:tcPr>
            <w:tcW w:w="1676" w:type="dxa"/>
            <w:vAlign w:val="center"/>
          </w:tcPr>
          <w:p w14:paraId="637FD136" w14:textId="77777777" w:rsidR="00814109" w:rsidRPr="00A52DAF" w:rsidRDefault="00814109" w:rsidP="0077028D">
            <w:r w:rsidRPr="00A52DAF">
              <w:t>Médico de turno UCI</w:t>
            </w:r>
          </w:p>
        </w:tc>
        <w:tc>
          <w:tcPr>
            <w:tcW w:w="2054" w:type="dxa"/>
            <w:vAlign w:val="center"/>
          </w:tcPr>
          <w:p w14:paraId="3989E234" w14:textId="77777777" w:rsidR="00814109" w:rsidRPr="00A52DAF" w:rsidRDefault="00814109" w:rsidP="0077028D">
            <w:r w:rsidRPr="00A52DAF">
              <w:t xml:space="preserve">historia clínica salud </w:t>
            </w:r>
            <w:proofErr w:type="spellStart"/>
            <w:r w:rsidRPr="00A52DAF">
              <w:t>ips</w:t>
            </w:r>
            <w:proofErr w:type="spellEnd"/>
          </w:p>
        </w:tc>
      </w:tr>
      <w:tr w:rsidR="00814109" w:rsidRPr="00A52DAF" w14:paraId="45162587" w14:textId="77777777" w:rsidTr="0077028D">
        <w:tc>
          <w:tcPr>
            <w:tcW w:w="564" w:type="dxa"/>
            <w:vAlign w:val="center"/>
          </w:tcPr>
          <w:p w14:paraId="185C4646" w14:textId="77777777" w:rsidR="00814109" w:rsidRPr="00A52DAF" w:rsidRDefault="00814109" w:rsidP="001D23E7">
            <w:pPr>
              <w:jc w:val="center"/>
            </w:pPr>
            <w:r w:rsidRPr="00A52DAF">
              <w:t>2</w:t>
            </w:r>
          </w:p>
        </w:tc>
        <w:tc>
          <w:tcPr>
            <w:tcW w:w="1731" w:type="dxa"/>
            <w:vAlign w:val="center"/>
          </w:tcPr>
          <w:p w14:paraId="2700A61A" w14:textId="1B78D998" w:rsidR="00814109" w:rsidRPr="00A52DAF" w:rsidRDefault="00271E55" w:rsidP="0077028D">
            <w:r w:rsidRPr="00271E55">
              <w:t>Sospechar muerte encefálica</w:t>
            </w:r>
          </w:p>
        </w:tc>
        <w:tc>
          <w:tcPr>
            <w:tcW w:w="3937" w:type="dxa"/>
            <w:vAlign w:val="center"/>
          </w:tcPr>
          <w:p w14:paraId="5EF0EF89" w14:textId="3739F4A5" w:rsidR="00814109" w:rsidRPr="00A52DAF" w:rsidRDefault="00271E55" w:rsidP="0077028D">
            <w:r w:rsidRPr="00271E55">
              <w:t>Identificar signos clínicos compatibles con muerte encefálica: coma profundo, pupilas fijas, ausencia de reflejos y apnea.</w:t>
            </w:r>
          </w:p>
        </w:tc>
        <w:tc>
          <w:tcPr>
            <w:tcW w:w="1676" w:type="dxa"/>
            <w:vAlign w:val="center"/>
          </w:tcPr>
          <w:p w14:paraId="5C224E88" w14:textId="77777777" w:rsidR="00814109" w:rsidRPr="00A52DAF" w:rsidRDefault="00814109" w:rsidP="0077028D">
            <w:r w:rsidRPr="00A52DAF">
              <w:t>Médico especialista de turno</w:t>
            </w:r>
          </w:p>
        </w:tc>
        <w:tc>
          <w:tcPr>
            <w:tcW w:w="2054" w:type="dxa"/>
            <w:vAlign w:val="center"/>
          </w:tcPr>
          <w:p w14:paraId="2B2BA999" w14:textId="77777777" w:rsidR="00814109" w:rsidRPr="00A52DAF" w:rsidRDefault="00814109" w:rsidP="0077028D">
            <w:r w:rsidRPr="00A52DAF">
              <w:t xml:space="preserve">Registro de sospecha en nota de evolución historia clínica salud </w:t>
            </w:r>
            <w:proofErr w:type="spellStart"/>
            <w:r w:rsidRPr="00A52DAF">
              <w:t>ips</w:t>
            </w:r>
            <w:proofErr w:type="spellEnd"/>
            <w:r w:rsidRPr="00A52DAF">
              <w:t xml:space="preserve"> </w:t>
            </w:r>
          </w:p>
        </w:tc>
      </w:tr>
      <w:tr w:rsidR="00814109" w:rsidRPr="00A52DAF" w14:paraId="5B0860DC" w14:textId="77777777" w:rsidTr="0077028D">
        <w:tc>
          <w:tcPr>
            <w:tcW w:w="564" w:type="dxa"/>
            <w:vAlign w:val="center"/>
          </w:tcPr>
          <w:p w14:paraId="7DAA88CD" w14:textId="77777777" w:rsidR="00814109" w:rsidRPr="00A52DAF" w:rsidRDefault="00814109" w:rsidP="001D23E7">
            <w:pPr>
              <w:jc w:val="center"/>
            </w:pPr>
            <w:r w:rsidRPr="00A52DAF">
              <w:t>3</w:t>
            </w:r>
          </w:p>
        </w:tc>
        <w:tc>
          <w:tcPr>
            <w:tcW w:w="1731" w:type="dxa"/>
            <w:vAlign w:val="center"/>
          </w:tcPr>
          <w:p w14:paraId="124F1BBC" w14:textId="0D6520EC" w:rsidR="00814109" w:rsidRPr="00A52DAF" w:rsidRDefault="00271E55" w:rsidP="0077028D">
            <w:r w:rsidRPr="00271E55">
              <w:t>Confirmar diagnóstico mediante pruebas clínicas</w:t>
            </w:r>
          </w:p>
        </w:tc>
        <w:tc>
          <w:tcPr>
            <w:tcW w:w="3937" w:type="dxa"/>
            <w:vAlign w:val="center"/>
          </w:tcPr>
          <w:p w14:paraId="7FE7A720" w14:textId="419F0557" w:rsidR="00814109" w:rsidRPr="00A52DAF" w:rsidRDefault="00271E55" w:rsidP="0077028D">
            <w:r w:rsidRPr="00271E55">
              <w:t>Ejecutar pruebas clínicas y/o instrumentales para confirmar muerte encefálica</w:t>
            </w:r>
            <w:r>
              <w:t>.</w:t>
            </w:r>
          </w:p>
        </w:tc>
        <w:tc>
          <w:tcPr>
            <w:tcW w:w="1676" w:type="dxa"/>
            <w:vAlign w:val="center"/>
          </w:tcPr>
          <w:p w14:paraId="750380CA" w14:textId="77777777" w:rsidR="00814109" w:rsidRPr="00A52DAF" w:rsidRDefault="00814109" w:rsidP="0077028D">
            <w:r w:rsidRPr="00A52DAF">
              <w:t>Médico especialista de turno</w:t>
            </w:r>
          </w:p>
        </w:tc>
        <w:tc>
          <w:tcPr>
            <w:tcW w:w="2054" w:type="dxa"/>
            <w:vAlign w:val="center"/>
          </w:tcPr>
          <w:p w14:paraId="2270C37D" w14:textId="77777777" w:rsidR="00814109" w:rsidRPr="00A52DAF" w:rsidRDefault="00814109" w:rsidP="0077028D">
            <w:r w:rsidRPr="00A52DAF">
              <w:t xml:space="preserve">Informe diagnóstico en historia clínica salud </w:t>
            </w:r>
            <w:proofErr w:type="spellStart"/>
            <w:r w:rsidRPr="00A52DAF">
              <w:t>ips</w:t>
            </w:r>
            <w:proofErr w:type="spellEnd"/>
          </w:p>
        </w:tc>
      </w:tr>
      <w:tr w:rsidR="00814109" w:rsidRPr="00A52DAF" w14:paraId="13D3D339" w14:textId="77777777" w:rsidTr="0077028D">
        <w:tc>
          <w:tcPr>
            <w:tcW w:w="564" w:type="dxa"/>
            <w:vAlign w:val="center"/>
          </w:tcPr>
          <w:p w14:paraId="6B78B894" w14:textId="77777777" w:rsidR="00814109" w:rsidRPr="00A52DAF" w:rsidRDefault="00814109" w:rsidP="001D23E7">
            <w:pPr>
              <w:jc w:val="center"/>
            </w:pPr>
            <w:r w:rsidRPr="00A52DAF">
              <w:t>4</w:t>
            </w:r>
          </w:p>
        </w:tc>
        <w:tc>
          <w:tcPr>
            <w:tcW w:w="1731" w:type="dxa"/>
            <w:vAlign w:val="center"/>
          </w:tcPr>
          <w:p w14:paraId="114DEBBF" w14:textId="77777777" w:rsidR="00814109" w:rsidRPr="00A52DAF" w:rsidRDefault="00814109" w:rsidP="0077028D">
            <w:r w:rsidRPr="00A52DAF">
              <w:t>Verificar oposición</w:t>
            </w:r>
          </w:p>
        </w:tc>
        <w:tc>
          <w:tcPr>
            <w:tcW w:w="3937" w:type="dxa"/>
            <w:vAlign w:val="center"/>
          </w:tcPr>
          <w:p w14:paraId="7559BA1A" w14:textId="4FE66659" w:rsidR="00814109" w:rsidRPr="00A52DAF" w:rsidRDefault="00271E55" w:rsidP="0077028D">
            <w:r w:rsidRPr="00271E55">
              <w:t>Consultar el Registro Nacional del INS o la EPS para confirmar si existe oposición expresa del paciente.</w:t>
            </w:r>
          </w:p>
        </w:tc>
        <w:tc>
          <w:tcPr>
            <w:tcW w:w="1676" w:type="dxa"/>
            <w:vAlign w:val="center"/>
          </w:tcPr>
          <w:p w14:paraId="0E456EBC" w14:textId="77777777" w:rsidR="00814109" w:rsidRPr="00A52DAF" w:rsidRDefault="00814109" w:rsidP="0077028D">
            <w:proofErr w:type="spellStart"/>
            <w:r w:rsidRPr="00A52DAF">
              <w:t>Medico</w:t>
            </w:r>
            <w:proofErr w:type="spellEnd"/>
            <w:r w:rsidRPr="00A52DAF">
              <w:t xml:space="preserve"> especialista de turno// coordinación uci</w:t>
            </w:r>
          </w:p>
        </w:tc>
        <w:tc>
          <w:tcPr>
            <w:tcW w:w="2054" w:type="dxa"/>
            <w:vAlign w:val="center"/>
          </w:tcPr>
          <w:p w14:paraId="18B5DC5E" w14:textId="77777777" w:rsidR="00814109" w:rsidRPr="00A52DAF" w:rsidRDefault="00814109" w:rsidP="0077028D">
            <w:r w:rsidRPr="00A52DAF">
              <w:t xml:space="preserve">Copia </w:t>
            </w:r>
            <w:proofErr w:type="gramStart"/>
            <w:r w:rsidRPr="00A52DAF">
              <w:t>electrónica ,</w:t>
            </w:r>
            <w:proofErr w:type="gramEnd"/>
            <w:r w:rsidRPr="00A52DAF">
              <w:t xml:space="preserve"> registrar en historia clínica salud </w:t>
            </w:r>
            <w:proofErr w:type="spellStart"/>
            <w:r w:rsidRPr="00A52DAF">
              <w:t>ips</w:t>
            </w:r>
            <w:proofErr w:type="spellEnd"/>
          </w:p>
        </w:tc>
      </w:tr>
      <w:tr w:rsidR="00814109" w:rsidRPr="00A52DAF" w14:paraId="13D69470" w14:textId="77777777" w:rsidTr="0077028D">
        <w:tc>
          <w:tcPr>
            <w:tcW w:w="564" w:type="dxa"/>
            <w:vAlign w:val="center"/>
          </w:tcPr>
          <w:p w14:paraId="405AF9B7" w14:textId="77777777" w:rsidR="00814109" w:rsidRPr="00A52DAF" w:rsidRDefault="00814109" w:rsidP="001D23E7">
            <w:pPr>
              <w:jc w:val="center"/>
            </w:pPr>
            <w:r w:rsidRPr="00A52DAF">
              <w:lastRenderedPageBreak/>
              <w:t>5</w:t>
            </w:r>
          </w:p>
        </w:tc>
        <w:tc>
          <w:tcPr>
            <w:tcW w:w="1731" w:type="dxa"/>
            <w:vAlign w:val="center"/>
          </w:tcPr>
          <w:p w14:paraId="7D2AAA4F" w14:textId="3671B6AE" w:rsidR="00814109" w:rsidRPr="00A52DAF" w:rsidRDefault="00271E55" w:rsidP="0077028D">
            <w:r w:rsidRPr="00271E55">
              <w:t>Mantener soporte vital del potencial donante</w:t>
            </w:r>
          </w:p>
        </w:tc>
        <w:tc>
          <w:tcPr>
            <w:tcW w:w="3937" w:type="dxa"/>
            <w:vAlign w:val="center"/>
          </w:tcPr>
          <w:p w14:paraId="68D487D1" w14:textId="1A4299A1" w:rsidR="00814109" w:rsidRPr="00A52DAF" w:rsidRDefault="00271E55" w:rsidP="0077028D">
            <w:r w:rsidRPr="00271E55">
              <w:t>Garantizar soporte hemodinámico, equilibrio hormonal, estabilidad metabólica y adecuada perfusión tisular.</w:t>
            </w:r>
          </w:p>
        </w:tc>
        <w:tc>
          <w:tcPr>
            <w:tcW w:w="1676" w:type="dxa"/>
            <w:vAlign w:val="center"/>
          </w:tcPr>
          <w:p w14:paraId="3C6B4527" w14:textId="77777777" w:rsidR="00814109" w:rsidRPr="00A52DAF" w:rsidRDefault="00814109" w:rsidP="0077028D">
            <w:r w:rsidRPr="00A52DAF">
              <w:t xml:space="preserve">Medico hospitalario, médico especialista de turno, </w:t>
            </w:r>
          </w:p>
          <w:p w14:paraId="7A48B60B" w14:textId="77777777" w:rsidR="00814109" w:rsidRPr="00A52DAF" w:rsidRDefault="00814109" w:rsidP="0077028D">
            <w:r w:rsidRPr="00A52DAF">
              <w:t xml:space="preserve">Enfermera profesional de turno, </w:t>
            </w:r>
            <w:proofErr w:type="gramStart"/>
            <w:r w:rsidRPr="00A52DAF">
              <w:t>fisioterapeutas ,</w:t>
            </w:r>
            <w:proofErr w:type="gramEnd"/>
            <w:r w:rsidRPr="00A52DAF">
              <w:t xml:space="preserve"> enfermeros auxiliares</w:t>
            </w:r>
          </w:p>
        </w:tc>
        <w:tc>
          <w:tcPr>
            <w:tcW w:w="2054" w:type="dxa"/>
            <w:vAlign w:val="center"/>
          </w:tcPr>
          <w:p w14:paraId="527CABC5" w14:textId="77777777" w:rsidR="00814109" w:rsidRPr="00A52DAF" w:rsidRDefault="00814109" w:rsidP="0077028D">
            <w:r w:rsidRPr="00A52DAF">
              <w:t>Hoja de enfermería, historia clínica SALUD IPS</w:t>
            </w:r>
          </w:p>
        </w:tc>
      </w:tr>
      <w:tr w:rsidR="00814109" w:rsidRPr="00A52DAF" w14:paraId="48568DD0" w14:textId="77777777" w:rsidTr="0077028D">
        <w:tc>
          <w:tcPr>
            <w:tcW w:w="564" w:type="dxa"/>
            <w:vAlign w:val="center"/>
          </w:tcPr>
          <w:p w14:paraId="2A09476F" w14:textId="77777777" w:rsidR="00814109" w:rsidRPr="00A52DAF" w:rsidRDefault="00814109" w:rsidP="001D23E7">
            <w:pPr>
              <w:jc w:val="center"/>
            </w:pPr>
            <w:r w:rsidRPr="00A52DAF">
              <w:t>6</w:t>
            </w:r>
          </w:p>
        </w:tc>
        <w:tc>
          <w:tcPr>
            <w:tcW w:w="1731" w:type="dxa"/>
            <w:vAlign w:val="center"/>
          </w:tcPr>
          <w:p w14:paraId="41063063" w14:textId="074B6C30" w:rsidR="00814109" w:rsidRPr="00A52DAF" w:rsidRDefault="00271E55" w:rsidP="0077028D">
            <w:r w:rsidRPr="00271E55">
              <w:t>Notificar a la Red Nacional de Trasplantes</w:t>
            </w:r>
          </w:p>
        </w:tc>
        <w:tc>
          <w:tcPr>
            <w:tcW w:w="3937" w:type="dxa"/>
            <w:vAlign w:val="center"/>
          </w:tcPr>
          <w:p w14:paraId="257B0F3F" w14:textId="6A04905A" w:rsidR="00814109" w:rsidRPr="00A52DAF" w:rsidRDefault="00271E55" w:rsidP="0077028D">
            <w:r w:rsidRPr="00271E55">
              <w:t>Contactar de forma inmediata a la Red de Trasplantes regional (ej. Hospital San Pedro, Pasto) para activación del proceso.</w:t>
            </w:r>
          </w:p>
        </w:tc>
        <w:tc>
          <w:tcPr>
            <w:tcW w:w="1676" w:type="dxa"/>
            <w:vAlign w:val="center"/>
          </w:tcPr>
          <w:p w14:paraId="7D04B016" w14:textId="77777777" w:rsidR="00814109" w:rsidRPr="00A52DAF" w:rsidRDefault="00814109" w:rsidP="0077028D">
            <w:r w:rsidRPr="00A52DAF">
              <w:t>Médico especialista de turno</w:t>
            </w:r>
          </w:p>
        </w:tc>
        <w:tc>
          <w:tcPr>
            <w:tcW w:w="2054" w:type="dxa"/>
            <w:vAlign w:val="center"/>
          </w:tcPr>
          <w:p w14:paraId="37E431C8" w14:textId="77777777" w:rsidR="00814109" w:rsidRPr="00A52DAF" w:rsidRDefault="00814109" w:rsidP="0077028D">
            <w:r w:rsidRPr="00A52DAF">
              <w:t>Registro en historia clínica SALUD IPS la llamada/email</w:t>
            </w:r>
          </w:p>
        </w:tc>
      </w:tr>
      <w:tr w:rsidR="00814109" w:rsidRPr="00A52DAF" w14:paraId="37B9A732" w14:textId="77777777" w:rsidTr="0077028D">
        <w:tc>
          <w:tcPr>
            <w:tcW w:w="564" w:type="dxa"/>
            <w:vAlign w:val="center"/>
          </w:tcPr>
          <w:p w14:paraId="3B8B3B54" w14:textId="77777777" w:rsidR="00814109" w:rsidRPr="00A52DAF" w:rsidRDefault="00814109" w:rsidP="001D23E7">
            <w:pPr>
              <w:jc w:val="center"/>
            </w:pPr>
            <w:r w:rsidRPr="00A52DAF">
              <w:t>7</w:t>
            </w:r>
          </w:p>
        </w:tc>
        <w:tc>
          <w:tcPr>
            <w:tcW w:w="1731" w:type="dxa"/>
            <w:vAlign w:val="center"/>
          </w:tcPr>
          <w:p w14:paraId="676FEC64" w14:textId="3194C834" w:rsidR="00814109" w:rsidRPr="00A52DAF" w:rsidRDefault="00271E55" w:rsidP="0077028D">
            <w:r w:rsidRPr="00271E55">
              <w:t>Comunicar proceso a la familia del paciente</w:t>
            </w:r>
          </w:p>
        </w:tc>
        <w:tc>
          <w:tcPr>
            <w:tcW w:w="3937" w:type="dxa"/>
            <w:vAlign w:val="center"/>
          </w:tcPr>
          <w:p w14:paraId="4BCCA13A" w14:textId="76E42ED6" w:rsidR="00814109" w:rsidRPr="00A52DAF" w:rsidRDefault="00271E55" w:rsidP="0077028D">
            <w:r w:rsidRPr="00271E55">
              <w:t>Realizar entrevista de acompañamiento, orientación y abordaje emocional del duelo con enfoque empático.</w:t>
            </w:r>
          </w:p>
        </w:tc>
        <w:tc>
          <w:tcPr>
            <w:tcW w:w="1676" w:type="dxa"/>
            <w:vAlign w:val="center"/>
          </w:tcPr>
          <w:p w14:paraId="0452134D" w14:textId="77777777" w:rsidR="00814109" w:rsidRPr="00A52DAF" w:rsidRDefault="00814109" w:rsidP="0077028D">
            <w:r w:rsidRPr="00A52DAF">
              <w:t xml:space="preserve"> Psicología, trabajo </w:t>
            </w:r>
            <w:proofErr w:type="gramStart"/>
            <w:r w:rsidRPr="00A52DAF">
              <w:t>social ,</w:t>
            </w:r>
            <w:proofErr w:type="gramEnd"/>
            <w:r w:rsidRPr="00A52DAF">
              <w:t xml:space="preserve"> médico especialista de turno</w:t>
            </w:r>
          </w:p>
        </w:tc>
        <w:tc>
          <w:tcPr>
            <w:tcW w:w="2054" w:type="dxa"/>
            <w:vAlign w:val="center"/>
          </w:tcPr>
          <w:p w14:paraId="5BBB33A8" w14:textId="77777777" w:rsidR="00814109" w:rsidRPr="00A52DAF" w:rsidRDefault="00814109" w:rsidP="0077028D">
            <w:r w:rsidRPr="00A52DAF">
              <w:t xml:space="preserve">Formato entrevista de psicología, trabajo </w:t>
            </w:r>
            <w:proofErr w:type="gramStart"/>
            <w:r w:rsidRPr="00A52DAF">
              <w:t>social ,</w:t>
            </w:r>
            <w:proofErr w:type="gramEnd"/>
            <w:r w:rsidRPr="00A52DAF">
              <w:t xml:space="preserve"> registro en  historia clínica SALUD IPS</w:t>
            </w:r>
          </w:p>
        </w:tc>
      </w:tr>
      <w:tr w:rsidR="00814109" w:rsidRPr="00A52DAF" w14:paraId="4A77C73B" w14:textId="77777777" w:rsidTr="0077028D">
        <w:tc>
          <w:tcPr>
            <w:tcW w:w="564" w:type="dxa"/>
            <w:vAlign w:val="center"/>
          </w:tcPr>
          <w:p w14:paraId="685009F8" w14:textId="77777777" w:rsidR="00814109" w:rsidRPr="00A52DAF" w:rsidRDefault="00814109" w:rsidP="001D23E7">
            <w:pPr>
              <w:jc w:val="center"/>
            </w:pPr>
            <w:r w:rsidRPr="00A52DAF">
              <w:t>8</w:t>
            </w:r>
          </w:p>
        </w:tc>
        <w:tc>
          <w:tcPr>
            <w:tcW w:w="1731" w:type="dxa"/>
            <w:vAlign w:val="center"/>
          </w:tcPr>
          <w:p w14:paraId="619B6302" w14:textId="2C106C8E" w:rsidR="00814109" w:rsidRPr="00A52DAF" w:rsidRDefault="00271E55" w:rsidP="0077028D">
            <w:r w:rsidRPr="00271E55">
              <w:t>Tomar muestras para estudios de compatibilidad</w:t>
            </w:r>
          </w:p>
        </w:tc>
        <w:tc>
          <w:tcPr>
            <w:tcW w:w="3937" w:type="dxa"/>
            <w:vAlign w:val="center"/>
          </w:tcPr>
          <w:p w14:paraId="21321D7E" w14:textId="396A5DF5" w:rsidR="00814109" w:rsidRPr="00A52DAF" w:rsidRDefault="00271E55" w:rsidP="0077028D">
            <w:r w:rsidRPr="00271E55">
              <w:t xml:space="preserve">Extraer y procesar muestras institucionales para </w:t>
            </w:r>
            <w:proofErr w:type="spellStart"/>
            <w:r w:rsidRPr="00271E55">
              <w:t>tipaje</w:t>
            </w:r>
            <w:proofErr w:type="spellEnd"/>
            <w:r w:rsidRPr="00271E55">
              <w:t xml:space="preserve"> sanguíneo, serologías e infecciones.</w:t>
            </w:r>
          </w:p>
        </w:tc>
        <w:tc>
          <w:tcPr>
            <w:tcW w:w="1676" w:type="dxa"/>
            <w:vAlign w:val="center"/>
          </w:tcPr>
          <w:p w14:paraId="1AA2357B" w14:textId="77777777" w:rsidR="00814109" w:rsidRPr="00A52DAF" w:rsidRDefault="00814109" w:rsidP="0077028D">
            <w:r w:rsidRPr="00A52DAF">
              <w:t>Laboratorio</w:t>
            </w:r>
          </w:p>
        </w:tc>
        <w:tc>
          <w:tcPr>
            <w:tcW w:w="2054" w:type="dxa"/>
            <w:vAlign w:val="center"/>
          </w:tcPr>
          <w:p w14:paraId="5BEA66D4" w14:textId="77777777" w:rsidR="00814109" w:rsidRPr="00A52DAF" w:rsidRDefault="00814109" w:rsidP="0077028D">
            <w:r w:rsidRPr="00A52DAF">
              <w:t>Resultados en historia clínica SALUD IPS</w:t>
            </w:r>
          </w:p>
        </w:tc>
      </w:tr>
      <w:tr w:rsidR="00814109" w:rsidRPr="00A52DAF" w14:paraId="3F906034" w14:textId="77777777" w:rsidTr="0077028D">
        <w:tc>
          <w:tcPr>
            <w:tcW w:w="564" w:type="dxa"/>
            <w:vAlign w:val="center"/>
          </w:tcPr>
          <w:p w14:paraId="7022F1B5" w14:textId="77777777" w:rsidR="00814109" w:rsidRPr="00A52DAF" w:rsidRDefault="00814109" w:rsidP="001D23E7">
            <w:pPr>
              <w:jc w:val="center"/>
            </w:pPr>
            <w:r w:rsidRPr="00A52DAF">
              <w:t>9</w:t>
            </w:r>
          </w:p>
        </w:tc>
        <w:tc>
          <w:tcPr>
            <w:tcW w:w="1731" w:type="dxa"/>
            <w:vAlign w:val="center"/>
          </w:tcPr>
          <w:p w14:paraId="079F8D57" w14:textId="50CA0A15" w:rsidR="00814109" w:rsidRPr="00A52DAF" w:rsidRDefault="00271E55" w:rsidP="0077028D">
            <w:r w:rsidRPr="00271E55">
              <w:t>Obtener consentimiento formal (si aplica)</w:t>
            </w:r>
          </w:p>
        </w:tc>
        <w:tc>
          <w:tcPr>
            <w:tcW w:w="3937" w:type="dxa"/>
            <w:vAlign w:val="center"/>
          </w:tcPr>
          <w:p w14:paraId="0EFDFB54" w14:textId="591CF312" w:rsidR="00814109" w:rsidRPr="00A52DAF" w:rsidRDefault="00271E55" w:rsidP="0077028D">
            <w:r w:rsidRPr="00271E55">
              <w:t>Si no hay oposición registrada, gestionar la firma del acta de consentimiento y registrar formalmente en la historia clínica.</w:t>
            </w:r>
          </w:p>
        </w:tc>
        <w:tc>
          <w:tcPr>
            <w:tcW w:w="1676" w:type="dxa"/>
            <w:vAlign w:val="center"/>
          </w:tcPr>
          <w:p w14:paraId="409F8C40" w14:textId="77777777" w:rsidR="00814109" w:rsidRPr="00A52DAF" w:rsidRDefault="00814109" w:rsidP="0077028D">
            <w:r w:rsidRPr="00A52DAF">
              <w:t>Coordinador</w:t>
            </w:r>
          </w:p>
        </w:tc>
        <w:tc>
          <w:tcPr>
            <w:tcW w:w="2054" w:type="dxa"/>
            <w:vAlign w:val="center"/>
          </w:tcPr>
          <w:p w14:paraId="43D438B5" w14:textId="77777777" w:rsidR="00814109" w:rsidRPr="00A52DAF" w:rsidRDefault="00814109" w:rsidP="0077028D">
            <w:r w:rsidRPr="00A52DAF">
              <w:t>Acta firmada Y Registro en historia clínica SALUD IPS</w:t>
            </w:r>
          </w:p>
        </w:tc>
      </w:tr>
      <w:tr w:rsidR="00814109" w:rsidRPr="00A52DAF" w14:paraId="67FCDE35" w14:textId="77777777" w:rsidTr="0077028D">
        <w:tc>
          <w:tcPr>
            <w:tcW w:w="564" w:type="dxa"/>
            <w:vAlign w:val="center"/>
          </w:tcPr>
          <w:p w14:paraId="20C78CAD" w14:textId="77777777" w:rsidR="00814109" w:rsidRPr="00A52DAF" w:rsidRDefault="00814109" w:rsidP="001D23E7">
            <w:pPr>
              <w:jc w:val="center"/>
            </w:pPr>
            <w:r w:rsidRPr="00A52DAF">
              <w:t>10</w:t>
            </w:r>
          </w:p>
        </w:tc>
        <w:tc>
          <w:tcPr>
            <w:tcW w:w="1731" w:type="dxa"/>
            <w:vAlign w:val="center"/>
          </w:tcPr>
          <w:p w14:paraId="226C7DE6" w14:textId="382BDE8E" w:rsidR="00814109" w:rsidRPr="00A52DAF" w:rsidRDefault="00271E55" w:rsidP="0077028D">
            <w:r w:rsidRPr="00271E55">
              <w:t>Realizar auditoría interna</w:t>
            </w:r>
          </w:p>
        </w:tc>
        <w:tc>
          <w:tcPr>
            <w:tcW w:w="3937" w:type="dxa"/>
            <w:vAlign w:val="center"/>
          </w:tcPr>
          <w:p w14:paraId="3726AB1C" w14:textId="4D7093B1" w:rsidR="00814109" w:rsidRPr="00A52DAF" w:rsidRDefault="00271E55" w:rsidP="0077028D">
            <w:r w:rsidRPr="00271E55">
              <w:t>Verificar el cumplimiento del protocolo mediante revisión de documentación y trazabilidad del caso.</w:t>
            </w:r>
          </w:p>
        </w:tc>
        <w:tc>
          <w:tcPr>
            <w:tcW w:w="1676" w:type="dxa"/>
            <w:vAlign w:val="center"/>
          </w:tcPr>
          <w:p w14:paraId="617F20BE" w14:textId="77777777" w:rsidR="00814109" w:rsidRPr="00A52DAF" w:rsidRDefault="00814109" w:rsidP="0077028D">
            <w:r w:rsidRPr="00A52DAF">
              <w:t xml:space="preserve">Médico especialista de turno, Coordinación médica, coordinación de uci, </w:t>
            </w:r>
          </w:p>
        </w:tc>
        <w:tc>
          <w:tcPr>
            <w:tcW w:w="2054" w:type="dxa"/>
            <w:vAlign w:val="center"/>
          </w:tcPr>
          <w:p w14:paraId="6518157A" w14:textId="77777777" w:rsidR="00814109" w:rsidRPr="00A52DAF" w:rsidRDefault="00814109" w:rsidP="0077028D">
            <w:r w:rsidRPr="00A52DAF">
              <w:t>Informe auditoría</w:t>
            </w:r>
          </w:p>
        </w:tc>
      </w:tr>
    </w:tbl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es-ES"/>
        </w:rPr>
        <w:id w:val="-856584376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48DA6419" w14:textId="337964C0" w:rsidR="00F779BE" w:rsidRPr="00F779BE" w:rsidRDefault="00F779BE" w:rsidP="004D3F12">
          <w:pPr>
            <w:pStyle w:val="Ttulo1"/>
            <w:numPr>
              <w:ilvl w:val="0"/>
              <w:numId w:val="18"/>
            </w:numPr>
            <w:rPr>
              <w:rFonts w:ascii="Century Gothic" w:hAnsi="Century Gothic"/>
              <w:b/>
              <w:bCs/>
              <w:color w:val="auto"/>
              <w:sz w:val="22"/>
              <w:szCs w:val="22"/>
              <w:lang w:val="es-ES"/>
            </w:rPr>
          </w:pPr>
          <w:r w:rsidRPr="00F779BE">
            <w:rPr>
              <w:rFonts w:ascii="Century Gothic" w:hAnsi="Century Gothic"/>
              <w:b/>
              <w:bCs/>
              <w:color w:val="auto"/>
              <w:sz w:val="22"/>
              <w:szCs w:val="22"/>
              <w:lang w:val="es-ES"/>
            </w:rPr>
            <w:t>REFERENCIAS BIBLIOGRAFICAS</w:t>
          </w:r>
        </w:p>
        <w:p w14:paraId="20FEC6BA" w14:textId="2C6FE531" w:rsidR="00F779BE" w:rsidRPr="004D3F12" w:rsidRDefault="00D13A5F" w:rsidP="004D3F12">
          <w:pPr>
            <w:pStyle w:val="Prrafodelista"/>
            <w:numPr>
              <w:ilvl w:val="0"/>
              <w:numId w:val="25"/>
            </w:numPr>
            <w:rPr>
              <w:lang w:val="es-ES"/>
            </w:rPr>
          </w:pPr>
          <w:hyperlink r:id="rId10" w:history="1">
            <w:r w:rsidR="00F779BE" w:rsidRPr="004D3F12">
              <w:rPr>
                <w:rStyle w:val="Hipervnculo"/>
                <w:lang w:val="es-ES"/>
              </w:rPr>
              <w:t>https://www.alcaldiabogota.gov.co/sisjur/normas/Norma1.jsp?i=1177</w:t>
            </w:r>
          </w:hyperlink>
        </w:p>
        <w:p w14:paraId="5BB86423" w14:textId="0746CB60" w:rsidR="00F779BE" w:rsidRPr="004D3F12" w:rsidRDefault="00D13A5F" w:rsidP="004D3F12">
          <w:pPr>
            <w:pStyle w:val="Prrafodelista"/>
            <w:numPr>
              <w:ilvl w:val="0"/>
              <w:numId w:val="25"/>
            </w:numPr>
            <w:rPr>
              <w:lang w:val="es-ES"/>
            </w:rPr>
          </w:pPr>
          <w:hyperlink r:id="rId11" w:history="1">
            <w:r w:rsidR="00F779BE" w:rsidRPr="004D3F12">
              <w:rPr>
                <w:rStyle w:val="Hipervnculo"/>
                <w:lang w:val="es-ES"/>
              </w:rPr>
              <w:t>https://www.funcionpublica.gov.co/eva/gestornormativo/norma.php?i=14524</w:t>
            </w:r>
          </w:hyperlink>
        </w:p>
        <w:p w14:paraId="06F4F10A" w14:textId="6E8B2988" w:rsidR="00F779BE" w:rsidRPr="004D3F12" w:rsidRDefault="00D13A5F" w:rsidP="004D3F12">
          <w:pPr>
            <w:pStyle w:val="Prrafodelista"/>
            <w:numPr>
              <w:ilvl w:val="0"/>
              <w:numId w:val="25"/>
            </w:numPr>
            <w:rPr>
              <w:lang w:val="es-ES"/>
            </w:rPr>
          </w:pPr>
          <w:hyperlink r:id="rId12" w:history="1">
            <w:r w:rsidR="00F779BE" w:rsidRPr="004D3F12">
              <w:rPr>
                <w:rStyle w:val="Hipervnculo"/>
                <w:lang w:val="es-ES"/>
              </w:rPr>
              <w:t>https://www.funcionpublica.gov.co/eva/gestornormativo/norma.php?i=15507</w:t>
            </w:r>
          </w:hyperlink>
        </w:p>
        <w:p w14:paraId="585DCA05" w14:textId="71D68459" w:rsidR="00F779BE" w:rsidRPr="004D3F12" w:rsidRDefault="00D13A5F" w:rsidP="004D3F12">
          <w:pPr>
            <w:pStyle w:val="Prrafodelista"/>
            <w:numPr>
              <w:ilvl w:val="0"/>
              <w:numId w:val="25"/>
            </w:numPr>
            <w:rPr>
              <w:lang w:val="es-ES"/>
            </w:rPr>
          </w:pPr>
          <w:hyperlink r:id="rId13" w:history="1">
            <w:r w:rsidR="00F779BE" w:rsidRPr="004D3F12">
              <w:rPr>
                <w:rStyle w:val="Hipervnculo"/>
                <w:lang w:val="es-ES"/>
              </w:rPr>
              <w:t>https://www.suin-juriscol.gov.co/viewDocument.asp?ruta=Leyes/30022839</w:t>
            </w:r>
          </w:hyperlink>
        </w:p>
        <w:p w14:paraId="62122686" w14:textId="3CC72EE5" w:rsidR="00F779BE" w:rsidRPr="004D3F12" w:rsidRDefault="00D13A5F" w:rsidP="004D3F12">
          <w:pPr>
            <w:pStyle w:val="Prrafodelista"/>
            <w:numPr>
              <w:ilvl w:val="0"/>
              <w:numId w:val="25"/>
            </w:numPr>
            <w:rPr>
              <w:lang w:val="es-ES"/>
            </w:rPr>
          </w:pPr>
          <w:hyperlink r:id="rId14" w:history="1">
            <w:r w:rsidR="00F779BE" w:rsidRPr="004D3F12">
              <w:rPr>
                <w:rStyle w:val="Hipervnculo"/>
                <w:lang w:val="es-ES"/>
              </w:rPr>
              <w:t>https://www.minsalud.gov.co/Normatividad_Nuevo/DECRETO%202493%20DE%202004.pdf</w:t>
            </w:r>
          </w:hyperlink>
        </w:p>
        <w:p w14:paraId="4E7C5A5D" w14:textId="0D7DF22B" w:rsidR="00F779BE" w:rsidRDefault="00D13A5F" w:rsidP="004D3F12">
          <w:pPr>
            <w:pStyle w:val="Prrafodelista"/>
            <w:numPr>
              <w:ilvl w:val="0"/>
              <w:numId w:val="25"/>
            </w:numPr>
            <w:rPr>
              <w:lang w:val="es-ES"/>
            </w:rPr>
          </w:pPr>
          <w:hyperlink r:id="rId15" w:history="1">
            <w:r w:rsidR="004D3F12" w:rsidRPr="004D3F12">
              <w:rPr>
                <w:rStyle w:val="Hipervnculo"/>
                <w:lang w:val="es-ES"/>
              </w:rPr>
              <w:t>https://www.alcaldiabogota.gov.co/sisjur/normas/Norma1.jsp?i=117221</w:t>
            </w:r>
          </w:hyperlink>
        </w:p>
        <w:p w14:paraId="665A5671" w14:textId="2F2F3474" w:rsidR="00D075A5" w:rsidRPr="00301495" w:rsidRDefault="00D13A5F" w:rsidP="00301495">
          <w:pPr>
            <w:pStyle w:val="Prrafodelista"/>
            <w:numPr>
              <w:ilvl w:val="0"/>
              <w:numId w:val="25"/>
            </w:numPr>
            <w:rPr>
              <w:lang w:val="es-ES"/>
            </w:rPr>
          </w:pPr>
          <w:hyperlink r:id="rId16" w:history="1">
            <w:r w:rsidR="00581A8B" w:rsidRPr="009D300F">
              <w:rPr>
                <w:rStyle w:val="Hipervnculo"/>
                <w:lang w:val="es-ES"/>
              </w:rPr>
              <w:t>https://pubmed.ncbi.nlm.nih.gov/21235034/</w:t>
            </w:r>
          </w:hyperlink>
        </w:p>
      </w:sdtContent>
    </w:sdt>
    <w:p w14:paraId="0CE23EFE" w14:textId="77777777" w:rsidR="00D13F7A" w:rsidRDefault="00D13F7A" w:rsidP="00D13F7A">
      <w:pPr>
        <w:widowControl w:val="0"/>
        <w:autoSpaceDE w:val="0"/>
        <w:autoSpaceDN w:val="0"/>
        <w:ind w:left="360"/>
        <w:rPr>
          <w:rFonts w:eastAsia="Verdana" w:cs="Verdana"/>
          <w:b/>
          <w:lang w:val="es-ES"/>
        </w:rPr>
      </w:pPr>
    </w:p>
    <w:p w14:paraId="19A87AA2" w14:textId="09D69CE5" w:rsidR="00581A8B" w:rsidRDefault="000A4EFF" w:rsidP="00D13F7A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  <w:lang w:val="es-ES"/>
        </w:rPr>
      </w:pPr>
      <w:r w:rsidRPr="00D13F7A">
        <w:rPr>
          <w:rFonts w:eastAsia="Verdana" w:cs="Verdana"/>
          <w:b/>
          <w:lang w:val="es-ES"/>
        </w:rPr>
        <w:t xml:space="preserve">ANEXOS </w:t>
      </w:r>
    </w:p>
    <w:p w14:paraId="094DAA3A" w14:textId="77777777" w:rsidR="00D13F7A" w:rsidRPr="00D13F7A" w:rsidRDefault="00D13F7A" w:rsidP="00D13F7A">
      <w:pPr>
        <w:pStyle w:val="Prrafodelista"/>
        <w:widowControl w:val="0"/>
        <w:autoSpaceDE w:val="0"/>
        <w:autoSpaceDN w:val="0"/>
        <w:rPr>
          <w:rFonts w:eastAsia="Verdana" w:cs="Verdana"/>
          <w:b/>
          <w:lang w:val="es-ES"/>
        </w:rPr>
      </w:pPr>
    </w:p>
    <w:p w14:paraId="3055AD23" w14:textId="759B616F" w:rsidR="00301495" w:rsidRDefault="00D13F7A" w:rsidP="00D13F7A">
      <w:pPr>
        <w:pStyle w:val="Prrafodelista"/>
        <w:widowControl w:val="0"/>
        <w:autoSpaceDE w:val="0"/>
        <w:autoSpaceDN w:val="0"/>
        <w:jc w:val="left"/>
        <w:rPr>
          <w:rFonts w:eastAsia="Verdana" w:cs="Verdana"/>
          <w:b/>
          <w:lang w:val="es-ES"/>
        </w:rPr>
      </w:pPr>
      <w:r>
        <w:rPr>
          <w:rFonts w:eastAsia="Verdana" w:cs="Verdana"/>
          <w:b/>
          <w:lang w:val="es-ES"/>
        </w:rPr>
        <w:t>ANEXO 1 CONTACTOS REGIONALES DE LA RED</w:t>
      </w:r>
    </w:p>
    <w:p w14:paraId="2336D6AE" w14:textId="77777777" w:rsidR="00D13F7A" w:rsidRPr="000A4EFF" w:rsidRDefault="00D13F7A" w:rsidP="00D13F7A">
      <w:pPr>
        <w:pStyle w:val="Prrafodelista"/>
        <w:widowControl w:val="0"/>
        <w:autoSpaceDE w:val="0"/>
        <w:autoSpaceDN w:val="0"/>
        <w:jc w:val="left"/>
        <w:rPr>
          <w:rFonts w:eastAsia="Verdana" w:cs="Verdana"/>
          <w:b/>
          <w:lang w:val="es-ES"/>
        </w:rPr>
      </w:pPr>
    </w:p>
    <w:tbl>
      <w:tblPr>
        <w:tblStyle w:val="Tablaconcuadrcula"/>
        <w:tblW w:w="0" w:type="auto"/>
        <w:tblInd w:w="376" w:type="dxa"/>
        <w:tblLook w:val="04A0" w:firstRow="1" w:lastRow="0" w:firstColumn="1" w:lastColumn="0" w:noHBand="0" w:noVBand="1"/>
      </w:tblPr>
      <w:tblGrid>
        <w:gridCol w:w="3544"/>
        <w:gridCol w:w="5670"/>
      </w:tblGrid>
      <w:tr w:rsidR="000A4EFF" w14:paraId="4B6810A5" w14:textId="77777777" w:rsidTr="00301495">
        <w:tc>
          <w:tcPr>
            <w:tcW w:w="9214" w:type="dxa"/>
            <w:gridSpan w:val="2"/>
            <w:shd w:val="clear" w:color="auto" w:fill="D9E2F3" w:themeFill="accent5" w:themeFillTint="33"/>
          </w:tcPr>
          <w:p w14:paraId="3C7764F0" w14:textId="50E1B43C" w:rsidR="000A4EFF" w:rsidRPr="000A4EFF" w:rsidRDefault="000A4EFF" w:rsidP="000A4EFF">
            <w:pPr>
              <w:widowControl w:val="0"/>
              <w:autoSpaceDE w:val="0"/>
              <w:autoSpaceDN w:val="0"/>
              <w:jc w:val="center"/>
              <w:rPr>
                <w:rFonts w:eastAsia="Verdana" w:cs="Verdana"/>
                <w:b/>
                <w:lang w:val="es-ES"/>
              </w:rPr>
            </w:pPr>
            <w:r w:rsidRPr="000A4EFF">
              <w:rPr>
                <w:rFonts w:eastAsia="Verdana" w:cs="Verdana"/>
                <w:b/>
                <w:lang w:val="es-ES"/>
              </w:rPr>
              <w:t>CONTACTOS REGIONALES DE LA RED</w:t>
            </w:r>
          </w:p>
        </w:tc>
      </w:tr>
      <w:tr w:rsidR="000A4EFF" w14:paraId="03D335AA" w14:textId="77777777" w:rsidTr="00301495">
        <w:trPr>
          <w:trHeight w:val="549"/>
        </w:trPr>
        <w:tc>
          <w:tcPr>
            <w:tcW w:w="9214" w:type="dxa"/>
            <w:gridSpan w:val="2"/>
          </w:tcPr>
          <w:p w14:paraId="0C58BF10" w14:textId="77777777" w:rsidR="000A4EFF" w:rsidRPr="00301495" w:rsidRDefault="000A4EFF" w:rsidP="000A4EFF">
            <w:pPr>
              <w:widowControl w:val="0"/>
              <w:autoSpaceDE w:val="0"/>
              <w:autoSpaceDN w:val="0"/>
              <w:jc w:val="center"/>
              <w:rPr>
                <w:rFonts w:eastAsia="Verdana" w:cs="Verdana"/>
                <w:b/>
                <w:lang w:val="es-ES"/>
              </w:rPr>
            </w:pPr>
            <w:r w:rsidRPr="00301495">
              <w:rPr>
                <w:rFonts w:eastAsia="Verdana" w:cs="Verdana"/>
                <w:b/>
                <w:lang w:val="es-ES"/>
              </w:rPr>
              <w:t>Unidad de Trasplantes – Fundación Hospital San Pedro</w:t>
            </w:r>
          </w:p>
          <w:p w14:paraId="0658481D" w14:textId="43A66DFA" w:rsidR="000A4EFF" w:rsidRPr="00301495" w:rsidRDefault="000A4EFF" w:rsidP="000A4EFF">
            <w:pPr>
              <w:widowControl w:val="0"/>
              <w:autoSpaceDE w:val="0"/>
              <w:autoSpaceDN w:val="0"/>
              <w:jc w:val="center"/>
              <w:rPr>
                <w:rFonts w:eastAsia="Verdana" w:cs="Verdana"/>
                <w:b/>
                <w:lang w:val="es-ES"/>
              </w:rPr>
            </w:pPr>
            <w:r w:rsidRPr="00301495">
              <w:rPr>
                <w:rFonts w:eastAsia="Verdana" w:cs="Verdana"/>
                <w:b/>
                <w:lang w:val="es-ES"/>
              </w:rPr>
              <w:t>Principal centro de donación y trasplante en Pasto</w:t>
            </w:r>
          </w:p>
        </w:tc>
      </w:tr>
      <w:tr w:rsidR="000A4EFF" w14:paraId="230D0FF0" w14:textId="77777777" w:rsidTr="00301495">
        <w:tc>
          <w:tcPr>
            <w:tcW w:w="3544" w:type="dxa"/>
          </w:tcPr>
          <w:p w14:paraId="15617C45" w14:textId="5B7BB531" w:rsidR="000A4EFF" w:rsidRDefault="000A4EFF" w:rsidP="00617B5C">
            <w:pPr>
              <w:widowControl w:val="0"/>
              <w:autoSpaceDE w:val="0"/>
              <w:autoSpaceDN w:val="0"/>
              <w:rPr>
                <w:rFonts w:eastAsia="Verdana" w:cs="Verdana"/>
                <w:lang w:val="es-ES"/>
              </w:rPr>
            </w:pPr>
            <w:r w:rsidRPr="000A4EFF">
              <w:rPr>
                <w:rFonts w:eastAsia="Verdana" w:cs="Verdana"/>
                <w:lang w:val="es-ES"/>
              </w:rPr>
              <w:t>Correo para trasplantes:</w:t>
            </w:r>
          </w:p>
        </w:tc>
        <w:tc>
          <w:tcPr>
            <w:tcW w:w="5670" w:type="dxa"/>
          </w:tcPr>
          <w:p w14:paraId="57E90FB9" w14:textId="7A64F418" w:rsidR="000A4EFF" w:rsidRDefault="00D13A5F" w:rsidP="00617B5C">
            <w:pPr>
              <w:widowControl w:val="0"/>
              <w:autoSpaceDE w:val="0"/>
              <w:autoSpaceDN w:val="0"/>
              <w:rPr>
                <w:rFonts w:eastAsia="Verdana" w:cs="Verdana"/>
                <w:lang w:val="es-ES"/>
              </w:rPr>
            </w:pPr>
            <w:hyperlink r:id="rId17" w:history="1">
              <w:r w:rsidR="000A4EFF" w:rsidRPr="00A52DAF">
                <w:rPr>
                  <w:rStyle w:val="Hipervnculo"/>
                </w:rPr>
                <w:t>utrasplantes@hospitalsanpedro.org</w:t>
              </w:r>
            </w:hyperlink>
          </w:p>
        </w:tc>
      </w:tr>
      <w:tr w:rsidR="000A4EFF" w14:paraId="71651499" w14:textId="77777777" w:rsidTr="00301495">
        <w:tc>
          <w:tcPr>
            <w:tcW w:w="3544" w:type="dxa"/>
          </w:tcPr>
          <w:p w14:paraId="47293AF6" w14:textId="31483AFE" w:rsidR="000A4EFF" w:rsidRDefault="000A4EFF" w:rsidP="00617B5C">
            <w:pPr>
              <w:widowControl w:val="0"/>
              <w:autoSpaceDE w:val="0"/>
              <w:autoSpaceDN w:val="0"/>
              <w:rPr>
                <w:rFonts w:eastAsia="Verdana" w:cs="Verdana"/>
                <w:lang w:val="es-ES"/>
              </w:rPr>
            </w:pPr>
            <w:r w:rsidRPr="000A4EFF">
              <w:rPr>
                <w:rFonts w:eastAsia="Verdana" w:cs="Verdana"/>
                <w:lang w:val="es-ES"/>
              </w:rPr>
              <w:t>Teléfono:</w:t>
            </w:r>
          </w:p>
        </w:tc>
        <w:tc>
          <w:tcPr>
            <w:tcW w:w="5670" w:type="dxa"/>
          </w:tcPr>
          <w:p w14:paraId="13C7C1DE" w14:textId="62E7EBD2" w:rsidR="000A4EFF" w:rsidRDefault="000A4EFF" w:rsidP="00617B5C">
            <w:pPr>
              <w:widowControl w:val="0"/>
              <w:autoSpaceDE w:val="0"/>
              <w:autoSpaceDN w:val="0"/>
              <w:rPr>
                <w:rFonts w:eastAsia="Verdana" w:cs="Verdana"/>
                <w:lang w:val="es-ES"/>
              </w:rPr>
            </w:pPr>
            <w:r w:rsidRPr="000A4EFF">
              <w:rPr>
                <w:rFonts w:eastAsia="Verdana" w:cs="Verdana"/>
                <w:lang w:val="es-ES"/>
              </w:rPr>
              <w:t>+57 (602)</w:t>
            </w:r>
            <w:r w:rsidRPr="000A4EFF">
              <w:rPr>
                <w:rFonts w:ascii="Arial" w:eastAsia="Verdana" w:hAnsi="Arial" w:cs="Arial"/>
                <w:lang w:val="es-ES"/>
              </w:rPr>
              <w:t> </w:t>
            </w:r>
            <w:r w:rsidRPr="000A4EFF">
              <w:rPr>
                <w:rFonts w:eastAsia="Verdana" w:cs="Verdana"/>
                <w:lang w:val="es-ES"/>
              </w:rPr>
              <w:t>733</w:t>
            </w:r>
            <w:r w:rsidRPr="000A4EFF">
              <w:rPr>
                <w:rFonts w:ascii="Arial" w:eastAsia="Verdana" w:hAnsi="Arial" w:cs="Arial"/>
                <w:lang w:val="es-ES"/>
              </w:rPr>
              <w:t> </w:t>
            </w:r>
            <w:r w:rsidRPr="000A4EFF">
              <w:rPr>
                <w:rFonts w:eastAsia="Verdana" w:cs="Verdana"/>
                <w:lang w:val="es-ES"/>
              </w:rPr>
              <w:t>6000 ext. 4247</w:t>
            </w:r>
          </w:p>
        </w:tc>
      </w:tr>
      <w:tr w:rsidR="000A4EFF" w14:paraId="57F453AD" w14:textId="77777777" w:rsidTr="00301495">
        <w:tc>
          <w:tcPr>
            <w:tcW w:w="3544" w:type="dxa"/>
          </w:tcPr>
          <w:p w14:paraId="4DD41F34" w14:textId="1B4BA515" w:rsidR="000A4EFF" w:rsidRDefault="000A4EFF" w:rsidP="00617B5C">
            <w:pPr>
              <w:widowControl w:val="0"/>
              <w:autoSpaceDE w:val="0"/>
              <w:autoSpaceDN w:val="0"/>
              <w:rPr>
                <w:rFonts w:eastAsia="Verdana" w:cs="Verdana"/>
                <w:lang w:val="es-ES"/>
              </w:rPr>
            </w:pPr>
            <w:r w:rsidRPr="000A4EFF">
              <w:rPr>
                <w:rFonts w:eastAsia="Verdana" w:cs="Verdana"/>
                <w:lang w:val="es-ES"/>
              </w:rPr>
              <w:t>WhatsApp</w:t>
            </w:r>
          </w:p>
        </w:tc>
        <w:tc>
          <w:tcPr>
            <w:tcW w:w="5670" w:type="dxa"/>
          </w:tcPr>
          <w:p w14:paraId="5DBDDDD6" w14:textId="7AAB0502" w:rsidR="000A4EFF" w:rsidRDefault="000A4EFF" w:rsidP="00617B5C">
            <w:pPr>
              <w:widowControl w:val="0"/>
              <w:autoSpaceDE w:val="0"/>
              <w:autoSpaceDN w:val="0"/>
              <w:rPr>
                <w:rFonts w:eastAsia="Verdana" w:cs="Verdana"/>
                <w:lang w:val="es-ES"/>
              </w:rPr>
            </w:pPr>
            <w:r w:rsidRPr="000A4EFF">
              <w:rPr>
                <w:rFonts w:eastAsia="Verdana" w:cs="Verdana"/>
                <w:lang w:val="es-ES"/>
              </w:rPr>
              <w:t>(+57)</w:t>
            </w:r>
            <w:r w:rsidRPr="000A4EFF">
              <w:rPr>
                <w:rFonts w:ascii="Arial" w:eastAsia="Verdana" w:hAnsi="Arial" w:cs="Arial"/>
                <w:lang w:val="es-ES"/>
              </w:rPr>
              <w:t> </w:t>
            </w:r>
            <w:r w:rsidRPr="000A4EFF">
              <w:rPr>
                <w:rFonts w:eastAsia="Verdana" w:cs="Verdana"/>
                <w:lang w:val="es-ES"/>
              </w:rPr>
              <w:t>310</w:t>
            </w:r>
            <w:r w:rsidRPr="000A4EFF">
              <w:rPr>
                <w:rFonts w:ascii="Arial" w:eastAsia="Verdana" w:hAnsi="Arial" w:cs="Arial"/>
                <w:lang w:val="es-ES"/>
              </w:rPr>
              <w:t> </w:t>
            </w:r>
            <w:r w:rsidRPr="000A4EFF">
              <w:rPr>
                <w:rFonts w:eastAsia="Verdana" w:cs="Verdana"/>
                <w:lang w:val="es-ES"/>
              </w:rPr>
              <w:t>865</w:t>
            </w:r>
            <w:r w:rsidRPr="000A4EFF">
              <w:rPr>
                <w:rFonts w:ascii="Arial" w:eastAsia="Verdana" w:hAnsi="Arial" w:cs="Arial"/>
                <w:lang w:val="es-ES"/>
              </w:rPr>
              <w:t> </w:t>
            </w:r>
            <w:r w:rsidRPr="000A4EFF">
              <w:rPr>
                <w:rFonts w:eastAsia="Verdana" w:cs="Verdana"/>
                <w:lang w:val="es-ES"/>
              </w:rPr>
              <w:t>1801</w:t>
            </w:r>
          </w:p>
        </w:tc>
      </w:tr>
      <w:tr w:rsidR="000A4EFF" w14:paraId="028BAEAA" w14:textId="77777777" w:rsidTr="00301495">
        <w:tc>
          <w:tcPr>
            <w:tcW w:w="3544" w:type="dxa"/>
          </w:tcPr>
          <w:p w14:paraId="533AF421" w14:textId="0E0EF885" w:rsidR="000A4EFF" w:rsidRDefault="000A4EFF" w:rsidP="000A4EFF">
            <w:pPr>
              <w:widowControl w:val="0"/>
              <w:autoSpaceDE w:val="0"/>
              <w:autoSpaceDN w:val="0"/>
              <w:rPr>
                <w:rFonts w:eastAsia="Verdana" w:cs="Verdana"/>
                <w:lang w:val="es-ES"/>
              </w:rPr>
            </w:pPr>
            <w:r w:rsidRPr="000A4EFF">
              <w:rPr>
                <w:rFonts w:eastAsia="Verdana" w:cs="Verdana"/>
                <w:lang w:val="es-ES"/>
              </w:rPr>
              <w:t>Dirección</w:t>
            </w:r>
          </w:p>
        </w:tc>
        <w:tc>
          <w:tcPr>
            <w:tcW w:w="5670" w:type="dxa"/>
          </w:tcPr>
          <w:p w14:paraId="17B47F7D" w14:textId="364039C2" w:rsidR="000A4EFF" w:rsidRDefault="000A4EFF" w:rsidP="000A4EFF">
            <w:pPr>
              <w:widowControl w:val="0"/>
              <w:autoSpaceDE w:val="0"/>
              <w:autoSpaceDN w:val="0"/>
              <w:rPr>
                <w:rFonts w:eastAsia="Verdana" w:cs="Verdana"/>
                <w:lang w:val="es-ES"/>
              </w:rPr>
            </w:pPr>
            <w:r w:rsidRPr="000A4EFF">
              <w:rPr>
                <w:rFonts w:eastAsia="Verdana" w:cs="Verdana"/>
                <w:lang w:val="es-ES"/>
              </w:rPr>
              <w:t>Calle 16 #43 esquina, San Juan de Pasto, Nariño</w:t>
            </w:r>
          </w:p>
        </w:tc>
      </w:tr>
      <w:tr w:rsidR="000A4EFF" w14:paraId="332BA508" w14:textId="77777777" w:rsidTr="00301495">
        <w:tc>
          <w:tcPr>
            <w:tcW w:w="9214" w:type="dxa"/>
            <w:gridSpan w:val="2"/>
          </w:tcPr>
          <w:p w14:paraId="7B2E1D6C" w14:textId="4696247C" w:rsidR="000A4EFF" w:rsidRPr="00301495" w:rsidRDefault="000A4EFF" w:rsidP="000A4EFF">
            <w:pPr>
              <w:widowControl w:val="0"/>
              <w:autoSpaceDE w:val="0"/>
              <w:autoSpaceDN w:val="0"/>
              <w:jc w:val="center"/>
              <w:rPr>
                <w:rFonts w:eastAsia="Verdana" w:cs="Verdana"/>
                <w:b/>
                <w:lang w:val="es-ES"/>
              </w:rPr>
            </w:pPr>
            <w:r w:rsidRPr="00301495">
              <w:rPr>
                <w:rFonts w:eastAsia="Verdana" w:cs="Verdana"/>
                <w:b/>
                <w:lang w:val="es-ES"/>
              </w:rPr>
              <w:t>También puedes contactar las comunicaciones del Hospital San Pedro</w:t>
            </w:r>
          </w:p>
        </w:tc>
      </w:tr>
      <w:tr w:rsidR="000A4EFF" w14:paraId="6C851DAC" w14:textId="77777777" w:rsidTr="00301495">
        <w:tc>
          <w:tcPr>
            <w:tcW w:w="3544" w:type="dxa"/>
          </w:tcPr>
          <w:p w14:paraId="1C1B1095" w14:textId="798F1728" w:rsidR="000A4EFF" w:rsidRPr="000A4EFF" w:rsidRDefault="000A4EFF" w:rsidP="000A4EFF">
            <w:pPr>
              <w:widowControl w:val="0"/>
              <w:autoSpaceDE w:val="0"/>
              <w:autoSpaceDN w:val="0"/>
              <w:rPr>
                <w:rFonts w:eastAsia="Verdana" w:cs="Verdana"/>
                <w:lang w:val="es-ES"/>
              </w:rPr>
            </w:pPr>
            <w:r w:rsidRPr="000A4EFF">
              <w:rPr>
                <w:rFonts w:eastAsia="Verdana" w:cs="Verdana"/>
                <w:lang w:val="es-ES"/>
              </w:rPr>
              <w:t>Correo comunicaciones:</w:t>
            </w:r>
          </w:p>
        </w:tc>
        <w:tc>
          <w:tcPr>
            <w:tcW w:w="5670" w:type="dxa"/>
          </w:tcPr>
          <w:p w14:paraId="3DEA9C90" w14:textId="51912EB5" w:rsidR="000A4EFF" w:rsidRPr="000A4EFF" w:rsidRDefault="00D13A5F" w:rsidP="000A4EFF">
            <w:pPr>
              <w:widowControl w:val="0"/>
              <w:autoSpaceDE w:val="0"/>
              <w:autoSpaceDN w:val="0"/>
              <w:jc w:val="left"/>
              <w:rPr>
                <w:rFonts w:eastAsia="Verdana" w:cs="Verdana"/>
                <w:lang w:val="es-ES"/>
              </w:rPr>
            </w:pPr>
            <w:hyperlink r:id="rId18" w:history="1">
              <w:r w:rsidR="000A4EFF" w:rsidRPr="00A52DAF">
                <w:rPr>
                  <w:rStyle w:val="Hipervnculo"/>
                </w:rPr>
                <w:t>comunicaciones@hospitalsanpedro.org</w:t>
              </w:r>
            </w:hyperlink>
          </w:p>
        </w:tc>
      </w:tr>
      <w:tr w:rsidR="000A4EFF" w14:paraId="3F12D96A" w14:textId="77777777" w:rsidTr="00301495">
        <w:tc>
          <w:tcPr>
            <w:tcW w:w="3544" w:type="dxa"/>
          </w:tcPr>
          <w:p w14:paraId="3A05056C" w14:textId="0391F144" w:rsidR="000A4EFF" w:rsidRPr="000A4EFF" w:rsidRDefault="000A4EFF" w:rsidP="000A4EFF">
            <w:pPr>
              <w:widowControl w:val="0"/>
              <w:autoSpaceDE w:val="0"/>
              <w:autoSpaceDN w:val="0"/>
              <w:rPr>
                <w:rFonts w:eastAsia="Verdana" w:cs="Verdana"/>
                <w:lang w:val="es-ES"/>
              </w:rPr>
            </w:pPr>
            <w:r w:rsidRPr="000A4EFF">
              <w:rPr>
                <w:rFonts w:eastAsia="Verdana" w:cs="Verdana"/>
                <w:lang w:val="es-ES"/>
              </w:rPr>
              <w:t>PBX general:</w:t>
            </w:r>
          </w:p>
        </w:tc>
        <w:tc>
          <w:tcPr>
            <w:tcW w:w="5670" w:type="dxa"/>
          </w:tcPr>
          <w:p w14:paraId="6DADC95D" w14:textId="540E3A68" w:rsidR="000A4EFF" w:rsidRDefault="000A4EFF" w:rsidP="000A4EFF">
            <w:pPr>
              <w:widowControl w:val="0"/>
              <w:autoSpaceDE w:val="0"/>
              <w:autoSpaceDN w:val="0"/>
              <w:jc w:val="left"/>
            </w:pPr>
            <w:r w:rsidRPr="000A4EFF">
              <w:t>+57 (602)</w:t>
            </w:r>
            <w:r w:rsidRPr="000A4EFF">
              <w:rPr>
                <w:rFonts w:ascii="Arial" w:hAnsi="Arial" w:cs="Arial"/>
              </w:rPr>
              <w:t> </w:t>
            </w:r>
            <w:r w:rsidRPr="000A4EFF">
              <w:t>733</w:t>
            </w:r>
            <w:r w:rsidRPr="000A4EFF">
              <w:rPr>
                <w:rFonts w:ascii="Arial" w:hAnsi="Arial" w:cs="Arial"/>
              </w:rPr>
              <w:t> </w:t>
            </w:r>
            <w:r w:rsidRPr="000A4EFF">
              <w:t>6000, ext. 4176</w:t>
            </w:r>
          </w:p>
        </w:tc>
      </w:tr>
    </w:tbl>
    <w:p w14:paraId="0664D17F" w14:textId="64C5A41D" w:rsidR="00581A8B" w:rsidRDefault="00581A8B" w:rsidP="00617B5C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49486280" w14:textId="78F7A7BB" w:rsidR="00581A8B" w:rsidRDefault="00581A8B" w:rsidP="00617B5C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5676FEAA" w14:textId="08600218" w:rsidR="00581A8B" w:rsidRDefault="00581A8B" w:rsidP="00D13F7A">
      <w:pPr>
        <w:pStyle w:val="Prrafodelista"/>
        <w:widowControl w:val="0"/>
        <w:autoSpaceDE w:val="0"/>
        <w:autoSpaceDN w:val="0"/>
        <w:jc w:val="left"/>
        <w:rPr>
          <w:rFonts w:eastAsia="Verdana" w:cs="Verdana"/>
          <w:b/>
          <w:lang w:val="es-ES"/>
        </w:rPr>
      </w:pPr>
      <w:r w:rsidRPr="00D13F7A">
        <w:rPr>
          <w:rFonts w:eastAsia="Verdana" w:cs="Verdana"/>
          <w:b/>
          <w:lang w:val="es-ES"/>
        </w:rPr>
        <w:t xml:space="preserve">ANEXO </w:t>
      </w:r>
      <w:r w:rsidR="00D13F7A">
        <w:rPr>
          <w:rFonts w:eastAsia="Verdana" w:cs="Verdana"/>
          <w:b/>
          <w:lang w:val="es-ES"/>
        </w:rPr>
        <w:t>2</w:t>
      </w:r>
      <w:r w:rsidRPr="00D13F7A">
        <w:rPr>
          <w:rFonts w:eastAsia="Verdana" w:cs="Verdana"/>
          <w:b/>
          <w:lang w:val="es-ES"/>
        </w:rPr>
        <w:t xml:space="preserve"> FORMATO SOLICITUD AL INS – DONANTE POTENCIAL</w:t>
      </w:r>
      <w:r w:rsidR="00D13F7A">
        <w:rPr>
          <w:rFonts w:eastAsia="Verdana" w:cs="Verdana"/>
          <w:b/>
          <w:lang w:val="es-ES"/>
        </w:rPr>
        <w:t xml:space="preserve"> </w:t>
      </w:r>
    </w:p>
    <w:p w14:paraId="663D152E" w14:textId="77777777" w:rsidR="00D13F7A" w:rsidRPr="00D13F7A" w:rsidRDefault="00D13F7A" w:rsidP="00D13F7A">
      <w:pPr>
        <w:pStyle w:val="Prrafodelista"/>
        <w:widowControl w:val="0"/>
        <w:autoSpaceDE w:val="0"/>
        <w:autoSpaceDN w:val="0"/>
        <w:jc w:val="left"/>
        <w:rPr>
          <w:rFonts w:eastAsia="Verdana" w:cs="Verdana"/>
          <w:b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5846"/>
      </w:tblGrid>
      <w:tr w:rsidR="00581A8B" w:rsidRPr="00581A8B" w14:paraId="4A5EED02" w14:textId="77777777" w:rsidTr="0077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A3185" w14:textId="77777777" w:rsidR="00581A8B" w:rsidRPr="00581A8B" w:rsidRDefault="00581A8B" w:rsidP="00581A8B">
            <w:pPr>
              <w:rPr>
                <w:rFonts w:eastAsia="Times New Roman" w:cs="Times New Roman"/>
                <w:b/>
                <w:bCs/>
                <w:lang w:eastAsia="es-ES"/>
              </w:rPr>
            </w:pPr>
            <w:r w:rsidRPr="00581A8B">
              <w:rPr>
                <w:rFonts w:eastAsia="Times New Roman" w:cs="Times New Roman"/>
                <w:b/>
                <w:bCs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ECA850C" w14:textId="77777777" w:rsidR="00581A8B" w:rsidRPr="00581A8B" w:rsidRDefault="00581A8B" w:rsidP="00581A8B">
            <w:pPr>
              <w:rPr>
                <w:rFonts w:eastAsia="Times New Roman" w:cs="Times New Roman"/>
                <w:b/>
                <w:bCs/>
                <w:lang w:eastAsia="es-ES"/>
              </w:rPr>
            </w:pPr>
            <w:r w:rsidRPr="00581A8B">
              <w:rPr>
                <w:rFonts w:eastAsia="Times New Roman" w:cs="Times New Roman"/>
                <w:b/>
                <w:bCs/>
                <w:lang w:eastAsia="es-ES"/>
              </w:rPr>
              <w:t>Descripción / Espacio para diligenciar</w:t>
            </w:r>
          </w:p>
        </w:tc>
      </w:tr>
      <w:tr w:rsidR="00581A8B" w:rsidRPr="00581A8B" w14:paraId="5DA64C05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742CA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Fecha de solicitud</w:t>
            </w:r>
          </w:p>
        </w:tc>
        <w:tc>
          <w:tcPr>
            <w:tcW w:w="0" w:type="auto"/>
            <w:vAlign w:val="center"/>
            <w:hideMark/>
          </w:tcPr>
          <w:p w14:paraId="2F8A09CA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b/>
                <w:bCs/>
                <w:i/>
                <w:iCs/>
                <w:lang w:eastAsia="es-ES"/>
              </w:rPr>
              <w:t>/</w:t>
            </w:r>
            <w:r w:rsidRPr="00581A8B">
              <w:rPr>
                <w:rFonts w:eastAsia="Times New Roman" w:cs="Times New Roman"/>
                <w:lang w:eastAsia="es-ES"/>
              </w:rPr>
              <w:t>/_____</w:t>
            </w:r>
          </w:p>
        </w:tc>
      </w:tr>
      <w:tr w:rsidR="00581A8B" w:rsidRPr="00581A8B" w14:paraId="466B8738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3A27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Institución de salud</w:t>
            </w:r>
          </w:p>
        </w:tc>
        <w:tc>
          <w:tcPr>
            <w:tcW w:w="0" w:type="auto"/>
            <w:vAlign w:val="center"/>
            <w:hideMark/>
          </w:tcPr>
          <w:p w14:paraId="7626B7F1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581A8B" w:rsidRPr="00581A8B" w14:paraId="233619D1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5420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Servicio / Unidad (UCI, urgencias, etc.)</w:t>
            </w:r>
          </w:p>
        </w:tc>
        <w:tc>
          <w:tcPr>
            <w:tcW w:w="0" w:type="auto"/>
            <w:vAlign w:val="center"/>
            <w:hideMark/>
          </w:tcPr>
          <w:p w14:paraId="00BB0EDE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581A8B" w:rsidRPr="00581A8B" w14:paraId="69DE9E1E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91F1F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Profesional que notifica</w:t>
            </w:r>
          </w:p>
        </w:tc>
        <w:tc>
          <w:tcPr>
            <w:tcW w:w="0" w:type="auto"/>
            <w:vAlign w:val="center"/>
            <w:hideMark/>
          </w:tcPr>
          <w:p w14:paraId="407BD672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Nombre: ___________ Cargo: ___________ Tel: ___________</w:t>
            </w:r>
          </w:p>
        </w:tc>
      </w:tr>
      <w:tr w:rsidR="00581A8B" w:rsidRPr="00581A8B" w14:paraId="1D3D1CEA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C269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Correo electrónico</w:t>
            </w:r>
          </w:p>
        </w:tc>
        <w:tc>
          <w:tcPr>
            <w:tcW w:w="0" w:type="auto"/>
            <w:vAlign w:val="center"/>
            <w:hideMark/>
          </w:tcPr>
          <w:p w14:paraId="608303FE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581A8B" w:rsidRPr="00581A8B" w14:paraId="1FBC2465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F73A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Datos del paciente</w:t>
            </w:r>
          </w:p>
        </w:tc>
        <w:tc>
          <w:tcPr>
            <w:tcW w:w="0" w:type="auto"/>
            <w:vAlign w:val="center"/>
            <w:hideMark/>
          </w:tcPr>
          <w:p w14:paraId="0A3B4B15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Nombre completo – Edad – Tipo y No. documento</w:t>
            </w:r>
          </w:p>
        </w:tc>
      </w:tr>
      <w:tr w:rsidR="00581A8B" w:rsidRPr="00581A8B" w14:paraId="26D32D62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0046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Diagnóstico principal</w:t>
            </w:r>
          </w:p>
        </w:tc>
        <w:tc>
          <w:tcPr>
            <w:tcW w:w="0" w:type="auto"/>
            <w:vAlign w:val="center"/>
            <w:hideMark/>
          </w:tcPr>
          <w:p w14:paraId="46903F24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581A8B" w:rsidRPr="00581A8B" w14:paraId="7C196C36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D242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Fecha y hora de inicio de coma</w:t>
            </w:r>
          </w:p>
        </w:tc>
        <w:tc>
          <w:tcPr>
            <w:tcW w:w="0" w:type="auto"/>
            <w:vAlign w:val="center"/>
            <w:hideMark/>
          </w:tcPr>
          <w:p w14:paraId="7F0EF6A7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581A8B" w:rsidRPr="00581A8B" w14:paraId="62C769A9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4415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Hallazgos clínicos</w:t>
            </w:r>
          </w:p>
        </w:tc>
        <w:tc>
          <w:tcPr>
            <w:tcW w:w="0" w:type="auto"/>
            <w:vAlign w:val="center"/>
            <w:hideMark/>
          </w:tcPr>
          <w:p w14:paraId="5995CC31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proofErr w:type="gramStart"/>
            <w:r w:rsidRPr="00581A8B">
              <w:rPr>
                <w:rFonts w:eastAsia="Times New Roman" w:cs="Times New Roman"/>
                <w:lang w:eastAsia="es-ES"/>
              </w:rPr>
              <w:t>[ ]</w:t>
            </w:r>
            <w:proofErr w:type="gramEnd"/>
            <w:r w:rsidRPr="00581A8B">
              <w:rPr>
                <w:rFonts w:eastAsia="Times New Roman" w:cs="Times New Roman"/>
                <w:lang w:eastAsia="es-ES"/>
              </w:rPr>
              <w:t xml:space="preserve"> GCS ≤ 8 [ ] Apnea [ ] Pupilas fijas [ ] Reflejos abolidos</w:t>
            </w:r>
          </w:p>
        </w:tc>
      </w:tr>
      <w:tr w:rsidR="00581A8B" w:rsidRPr="00581A8B" w14:paraId="78630BA3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6DE3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Motivo de notificación</w:t>
            </w:r>
          </w:p>
        </w:tc>
        <w:tc>
          <w:tcPr>
            <w:tcW w:w="0" w:type="auto"/>
            <w:vAlign w:val="center"/>
            <w:hideMark/>
          </w:tcPr>
          <w:p w14:paraId="44DD49BF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581A8B" w:rsidRPr="00581A8B" w14:paraId="16E676E7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25199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lastRenderedPageBreak/>
              <w:t>Solicita acompañamiento del INS</w:t>
            </w:r>
          </w:p>
        </w:tc>
        <w:tc>
          <w:tcPr>
            <w:tcW w:w="0" w:type="auto"/>
            <w:vAlign w:val="center"/>
            <w:hideMark/>
          </w:tcPr>
          <w:p w14:paraId="5BC104EA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proofErr w:type="gramStart"/>
            <w:r w:rsidRPr="00581A8B">
              <w:rPr>
                <w:rFonts w:eastAsia="Times New Roman" w:cs="Times New Roman"/>
                <w:lang w:eastAsia="es-ES"/>
              </w:rPr>
              <w:t>[ ]</w:t>
            </w:r>
            <w:proofErr w:type="gramEnd"/>
            <w:r w:rsidRPr="00581A8B">
              <w:rPr>
                <w:rFonts w:eastAsia="Times New Roman" w:cs="Times New Roman"/>
                <w:lang w:eastAsia="es-ES"/>
              </w:rPr>
              <w:t xml:space="preserve"> Sí [ ] No</w:t>
            </w:r>
          </w:p>
        </w:tc>
      </w:tr>
      <w:tr w:rsidR="00581A8B" w:rsidRPr="00581A8B" w14:paraId="3E522EED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C32FE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  <w:r w:rsidRPr="00581A8B">
              <w:rPr>
                <w:rFonts w:eastAsia="Times New Roman" w:cs="Times New Roman"/>
                <w:lang w:eastAsia="es-ES"/>
              </w:rPr>
              <w:t>Firma y sello del médico responsable</w:t>
            </w:r>
          </w:p>
        </w:tc>
        <w:tc>
          <w:tcPr>
            <w:tcW w:w="0" w:type="auto"/>
            <w:vAlign w:val="center"/>
            <w:hideMark/>
          </w:tcPr>
          <w:p w14:paraId="2BED0128" w14:textId="77777777" w:rsidR="00581A8B" w:rsidRPr="00581A8B" w:rsidRDefault="00581A8B" w:rsidP="00581A8B">
            <w:pPr>
              <w:rPr>
                <w:rFonts w:eastAsia="Times New Roman" w:cs="Times New Roman"/>
                <w:lang w:eastAsia="es-ES"/>
              </w:rPr>
            </w:pPr>
          </w:p>
        </w:tc>
      </w:tr>
    </w:tbl>
    <w:p w14:paraId="6B95244B" w14:textId="50FA1975" w:rsidR="00581A8B" w:rsidRDefault="00581A8B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14F5F5C6" w14:textId="23E6AA75" w:rsidR="00952E63" w:rsidRDefault="00952E63" w:rsidP="00D13F7A">
      <w:pPr>
        <w:pStyle w:val="Prrafodelista"/>
        <w:widowControl w:val="0"/>
        <w:autoSpaceDE w:val="0"/>
        <w:autoSpaceDN w:val="0"/>
        <w:jc w:val="left"/>
        <w:rPr>
          <w:rFonts w:eastAsia="Verdana" w:cs="Verdana"/>
          <w:b/>
          <w:lang w:val="es-ES"/>
        </w:rPr>
      </w:pPr>
      <w:r w:rsidRPr="00D13F7A">
        <w:rPr>
          <w:rFonts w:eastAsia="Verdana" w:cs="Verdana"/>
          <w:b/>
          <w:lang w:val="es-ES"/>
        </w:rPr>
        <w:t xml:space="preserve">ANEXO </w:t>
      </w:r>
      <w:r w:rsidR="00D13F7A">
        <w:rPr>
          <w:rFonts w:eastAsia="Verdana" w:cs="Verdana"/>
          <w:b/>
          <w:lang w:val="es-ES"/>
        </w:rPr>
        <w:t>3</w:t>
      </w:r>
      <w:r w:rsidRPr="00D13F7A">
        <w:rPr>
          <w:rFonts w:eastAsia="Verdana" w:cs="Verdana"/>
          <w:b/>
          <w:lang w:val="es-ES"/>
        </w:rPr>
        <w:t xml:space="preserve"> ACTA DE CONSENTIMIENTO/ OPOSICION FAMILIAR</w:t>
      </w:r>
    </w:p>
    <w:p w14:paraId="430162C8" w14:textId="77777777" w:rsidR="00D13F7A" w:rsidRPr="00D13F7A" w:rsidRDefault="00D13F7A" w:rsidP="00D13F7A">
      <w:pPr>
        <w:pStyle w:val="Prrafodelista"/>
        <w:widowControl w:val="0"/>
        <w:autoSpaceDE w:val="0"/>
        <w:autoSpaceDN w:val="0"/>
        <w:jc w:val="left"/>
        <w:rPr>
          <w:rFonts w:eastAsia="Verdana" w:cs="Verdana"/>
          <w:b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6549"/>
      </w:tblGrid>
      <w:tr w:rsidR="00952E63" w:rsidRPr="007C4F7F" w14:paraId="4DF4AC38" w14:textId="77777777" w:rsidTr="0077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F6CC6" w14:textId="77777777" w:rsidR="00952E63" w:rsidRPr="007C4F7F" w:rsidRDefault="00952E63" w:rsidP="0077028D">
            <w:pPr>
              <w:rPr>
                <w:rFonts w:eastAsia="Times New Roman" w:cs="Times New Roman"/>
                <w:b/>
                <w:bCs/>
                <w:lang w:eastAsia="es-ES"/>
              </w:rPr>
            </w:pPr>
            <w:r w:rsidRPr="00A52DAF">
              <w:rPr>
                <w:rFonts w:eastAsia="Times New Roman" w:cs="Times New Roman"/>
                <w:b/>
                <w:bCs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F1CC66A" w14:textId="77777777" w:rsidR="00952E63" w:rsidRPr="007C4F7F" w:rsidRDefault="00952E63" w:rsidP="0077028D">
            <w:pPr>
              <w:rPr>
                <w:rFonts w:eastAsia="Times New Roman" w:cs="Times New Roman"/>
                <w:b/>
                <w:bCs/>
                <w:lang w:eastAsia="es-ES"/>
              </w:rPr>
            </w:pPr>
            <w:r w:rsidRPr="00A52DAF">
              <w:rPr>
                <w:rFonts w:eastAsia="Times New Roman" w:cs="Times New Roman"/>
                <w:b/>
                <w:bCs/>
                <w:lang w:eastAsia="es-ES"/>
              </w:rPr>
              <w:t>Descripción / Espacio para diligenciar</w:t>
            </w:r>
          </w:p>
        </w:tc>
      </w:tr>
      <w:tr w:rsidR="00952E63" w:rsidRPr="007C4F7F" w14:paraId="66D8EC68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C6C5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Fecha de la entrevista</w:t>
            </w:r>
          </w:p>
        </w:tc>
        <w:tc>
          <w:tcPr>
            <w:tcW w:w="0" w:type="auto"/>
            <w:vAlign w:val="center"/>
            <w:hideMark/>
          </w:tcPr>
          <w:p w14:paraId="46F95905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0463BECD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3896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Institución</w:t>
            </w:r>
          </w:p>
        </w:tc>
        <w:tc>
          <w:tcPr>
            <w:tcW w:w="0" w:type="auto"/>
            <w:vAlign w:val="center"/>
            <w:hideMark/>
          </w:tcPr>
          <w:p w14:paraId="29718E10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69C45204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80CA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Coordinador/a de trasplante</w:t>
            </w:r>
          </w:p>
        </w:tc>
        <w:tc>
          <w:tcPr>
            <w:tcW w:w="0" w:type="auto"/>
            <w:vAlign w:val="center"/>
            <w:hideMark/>
          </w:tcPr>
          <w:p w14:paraId="45A86F58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0F49EFB8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60F6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Nombre del donante potencial</w:t>
            </w:r>
          </w:p>
        </w:tc>
        <w:tc>
          <w:tcPr>
            <w:tcW w:w="0" w:type="auto"/>
            <w:vAlign w:val="center"/>
            <w:hideMark/>
          </w:tcPr>
          <w:p w14:paraId="1D137A5C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40652EE8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2695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Edad / Documento</w:t>
            </w:r>
          </w:p>
        </w:tc>
        <w:tc>
          <w:tcPr>
            <w:tcW w:w="0" w:type="auto"/>
            <w:vAlign w:val="center"/>
            <w:hideMark/>
          </w:tcPr>
          <w:p w14:paraId="5C9AF992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7D21E05B" w14:textId="77777777" w:rsidTr="0077028D">
        <w:trPr>
          <w:trHeight w:val="2381"/>
          <w:tblCellSpacing w:w="15" w:type="dxa"/>
        </w:trPr>
        <w:tc>
          <w:tcPr>
            <w:tcW w:w="0" w:type="auto"/>
            <w:vAlign w:val="center"/>
            <w:hideMark/>
          </w:tcPr>
          <w:p w14:paraId="04C53E18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Familiares presentes</w:t>
            </w:r>
          </w:p>
        </w:tc>
        <w:tc>
          <w:tcPr>
            <w:tcW w:w="0" w:type="auto"/>
            <w:vAlign w:val="center"/>
            <w:hideMark/>
          </w:tcPr>
          <w:p w14:paraId="1DEBE0F5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Nombre – Relación – Documento (mínimo 1)</w:t>
            </w:r>
          </w:p>
        </w:tc>
      </w:tr>
      <w:tr w:rsidR="00952E63" w:rsidRPr="007C4F7F" w14:paraId="187882F4" w14:textId="77777777" w:rsidTr="0077028D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17A8FC98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Información entregada</w:t>
            </w:r>
          </w:p>
        </w:tc>
        <w:tc>
          <w:tcPr>
            <w:tcW w:w="0" w:type="auto"/>
            <w:vAlign w:val="center"/>
            <w:hideMark/>
          </w:tcPr>
          <w:p w14:paraId="48EF1EAC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proofErr w:type="gramStart"/>
            <w:r w:rsidRPr="007C4F7F">
              <w:rPr>
                <w:rFonts w:eastAsia="Times New Roman" w:cs="Times New Roman"/>
                <w:lang w:eastAsia="es-ES"/>
              </w:rPr>
              <w:t>[ ]</w:t>
            </w:r>
            <w:proofErr w:type="gramEnd"/>
            <w:r w:rsidRPr="007C4F7F">
              <w:rPr>
                <w:rFonts w:eastAsia="Times New Roman" w:cs="Times New Roman"/>
                <w:lang w:eastAsia="es-ES"/>
              </w:rPr>
              <w:t xml:space="preserve"> Diagnóstico encefálico [ ] Proceso de donación explicado</w:t>
            </w:r>
          </w:p>
        </w:tc>
      </w:tr>
      <w:tr w:rsidR="00952E63" w:rsidRPr="007C4F7F" w14:paraId="7F779A18" w14:textId="77777777" w:rsidTr="0077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495A4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Decisión de la familia</w:t>
            </w:r>
          </w:p>
        </w:tc>
        <w:tc>
          <w:tcPr>
            <w:tcW w:w="0" w:type="auto"/>
            <w:vAlign w:val="center"/>
            <w:hideMark/>
          </w:tcPr>
          <w:p w14:paraId="7C2DADF5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proofErr w:type="gramStart"/>
            <w:r w:rsidRPr="007C4F7F">
              <w:rPr>
                <w:rFonts w:eastAsia="Times New Roman" w:cs="Times New Roman"/>
                <w:lang w:eastAsia="es-ES"/>
              </w:rPr>
              <w:t>[ ]</w:t>
            </w:r>
            <w:proofErr w:type="gramEnd"/>
            <w:r w:rsidRPr="007C4F7F">
              <w:rPr>
                <w:rFonts w:eastAsia="Times New Roman" w:cs="Times New Roman"/>
                <w:lang w:eastAsia="es-ES"/>
              </w:rPr>
              <w:t xml:space="preserve"> Autorizan donación [ ] Se oponen a la donación</w:t>
            </w:r>
          </w:p>
        </w:tc>
      </w:tr>
      <w:tr w:rsidR="00952E63" w:rsidRPr="007C4F7F" w14:paraId="357E192A" w14:textId="77777777" w:rsidTr="0077028D">
        <w:trPr>
          <w:trHeight w:val="2324"/>
          <w:tblCellSpacing w:w="15" w:type="dxa"/>
        </w:trPr>
        <w:tc>
          <w:tcPr>
            <w:tcW w:w="0" w:type="auto"/>
            <w:vAlign w:val="center"/>
            <w:hideMark/>
          </w:tcPr>
          <w:p w14:paraId="2A5F81EE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2D086100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30EE5C16" w14:textId="77777777" w:rsidTr="0077028D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14:paraId="419823C5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Firma del familiar (1)</w:t>
            </w:r>
          </w:p>
        </w:tc>
        <w:tc>
          <w:tcPr>
            <w:tcW w:w="0" w:type="auto"/>
            <w:vAlign w:val="center"/>
            <w:hideMark/>
          </w:tcPr>
          <w:p w14:paraId="04A1094C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70E83807" w14:textId="77777777" w:rsidTr="0077028D">
        <w:trPr>
          <w:trHeight w:val="363"/>
          <w:tblCellSpacing w:w="15" w:type="dxa"/>
        </w:trPr>
        <w:tc>
          <w:tcPr>
            <w:tcW w:w="0" w:type="auto"/>
            <w:vAlign w:val="center"/>
            <w:hideMark/>
          </w:tcPr>
          <w:p w14:paraId="434F89AA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Firma del familiar (2)</w:t>
            </w:r>
          </w:p>
        </w:tc>
        <w:tc>
          <w:tcPr>
            <w:tcW w:w="0" w:type="auto"/>
            <w:vAlign w:val="center"/>
            <w:hideMark/>
          </w:tcPr>
          <w:p w14:paraId="5D611825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7D5CC643" w14:textId="77777777" w:rsidTr="0077028D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17BA56A9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Firma del coordinador</w:t>
            </w:r>
          </w:p>
        </w:tc>
        <w:tc>
          <w:tcPr>
            <w:tcW w:w="0" w:type="auto"/>
            <w:vAlign w:val="center"/>
            <w:hideMark/>
          </w:tcPr>
          <w:p w14:paraId="629B5D72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</w:tbl>
    <w:p w14:paraId="627DD32A" w14:textId="2B6C867E" w:rsidR="00952E63" w:rsidRDefault="00952E63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7D706809" w14:textId="5C54206C" w:rsidR="00952E63" w:rsidRDefault="00952E63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633F7B67" w14:textId="156E0227" w:rsidR="00952E63" w:rsidRPr="00952E63" w:rsidRDefault="00952E63" w:rsidP="00952E63">
      <w:pPr>
        <w:widowControl w:val="0"/>
        <w:autoSpaceDE w:val="0"/>
        <w:autoSpaceDN w:val="0"/>
        <w:jc w:val="center"/>
        <w:rPr>
          <w:rFonts w:eastAsia="Verdana" w:cs="Verdana"/>
          <w:b/>
          <w:bCs/>
          <w:sz w:val="20"/>
          <w:szCs w:val="20"/>
          <w:lang w:val="es-ES"/>
        </w:rPr>
      </w:pPr>
    </w:p>
    <w:p w14:paraId="5BA89DDF" w14:textId="43FD72D0" w:rsidR="00952E63" w:rsidRDefault="00952E63" w:rsidP="00D13F7A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  <w:r w:rsidRPr="00D13F7A">
        <w:rPr>
          <w:rFonts w:eastAsia="Verdana" w:cs="Verdana"/>
          <w:b/>
          <w:bCs/>
          <w:lang w:val="es-ES"/>
        </w:rPr>
        <w:t xml:space="preserve">ANEXO </w:t>
      </w:r>
      <w:r w:rsidR="00D13F7A">
        <w:rPr>
          <w:rFonts w:eastAsia="Verdana" w:cs="Verdana"/>
          <w:b/>
          <w:bCs/>
          <w:lang w:val="es-ES"/>
        </w:rPr>
        <w:t>4</w:t>
      </w:r>
      <w:r w:rsidRPr="00D13F7A">
        <w:rPr>
          <w:rFonts w:eastAsia="Verdana" w:cs="Verdana"/>
          <w:b/>
          <w:bCs/>
          <w:lang w:val="es-ES"/>
        </w:rPr>
        <w:t xml:space="preserve"> FORMATO REGISTRO DE ENTREVISTA FAMILIAR</w:t>
      </w:r>
    </w:p>
    <w:p w14:paraId="7F23AD9E" w14:textId="77777777" w:rsidR="00D13F7A" w:rsidRPr="00D13F7A" w:rsidRDefault="00D13F7A" w:rsidP="00D13F7A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8"/>
        <w:gridCol w:w="5544"/>
      </w:tblGrid>
      <w:tr w:rsidR="00952E63" w:rsidRPr="007C4F7F" w14:paraId="4799A918" w14:textId="77777777" w:rsidTr="0077028D">
        <w:trPr>
          <w:tblHeader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2EC5C38" w14:textId="77777777" w:rsidR="00952E63" w:rsidRPr="007C4F7F" w:rsidRDefault="00952E63" w:rsidP="0077028D">
            <w:pPr>
              <w:rPr>
                <w:rFonts w:eastAsia="Times New Roman" w:cs="Times New Roman"/>
                <w:b/>
                <w:bCs/>
                <w:lang w:eastAsia="es-ES"/>
              </w:rPr>
            </w:pPr>
            <w:r w:rsidRPr="00A52DAF">
              <w:rPr>
                <w:rFonts w:eastAsia="Times New Roman" w:cs="Times New Roman"/>
                <w:b/>
                <w:bCs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09AA431" w14:textId="77777777" w:rsidR="00952E63" w:rsidRPr="007C4F7F" w:rsidRDefault="00952E63" w:rsidP="0077028D">
            <w:pPr>
              <w:rPr>
                <w:rFonts w:eastAsia="Times New Roman" w:cs="Times New Roman"/>
                <w:b/>
                <w:bCs/>
                <w:lang w:eastAsia="es-ES"/>
              </w:rPr>
            </w:pPr>
            <w:r w:rsidRPr="00A52DAF">
              <w:rPr>
                <w:rFonts w:eastAsia="Times New Roman" w:cs="Times New Roman"/>
                <w:b/>
                <w:bCs/>
                <w:lang w:eastAsia="es-ES"/>
              </w:rPr>
              <w:t>Descripción / Espacio para diligenciar</w:t>
            </w:r>
          </w:p>
        </w:tc>
      </w:tr>
      <w:tr w:rsidR="00952E63" w:rsidRPr="007C4F7F" w14:paraId="0DE6A6D7" w14:textId="77777777" w:rsidTr="007702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C786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Fecha de la entrevista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B41C3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442BA212" w14:textId="77777777" w:rsidTr="0077028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4724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Hora de inicio – fin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4052365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27ECFE03" w14:textId="77777777" w:rsidTr="0077028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8F57836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Coordinador / entrevistador</w:t>
            </w:r>
          </w:p>
        </w:tc>
        <w:tc>
          <w:tcPr>
            <w:tcW w:w="0" w:type="auto"/>
            <w:vAlign w:val="center"/>
            <w:hideMark/>
          </w:tcPr>
          <w:p w14:paraId="5C118A21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62BC4622" w14:textId="77777777" w:rsidTr="007702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9D993C1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Familiares entrevistados (nombre, relación)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0624B6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75BB2C89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28A87C7B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5F196B5C" w14:textId="77777777" w:rsidTr="007702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BDB832E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Introducción / información brindada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F446D13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49CC821A" w14:textId="77777777" w:rsidTr="0077028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D38931E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Dudas/preguntas expresadas por la familia</w:t>
            </w:r>
          </w:p>
        </w:tc>
        <w:tc>
          <w:tcPr>
            <w:tcW w:w="0" w:type="auto"/>
            <w:vAlign w:val="center"/>
            <w:hideMark/>
          </w:tcPr>
          <w:p w14:paraId="2E70D8EA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3A3E5BF4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055A7C68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7B63504F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2C0CDF2F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04DAEAEA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5D72C881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1782F13B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156D1B49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15BC7180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795AF4E4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3171D447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76E96E99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7444D65F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0FE0DED8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40D1C056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385BAD85" w14:textId="77777777" w:rsidTr="0077028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5A7F7A3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Respuestas ofrecidas</w:t>
            </w:r>
          </w:p>
          <w:p w14:paraId="57D3FA09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7A2C1298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07D23D92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2790B054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74C95962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6B7700C1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F64EB91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6DADF277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453BA26F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1BD3690C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1871BA58" w14:textId="77777777" w:rsidR="00952E63" w:rsidRPr="00A52DA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  <w:p w14:paraId="5E06724C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7DB7B944" w14:textId="77777777" w:rsidTr="0077028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1C8DFA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Estado emocional observado</w:t>
            </w:r>
          </w:p>
        </w:tc>
        <w:tc>
          <w:tcPr>
            <w:tcW w:w="0" w:type="auto"/>
            <w:vAlign w:val="center"/>
            <w:hideMark/>
          </w:tcPr>
          <w:p w14:paraId="527F6E4F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proofErr w:type="gramStart"/>
            <w:r w:rsidRPr="007C4F7F">
              <w:rPr>
                <w:rFonts w:eastAsia="Times New Roman" w:cs="Times New Roman"/>
                <w:lang w:eastAsia="es-ES"/>
              </w:rPr>
              <w:t>[ ]</w:t>
            </w:r>
            <w:proofErr w:type="gramEnd"/>
            <w:r w:rsidRPr="007C4F7F">
              <w:rPr>
                <w:rFonts w:eastAsia="Times New Roman" w:cs="Times New Roman"/>
                <w:lang w:eastAsia="es-ES"/>
              </w:rPr>
              <w:t xml:space="preserve"> Ansiedad [ ] Tristeza [ ] Negación [ ] Otro: ___________</w:t>
            </w:r>
          </w:p>
        </w:tc>
      </w:tr>
      <w:tr w:rsidR="00952E63" w:rsidRPr="007C4F7F" w14:paraId="39239EFD" w14:textId="77777777" w:rsidTr="0077028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C4B6D7A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Factores de decisión familiar</w:t>
            </w:r>
          </w:p>
        </w:tc>
        <w:tc>
          <w:tcPr>
            <w:tcW w:w="0" w:type="auto"/>
            <w:vAlign w:val="center"/>
            <w:hideMark/>
          </w:tcPr>
          <w:p w14:paraId="44B399E4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  <w:tr w:rsidR="00952E63" w:rsidRPr="007C4F7F" w14:paraId="5A081256" w14:textId="77777777" w:rsidTr="0077028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6971D9D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Decisión final</w:t>
            </w:r>
          </w:p>
        </w:tc>
        <w:tc>
          <w:tcPr>
            <w:tcW w:w="0" w:type="auto"/>
            <w:vAlign w:val="center"/>
            <w:hideMark/>
          </w:tcPr>
          <w:p w14:paraId="0E57D160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proofErr w:type="gramStart"/>
            <w:r w:rsidRPr="007C4F7F">
              <w:rPr>
                <w:rFonts w:eastAsia="Times New Roman" w:cs="Times New Roman"/>
                <w:lang w:eastAsia="es-ES"/>
              </w:rPr>
              <w:t>[ ]</w:t>
            </w:r>
            <w:proofErr w:type="gramEnd"/>
            <w:r w:rsidRPr="007C4F7F">
              <w:rPr>
                <w:rFonts w:eastAsia="Times New Roman" w:cs="Times New Roman"/>
                <w:lang w:eastAsia="es-ES"/>
              </w:rPr>
              <w:t xml:space="preserve"> Consienten [ ] Se oponen</w:t>
            </w:r>
          </w:p>
        </w:tc>
      </w:tr>
      <w:tr w:rsidR="00952E63" w:rsidRPr="007C4F7F" w14:paraId="69C044E9" w14:textId="77777777" w:rsidTr="0077028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2B44B82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  <w:r w:rsidRPr="007C4F7F">
              <w:rPr>
                <w:rFonts w:eastAsia="Times New Roman" w:cs="Times New Roman"/>
                <w:lang w:eastAsia="es-ES"/>
              </w:rPr>
              <w:t>Firma del entrevistador</w:t>
            </w:r>
          </w:p>
        </w:tc>
        <w:tc>
          <w:tcPr>
            <w:tcW w:w="0" w:type="auto"/>
            <w:vAlign w:val="center"/>
            <w:hideMark/>
          </w:tcPr>
          <w:p w14:paraId="59C15AAB" w14:textId="77777777" w:rsidR="00952E63" w:rsidRPr="007C4F7F" w:rsidRDefault="00952E63" w:rsidP="0077028D">
            <w:pPr>
              <w:rPr>
                <w:rFonts w:eastAsia="Times New Roman" w:cs="Times New Roman"/>
                <w:lang w:eastAsia="es-ES"/>
              </w:rPr>
            </w:pPr>
          </w:p>
        </w:tc>
      </w:tr>
    </w:tbl>
    <w:p w14:paraId="38553C94" w14:textId="7360A3F4" w:rsidR="00952E63" w:rsidRDefault="00952E63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5D7ECFDC" w14:textId="64F90D73" w:rsidR="002E676C" w:rsidRDefault="002E676C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4185EF83" w14:textId="4A423C4C" w:rsidR="002E676C" w:rsidRDefault="002E676C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4544E2AE" w14:textId="7EB90134" w:rsidR="002E676C" w:rsidRDefault="002E676C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1A70307D" w14:textId="5D00E3FB" w:rsidR="002E676C" w:rsidRPr="002E676C" w:rsidRDefault="002E676C" w:rsidP="002E676C">
      <w:pPr>
        <w:widowControl w:val="0"/>
        <w:autoSpaceDE w:val="0"/>
        <w:autoSpaceDN w:val="0"/>
        <w:jc w:val="center"/>
        <w:rPr>
          <w:rFonts w:eastAsia="Verdana" w:cs="Verdana"/>
          <w:b/>
          <w:bCs/>
          <w:sz w:val="20"/>
          <w:szCs w:val="20"/>
          <w:lang w:val="es-ES"/>
        </w:rPr>
      </w:pPr>
    </w:p>
    <w:p w14:paraId="20C1FE37" w14:textId="589E2046" w:rsidR="002E676C" w:rsidRDefault="002E676C" w:rsidP="00D13F7A">
      <w:pPr>
        <w:widowControl w:val="0"/>
        <w:autoSpaceDE w:val="0"/>
        <w:autoSpaceDN w:val="0"/>
        <w:jc w:val="left"/>
        <w:rPr>
          <w:rFonts w:eastAsia="Verdana" w:cs="Verdana"/>
          <w:b/>
          <w:bCs/>
          <w:lang w:val="es-ES"/>
        </w:rPr>
      </w:pPr>
      <w:r w:rsidRPr="00D13F7A">
        <w:rPr>
          <w:rFonts w:eastAsia="Verdana" w:cs="Verdana"/>
          <w:b/>
          <w:bCs/>
          <w:lang w:val="es-ES"/>
        </w:rPr>
        <w:t xml:space="preserve">ANEXO </w:t>
      </w:r>
      <w:r w:rsidR="00D13F7A">
        <w:rPr>
          <w:rFonts w:eastAsia="Verdana" w:cs="Verdana"/>
          <w:b/>
          <w:bCs/>
          <w:lang w:val="es-ES"/>
        </w:rPr>
        <w:t>5</w:t>
      </w:r>
      <w:r w:rsidRPr="00D13F7A">
        <w:rPr>
          <w:rFonts w:eastAsia="Verdana" w:cs="Verdana"/>
          <w:b/>
          <w:bCs/>
          <w:lang w:val="es-ES"/>
        </w:rPr>
        <w:t xml:space="preserve"> CHECKLIST UCI – MANTENIMIENTO DEL DONANTE ENCEFALICO</w:t>
      </w:r>
    </w:p>
    <w:p w14:paraId="713D7B98" w14:textId="77777777" w:rsidR="00D13F7A" w:rsidRPr="00D13F7A" w:rsidRDefault="00D13F7A" w:rsidP="00D13F7A">
      <w:pPr>
        <w:widowControl w:val="0"/>
        <w:autoSpaceDE w:val="0"/>
        <w:autoSpaceDN w:val="0"/>
        <w:jc w:val="left"/>
        <w:rPr>
          <w:rFonts w:eastAsia="Verdana" w:cs="Verdana"/>
          <w:b/>
          <w:bCs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E676C" w:rsidRPr="00A52DAF" w14:paraId="07C4769E" w14:textId="77777777" w:rsidTr="002E676C">
        <w:trPr>
          <w:trHeight w:val="502"/>
          <w:jc w:val="center"/>
        </w:trPr>
        <w:tc>
          <w:tcPr>
            <w:tcW w:w="2123" w:type="dxa"/>
            <w:vAlign w:val="center"/>
          </w:tcPr>
          <w:p w14:paraId="24E0CEF6" w14:textId="77777777" w:rsidR="002E676C" w:rsidRPr="00A52DAF" w:rsidRDefault="002E676C" w:rsidP="0077028D">
            <w:pPr>
              <w:rPr>
                <w:b/>
                <w:bCs/>
              </w:rPr>
            </w:pPr>
            <w:r w:rsidRPr="00A52DAF">
              <w:rPr>
                <w:rStyle w:val="Textoennegrita"/>
              </w:rPr>
              <w:t>Aspecto clínico</w:t>
            </w:r>
          </w:p>
        </w:tc>
        <w:tc>
          <w:tcPr>
            <w:tcW w:w="2123" w:type="dxa"/>
            <w:vAlign w:val="center"/>
          </w:tcPr>
          <w:p w14:paraId="5F7081BE" w14:textId="77777777" w:rsidR="002E676C" w:rsidRPr="00A52DAF" w:rsidRDefault="002E676C" w:rsidP="0077028D">
            <w:pPr>
              <w:rPr>
                <w:b/>
                <w:bCs/>
              </w:rPr>
            </w:pPr>
            <w:r w:rsidRPr="00A52DAF">
              <w:rPr>
                <w:rStyle w:val="Textoennegrita"/>
              </w:rPr>
              <w:t>Ítem específico</w:t>
            </w:r>
          </w:p>
        </w:tc>
        <w:tc>
          <w:tcPr>
            <w:tcW w:w="2124" w:type="dxa"/>
            <w:vAlign w:val="center"/>
          </w:tcPr>
          <w:p w14:paraId="7A2E2FB6" w14:textId="77777777" w:rsidR="002E676C" w:rsidRPr="00A52DAF" w:rsidRDefault="002E676C" w:rsidP="0077028D">
            <w:pPr>
              <w:rPr>
                <w:b/>
                <w:bCs/>
              </w:rPr>
            </w:pPr>
            <w:r w:rsidRPr="00A52DAF">
              <w:rPr>
                <w:rStyle w:val="Textoennegrita"/>
              </w:rPr>
              <w:t>Estado</w:t>
            </w:r>
            <w:r w:rsidRPr="00A52DAF">
              <w:rPr>
                <w:b/>
                <w:bCs/>
              </w:rPr>
              <w:t xml:space="preserve"> [</w:t>
            </w:r>
            <w:r w:rsidRPr="00A52DAF">
              <w:rPr>
                <w:rFonts w:ascii="Segoe UI Symbol" w:hAnsi="Segoe UI Symbol" w:cs="Segoe UI Symbol"/>
                <w:b/>
                <w:bCs/>
              </w:rPr>
              <w:t>✓</w:t>
            </w:r>
            <w:r w:rsidRPr="00A52DAF">
              <w:rPr>
                <w:b/>
                <w:bCs/>
              </w:rPr>
              <w:t>/</w:t>
            </w:r>
            <w:r w:rsidRPr="00A52DAF">
              <w:rPr>
                <w:rFonts w:ascii="Segoe UI Symbol" w:hAnsi="Segoe UI Symbol" w:cs="Segoe UI Symbol"/>
                <w:b/>
                <w:bCs/>
              </w:rPr>
              <w:t>✗</w:t>
            </w:r>
            <w:r w:rsidRPr="00A52DAF">
              <w:rPr>
                <w:b/>
                <w:bCs/>
              </w:rPr>
              <w:t>/N.A.]</w:t>
            </w:r>
          </w:p>
        </w:tc>
        <w:tc>
          <w:tcPr>
            <w:tcW w:w="2124" w:type="dxa"/>
            <w:vAlign w:val="center"/>
          </w:tcPr>
          <w:p w14:paraId="58E94337" w14:textId="77777777" w:rsidR="002E676C" w:rsidRPr="00A52DAF" w:rsidRDefault="002E676C" w:rsidP="0077028D">
            <w:pPr>
              <w:rPr>
                <w:b/>
                <w:bCs/>
              </w:rPr>
            </w:pPr>
            <w:r w:rsidRPr="00A52DAF">
              <w:rPr>
                <w:rStyle w:val="Textoennegrita"/>
              </w:rPr>
              <w:t>Observaciones</w:t>
            </w:r>
          </w:p>
        </w:tc>
      </w:tr>
      <w:tr w:rsidR="002E676C" w:rsidRPr="00A52DAF" w14:paraId="5DDFF3C3" w14:textId="77777777" w:rsidTr="002E676C">
        <w:trPr>
          <w:jc w:val="center"/>
        </w:trPr>
        <w:tc>
          <w:tcPr>
            <w:tcW w:w="2123" w:type="dxa"/>
            <w:vAlign w:val="center"/>
          </w:tcPr>
          <w:p w14:paraId="17073284" w14:textId="77777777" w:rsidR="002E676C" w:rsidRPr="00A52DAF" w:rsidRDefault="002E676C" w:rsidP="0077028D">
            <w:r w:rsidRPr="00A52DAF">
              <w:t>Ventilación mecánica</w:t>
            </w:r>
          </w:p>
        </w:tc>
        <w:tc>
          <w:tcPr>
            <w:tcW w:w="2123" w:type="dxa"/>
            <w:vAlign w:val="center"/>
          </w:tcPr>
          <w:p w14:paraId="0A299E64" w14:textId="77777777" w:rsidR="002E676C" w:rsidRPr="00A52DAF" w:rsidRDefault="002E676C" w:rsidP="0077028D">
            <w:proofErr w:type="spellStart"/>
            <w:r w:rsidRPr="00A52DAF">
              <w:t>FiO</w:t>
            </w:r>
            <w:proofErr w:type="spellEnd"/>
            <w:r w:rsidRPr="00A52DAF">
              <w:rPr>
                <w:rFonts w:ascii="Cambria Math" w:hAnsi="Cambria Math" w:cs="Cambria Math"/>
              </w:rPr>
              <w:t>₂</w:t>
            </w:r>
            <w:r w:rsidRPr="00A52DAF">
              <w:t xml:space="preserve"> </w:t>
            </w:r>
            <w:r w:rsidRPr="00A52DAF">
              <w:rPr>
                <w:rFonts w:cs="Century Gothic"/>
              </w:rPr>
              <w:t>≥</w:t>
            </w:r>
            <w:r w:rsidRPr="00A52DAF">
              <w:t xml:space="preserve"> 98% / </w:t>
            </w:r>
            <w:proofErr w:type="spellStart"/>
            <w:r w:rsidRPr="00A52DAF">
              <w:t>PaO</w:t>
            </w:r>
            <w:proofErr w:type="spellEnd"/>
            <w:r w:rsidRPr="00A52DAF">
              <w:rPr>
                <w:rFonts w:ascii="Cambria Math" w:hAnsi="Cambria Math" w:cs="Cambria Math"/>
              </w:rPr>
              <w:t>₂</w:t>
            </w:r>
            <w:r w:rsidRPr="00A52DAF">
              <w:t xml:space="preserve"> &gt; 200 </w:t>
            </w:r>
            <w:proofErr w:type="spellStart"/>
            <w:r w:rsidRPr="00A52DAF">
              <w:t>mmHg</w:t>
            </w:r>
            <w:proofErr w:type="spellEnd"/>
          </w:p>
        </w:tc>
        <w:tc>
          <w:tcPr>
            <w:tcW w:w="2124" w:type="dxa"/>
            <w:vAlign w:val="center"/>
          </w:tcPr>
          <w:p w14:paraId="79AE0AC9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24E0C485" w14:textId="77777777" w:rsidR="002E676C" w:rsidRPr="00A52DAF" w:rsidRDefault="002E676C" w:rsidP="0077028D"/>
        </w:tc>
      </w:tr>
      <w:tr w:rsidR="002E676C" w:rsidRPr="00A52DAF" w14:paraId="0F9EEA69" w14:textId="77777777" w:rsidTr="002E676C">
        <w:trPr>
          <w:jc w:val="center"/>
        </w:trPr>
        <w:tc>
          <w:tcPr>
            <w:tcW w:w="2123" w:type="dxa"/>
            <w:vAlign w:val="center"/>
          </w:tcPr>
          <w:p w14:paraId="73976AAF" w14:textId="77777777" w:rsidR="002E676C" w:rsidRPr="00A52DAF" w:rsidRDefault="002E676C" w:rsidP="0077028D"/>
        </w:tc>
        <w:tc>
          <w:tcPr>
            <w:tcW w:w="2123" w:type="dxa"/>
            <w:vAlign w:val="center"/>
          </w:tcPr>
          <w:p w14:paraId="12E4BC87" w14:textId="77777777" w:rsidR="002E676C" w:rsidRPr="00A52DAF" w:rsidRDefault="002E676C" w:rsidP="0077028D">
            <w:proofErr w:type="spellStart"/>
            <w:r w:rsidRPr="00A52DAF">
              <w:t>PaCO</w:t>
            </w:r>
            <w:proofErr w:type="spellEnd"/>
            <w:r w:rsidRPr="00A52DAF">
              <w:rPr>
                <w:rFonts w:ascii="Cambria Math" w:hAnsi="Cambria Math" w:cs="Cambria Math"/>
              </w:rPr>
              <w:t>₂</w:t>
            </w:r>
            <w:r w:rsidRPr="00A52DAF">
              <w:t xml:space="preserve"> 35</w:t>
            </w:r>
            <w:r w:rsidRPr="00A52DAF">
              <w:rPr>
                <w:rFonts w:cs="Century Gothic"/>
              </w:rPr>
              <w:t>–</w:t>
            </w:r>
            <w:r w:rsidRPr="00A52DAF">
              <w:t xml:space="preserve">45 </w:t>
            </w:r>
            <w:proofErr w:type="spellStart"/>
            <w:r w:rsidRPr="00A52DAF">
              <w:t>mmHg</w:t>
            </w:r>
            <w:proofErr w:type="spellEnd"/>
          </w:p>
        </w:tc>
        <w:tc>
          <w:tcPr>
            <w:tcW w:w="2124" w:type="dxa"/>
            <w:vAlign w:val="center"/>
          </w:tcPr>
          <w:p w14:paraId="6C2151BE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5549E9E5" w14:textId="77777777" w:rsidR="002E676C" w:rsidRPr="00A52DAF" w:rsidRDefault="002E676C" w:rsidP="0077028D"/>
        </w:tc>
      </w:tr>
      <w:tr w:rsidR="002E676C" w:rsidRPr="00A52DAF" w14:paraId="6E346B7A" w14:textId="77777777" w:rsidTr="002E676C">
        <w:trPr>
          <w:jc w:val="center"/>
        </w:trPr>
        <w:tc>
          <w:tcPr>
            <w:tcW w:w="2123" w:type="dxa"/>
            <w:vAlign w:val="center"/>
          </w:tcPr>
          <w:p w14:paraId="5E93670E" w14:textId="77777777" w:rsidR="002E676C" w:rsidRPr="00A52DAF" w:rsidRDefault="002E676C" w:rsidP="0077028D">
            <w:r w:rsidRPr="00A52DAF">
              <w:t>Estabilidad hemodinámica</w:t>
            </w:r>
          </w:p>
        </w:tc>
        <w:tc>
          <w:tcPr>
            <w:tcW w:w="2123" w:type="dxa"/>
            <w:vAlign w:val="center"/>
          </w:tcPr>
          <w:p w14:paraId="57E564AB" w14:textId="77777777" w:rsidR="002E676C" w:rsidRPr="00A52DAF" w:rsidRDefault="002E676C" w:rsidP="0077028D">
            <w:r w:rsidRPr="00A52DAF">
              <w:t xml:space="preserve">PAS ≥ 100 </w:t>
            </w:r>
            <w:proofErr w:type="spellStart"/>
            <w:r w:rsidRPr="00A52DAF">
              <w:t>mmHg</w:t>
            </w:r>
            <w:proofErr w:type="spellEnd"/>
            <w:r w:rsidRPr="00A52DAF">
              <w:t xml:space="preserve"> / PAM ≥ 65 </w:t>
            </w:r>
            <w:proofErr w:type="spellStart"/>
            <w:r w:rsidRPr="00A52DAF">
              <w:t>mmHg</w:t>
            </w:r>
            <w:proofErr w:type="spellEnd"/>
          </w:p>
        </w:tc>
        <w:tc>
          <w:tcPr>
            <w:tcW w:w="2124" w:type="dxa"/>
            <w:vAlign w:val="center"/>
          </w:tcPr>
          <w:p w14:paraId="1653D322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28D77F1E" w14:textId="77777777" w:rsidR="002E676C" w:rsidRPr="00A52DAF" w:rsidRDefault="002E676C" w:rsidP="0077028D"/>
        </w:tc>
      </w:tr>
      <w:tr w:rsidR="002E676C" w:rsidRPr="00A52DAF" w14:paraId="192B5260" w14:textId="77777777" w:rsidTr="002E676C">
        <w:trPr>
          <w:jc w:val="center"/>
        </w:trPr>
        <w:tc>
          <w:tcPr>
            <w:tcW w:w="2123" w:type="dxa"/>
            <w:vAlign w:val="center"/>
          </w:tcPr>
          <w:p w14:paraId="6C0C0F65" w14:textId="77777777" w:rsidR="002E676C" w:rsidRPr="00A52DAF" w:rsidRDefault="002E676C" w:rsidP="0077028D"/>
        </w:tc>
        <w:tc>
          <w:tcPr>
            <w:tcW w:w="2123" w:type="dxa"/>
            <w:vAlign w:val="center"/>
          </w:tcPr>
          <w:p w14:paraId="25B77B12" w14:textId="77777777" w:rsidR="002E676C" w:rsidRPr="00A52DAF" w:rsidRDefault="002E676C" w:rsidP="0077028D">
            <w:r w:rsidRPr="00A52DAF">
              <w:t>Uso de vasopresores ajustado</w:t>
            </w:r>
          </w:p>
        </w:tc>
        <w:tc>
          <w:tcPr>
            <w:tcW w:w="2124" w:type="dxa"/>
            <w:vAlign w:val="center"/>
          </w:tcPr>
          <w:p w14:paraId="0AF9323E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150919B1" w14:textId="77777777" w:rsidR="002E676C" w:rsidRPr="00A52DAF" w:rsidRDefault="002E676C" w:rsidP="0077028D"/>
        </w:tc>
      </w:tr>
      <w:tr w:rsidR="002E676C" w:rsidRPr="00A52DAF" w14:paraId="1DBC92BF" w14:textId="77777777" w:rsidTr="002E676C">
        <w:trPr>
          <w:jc w:val="center"/>
        </w:trPr>
        <w:tc>
          <w:tcPr>
            <w:tcW w:w="2123" w:type="dxa"/>
            <w:vAlign w:val="center"/>
          </w:tcPr>
          <w:p w14:paraId="2E03F3C2" w14:textId="77777777" w:rsidR="002E676C" w:rsidRPr="00A52DAF" w:rsidRDefault="002E676C" w:rsidP="0077028D">
            <w:r w:rsidRPr="00A52DAF">
              <w:t>Temperatura</w:t>
            </w:r>
          </w:p>
        </w:tc>
        <w:tc>
          <w:tcPr>
            <w:tcW w:w="2123" w:type="dxa"/>
            <w:vAlign w:val="center"/>
          </w:tcPr>
          <w:p w14:paraId="68AB2CDF" w14:textId="77777777" w:rsidR="002E676C" w:rsidRPr="00A52DAF" w:rsidRDefault="002E676C" w:rsidP="0077028D">
            <w:r w:rsidRPr="00A52DAF">
              <w:t>≥ 36 °C (uso de mantas térmicas)</w:t>
            </w:r>
          </w:p>
        </w:tc>
        <w:tc>
          <w:tcPr>
            <w:tcW w:w="2124" w:type="dxa"/>
            <w:vAlign w:val="center"/>
          </w:tcPr>
          <w:p w14:paraId="09E54739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3BEA11E0" w14:textId="77777777" w:rsidR="002E676C" w:rsidRPr="00A52DAF" w:rsidRDefault="002E676C" w:rsidP="0077028D"/>
        </w:tc>
      </w:tr>
      <w:tr w:rsidR="002E676C" w:rsidRPr="00A52DAF" w14:paraId="2BF62FC1" w14:textId="77777777" w:rsidTr="002E676C">
        <w:trPr>
          <w:jc w:val="center"/>
        </w:trPr>
        <w:tc>
          <w:tcPr>
            <w:tcW w:w="2123" w:type="dxa"/>
            <w:vAlign w:val="center"/>
          </w:tcPr>
          <w:p w14:paraId="66567117" w14:textId="77777777" w:rsidR="002E676C" w:rsidRPr="00A52DAF" w:rsidRDefault="002E676C" w:rsidP="0077028D">
            <w:r w:rsidRPr="00A52DAF">
              <w:t>Balance hídrico</w:t>
            </w:r>
          </w:p>
        </w:tc>
        <w:tc>
          <w:tcPr>
            <w:tcW w:w="2123" w:type="dxa"/>
            <w:vAlign w:val="center"/>
          </w:tcPr>
          <w:p w14:paraId="1D3D790B" w14:textId="77777777" w:rsidR="002E676C" w:rsidRPr="00A52DAF" w:rsidRDefault="002E676C" w:rsidP="0077028D">
            <w:r w:rsidRPr="00A52DAF">
              <w:t>Diuresis ≥ 0.5 ml/kg/h</w:t>
            </w:r>
          </w:p>
        </w:tc>
        <w:tc>
          <w:tcPr>
            <w:tcW w:w="2124" w:type="dxa"/>
            <w:vAlign w:val="center"/>
          </w:tcPr>
          <w:p w14:paraId="5A594DDF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2F0D4AAA" w14:textId="77777777" w:rsidR="002E676C" w:rsidRPr="00A52DAF" w:rsidRDefault="002E676C" w:rsidP="0077028D"/>
        </w:tc>
      </w:tr>
      <w:tr w:rsidR="002E676C" w:rsidRPr="00A52DAF" w14:paraId="177D9B56" w14:textId="77777777" w:rsidTr="002E676C">
        <w:trPr>
          <w:jc w:val="center"/>
        </w:trPr>
        <w:tc>
          <w:tcPr>
            <w:tcW w:w="2123" w:type="dxa"/>
            <w:vAlign w:val="center"/>
          </w:tcPr>
          <w:p w14:paraId="1E92CA58" w14:textId="77777777" w:rsidR="002E676C" w:rsidRPr="00A52DAF" w:rsidRDefault="002E676C" w:rsidP="0077028D">
            <w:r w:rsidRPr="00A52DAF">
              <w:t>Diabetes insípida</w:t>
            </w:r>
          </w:p>
        </w:tc>
        <w:tc>
          <w:tcPr>
            <w:tcW w:w="2123" w:type="dxa"/>
            <w:vAlign w:val="center"/>
          </w:tcPr>
          <w:p w14:paraId="00695389" w14:textId="77777777" w:rsidR="002E676C" w:rsidRPr="00A52DAF" w:rsidRDefault="002E676C" w:rsidP="0077028D">
            <w:r w:rsidRPr="00A52DAF">
              <w:t>Densidad urinaria / electrolitos</w:t>
            </w:r>
          </w:p>
        </w:tc>
        <w:tc>
          <w:tcPr>
            <w:tcW w:w="2124" w:type="dxa"/>
            <w:vAlign w:val="center"/>
          </w:tcPr>
          <w:p w14:paraId="63B65FC5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668500D3" w14:textId="77777777" w:rsidR="002E676C" w:rsidRPr="00A52DAF" w:rsidRDefault="002E676C" w:rsidP="0077028D"/>
        </w:tc>
      </w:tr>
      <w:tr w:rsidR="002E676C" w:rsidRPr="00A52DAF" w14:paraId="26649126" w14:textId="77777777" w:rsidTr="002E676C">
        <w:trPr>
          <w:jc w:val="center"/>
        </w:trPr>
        <w:tc>
          <w:tcPr>
            <w:tcW w:w="2123" w:type="dxa"/>
            <w:vAlign w:val="center"/>
          </w:tcPr>
          <w:p w14:paraId="48BCEF4F" w14:textId="77777777" w:rsidR="002E676C" w:rsidRPr="00A52DAF" w:rsidRDefault="002E676C" w:rsidP="0077028D"/>
        </w:tc>
        <w:tc>
          <w:tcPr>
            <w:tcW w:w="2123" w:type="dxa"/>
            <w:vAlign w:val="center"/>
          </w:tcPr>
          <w:p w14:paraId="133584F7" w14:textId="77777777" w:rsidR="002E676C" w:rsidRPr="00A52DAF" w:rsidRDefault="002E676C" w:rsidP="0077028D">
            <w:r w:rsidRPr="00A52DAF">
              <w:t>Vasopresina / desmopresina administrada</w:t>
            </w:r>
          </w:p>
        </w:tc>
        <w:tc>
          <w:tcPr>
            <w:tcW w:w="2124" w:type="dxa"/>
            <w:vAlign w:val="center"/>
          </w:tcPr>
          <w:p w14:paraId="073AB45A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72259225" w14:textId="77777777" w:rsidR="002E676C" w:rsidRPr="00A52DAF" w:rsidRDefault="002E676C" w:rsidP="0077028D"/>
        </w:tc>
      </w:tr>
      <w:tr w:rsidR="002E676C" w:rsidRPr="00A52DAF" w14:paraId="4CBBA786" w14:textId="77777777" w:rsidTr="002E676C">
        <w:trPr>
          <w:jc w:val="center"/>
        </w:trPr>
        <w:tc>
          <w:tcPr>
            <w:tcW w:w="2123" w:type="dxa"/>
            <w:vAlign w:val="center"/>
          </w:tcPr>
          <w:p w14:paraId="7B213472" w14:textId="77777777" w:rsidR="002E676C" w:rsidRPr="00A52DAF" w:rsidRDefault="002E676C" w:rsidP="0077028D">
            <w:r w:rsidRPr="00A52DAF">
              <w:t>Cultivos e infecciones</w:t>
            </w:r>
          </w:p>
        </w:tc>
        <w:tc>
          <w:tcPr>
            <w:tcW w:w="2123" w:type="dxa"/>
            <w:vAlign w:val="center"/>
          </w:tcPr>
          <w:p w14:paraId="43E5EADB" w14:textId="77777777" w:rsidR="002E676C" w:rsidRPr="00A52DAF" w:rsidRDefault="002E676C" w:rsidP="0077028D">
            <w:r w:rsidRPr="00A52DAF">
              <w:t>Hemocultivos / Urocultivos realizados</w:t>
            </w:r>
          </w:p>
        </w:tc>
        <w:tc>
          <w:tcPr>
            <w:tcW w:w="2124" w:type="dxa"/>
            <w:vAlign w:val="center"/>
          </w:tcPr>
          <w:p w14:paraId="666FADB2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65677335" w14:textId="77777777" w:rsidR="002E676C" w:rsidRPr="00A52DAF" w:rsidRDefault="002E676C" w:rsidP="0077028D"/>
        </w:tc>
      </w:tr>
      <w:tr w:rsidR="002E676C" w:rsidRPr="00A52DAF" w14:paraId="6CDA9477" w14:textId="77777777" w:rsidTr="002E676C">
        <w:trPr>
          <w:jc w:val="center"/>
        </w:trPr>
        <w:tc>
          <w:tcPr>
            <w:tcW w:w="2123" w:type="dxa"/>
            <w:vAlign w:val="center"/>
          </w:tcPr>
          <w:p w14:paraId="56168F67" w14:textId="77777777" w:rsidR="002E676C" w:rsidRPr="00A52DAF" w:rsidRDefault="002E676C" w:rsidP="0077028D">
            <w:r w:rsidRPr="00A52DAF">
              <w:t>Antibióticos</w:t>
            </w:r>
          </w:p>
        </w:tc>
        <w:tc>
          <w:tcPr>
            <w:tcW w:w="2123" w:type="dxa"/>
            <w:vAlign w:val="center"/>
          </w:tcPr>
          <w:p w14:paraId="3A884673" w14:textId="77777777" w:rsidR="002E676C" w:rsidRPr="00A52DAF" w:rsidRDefault="002E676C" w:rsidP="0077028D">
            <w:r w:rsidRPr="00A52DAF">
              <w:t>Según protocolos</w:t>
            </w:r>
          </w:p>
        </w:tc>
        <w:tc>
          <w:tcPr>
            <w:tcW w:w="2124" w:type="dxa"/>
            <w:vAlign w:val="center"/>
          </w:tcPr>
          <w:p w14:paraId="19037010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33EED7D3" w14:textId="77777777" w:rsidR="002E676C" w:rsidRPr="00A52DAF" w:rsidRDefault="002E676C" w:rsidP="0077028D"/>
        </w:tc>
      </w:tr>
      <w:tr w:rsidR="002E676C" w:rsidRPr="00A52DAF" w14:paraId="1628BEA4" w14:textId="77777777" w:rsidTr="002E676C">
        <w:trPr>
          <w:jc w:val="center"/>
        </w:trPr>
        <w:tc>
          <w:tcPr>
            <w:tcW w:w="2123" w:type="dxa"/>
            <w:vAlign w:val="center"/>
          </w:tcPr>
          <w:p w14:paraId="187E78C4" w14:textId="77777777" w:rsidR="002E676C" w:rsidRPr="00A52DAF" w:rsidRDefault="002E676C" w:rsidP="0077028D">
            <w:r w:rsidRPr="00A52DAF">
              <w:t>Laboratorio completo</w:t>
            </w:r>
          </w:p>
        </w:tc>
        <w:tc>
          <w:tcPr>
            <w:tcW w:w="2123" w:type="dxa"/>
            <w:vAlign w:val="center"/>
          </w:tcPr>
          <w:p w14:paraId="46EBC175" w14:textId="77777777" w:rsidR="002E676C" w:rsidRPr="00A52DAF" w:rsidRDefault="002E676C" w:rsidP="0077028D">
            <w:r w:rsidRPr="00A52DAF">
              <w:t xml:space="preserve">Gasometría / Creatinina / Electrolitos / </w:t>
            </w:r>
            <w:proofErr w:type="spellStart"/>
            <w:r w:rsidRPr="00A52DAF">
              <w:t>Coagulograma</w:t>
            </w:r>
            <w:proofErr w:type="spellEnd"/>
          </w:p>
        </w:tc>
        <w:tc>
          <w:tcPr>
            <w:tcW w:w="2124" w:type="dxa"/>
            <w:vAlign w:val="center"/>
          </w:tcPr>
          <w:p w14:paraId="5D697F91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334FC441" w14:textId="77777777" w:rsidR="002E676C" w:rsidRPr="00A52DAF" w:rsidRDefault="002E676C" w:rsidP="0077028D"/>
        </w:tc>
      </w:tr>
      <w:tr w:rsidR="002E676C" w:rsidRPr="00A52DAF" w14:paraId="3712CE65" w14:textId="77777777" w:rsidTr="002E676C">
        <w:trPr>
          <w:jc w:val="center"/>
        </w:trPr>
        <w:tc>
          <w:tcPr>
            <w:tcW w:w="2123" w:type="dxa"/>
            <w:vAlign w:val="center"/>
          </w:tcPr>
          <w:p w14:paraId="342668EE" w14:textId="77777777" w:rsidR="002E676C" w:rsidRPr="00A52DAF" w:rsidRDefault="002E676C" w:rsidP="0077028D">
            <w:r w:rsidRPr="00A52DAF">
              <w:t>Comunicación</w:t>
            </w:r>
          </w:p>
        </w:tc>
        <w:tc>
          <w:tcPr>
            <w:tcW w:w="2123" w:type="dxa"/>
            <w:vAlign w:val="center"/>
          </w:tcPr>
          <w:p w14:paraId="409433A6" w14:textId="77777777" w:rsidR="002E676C" w:rsidRPr="00A52DAF" w:rsidRDefault="002E676C" w:rsidP="0077028D">
            <w:r w:rsidRPr="00A52DAF">
              <w:t>Familia informada</w:t>
            </w:r>
          </w:p>
        </w:tc>
        <w:tc>
          <w:tcPr>
            <w:tcW w:w="2124" w:type="dxa"/>
            <w:vAlign w:val="center"/>
          </w:tcPr>
          <w:p w14:paraId="108E4232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3C8E384E" w14:textId="77777777" w:rsidR="002E676C" w:rsidRPr="00A52DAF" w:rsidRDefault="002E676C" w:rsidP="0077028D"/>
        </w:tc>
      </w:tr>
      <w:tr w:rsidR="002E676C" w:rsidRPr="00A52DAF" w14:paraId="3611655E" w14:textId="77777777" w:rsidTr="002E676C">
        <w:trPr>
          <w:jc w:val="center"/>
        </w:trPr>
        <w:tc>
          <w:tcPr>
            <w:tcW w:w="2123" w:type="dxa"/>
            <w:vAlign w:val="center"/>
          </w:tcPr>
          <w:p w14:paraId="6784CC29" w14:textId="77777777" w:rsidR="002E676C" w:rsidRPr="00A52DAF" w:rsidRDefault="002E676C" w:rsidP="0077028D">
            <w:r w:rsidRPr="00A52DAF">
              <w:t>Documentación</w:t>
            </w:r>
          </w:p>
        </w:tc>
        <w:tc>
          <w:tcPr>
            <w:tcW w:w="2123" w:type="dxa"/>
            <w:vAlign w:val="center"/>
          </w:tcPr>
          <w:p w14:paraId="6C992812" w14:textId="77777777" w:rsidR="002E676C" w:rsidRPr="00A52DAF" w:rsidRDefault="002E676C" w:rsidP="0077028D">
            <w:r w:rsidRPr="00A52DAF">
              <w:t>Acta ME / Consentimiento / Registros al día</w:t>
            </w:r>
          </w:p>
        </w:tc>
        <w:tc>
          <w:tcPr>
            <w:tcW w:w="2124" w:type="dxa"/>
            <w:vAlign w:val="center"/>
          </w:tcPr>
          <w:p w14:paraId="4AA318F3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6E00F705" w14:textId="77777777" w:rsidR="002E676C" w:rsidRPr="00A52DAF" w:rsidRDefault="002E676C" w:rsidP="0077028D"/>
        </w:tc>
      </w:tr>
      <w:tr w:rsidR="002E676C" w:rsidRPr="00A52DAF" w14:paraId="7618AB68" w14:textId="77777777" w:rsidTr="002E676C">
        <w:trPr>
          <w:jc w:val="center"/>
        </w:trPr>
        <w:tc>
          <w:tcPr>
            <w:tcW w:w="2123" w:type="dxa"/>
            <w:vAlign w:val="center"/>
          </w:tcPr>
          <w:p w14:paraId="546A8603" w14:textId="77777777" w:rsidR="002E676C" w:rsidRPr="00A52DAF" w:rsidRDefault="002E676C" w:rsidP="0077028D">
            <w:r w:rsidRPr="00A52DAF">
              <w:t>Firma del médico tratante</w:t>
            </w:r>
          </w:p>
        </w:tc>
        <w:tc>
          <w:tcPr>
            <w:tcW w:w="2123" w:type="dxa"/>
            <w:vAlign w:val="center"/>
          </w:tcPr>
          <w:p w14:paraId="15A40A24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5125D3E1" w14:textId="77777777" w:rsidR="002E676C" w:rsidRPr="00A52DAF" w:rsidRDefault="002E676C" w:rsidP="0077028D"/>
        </w:tc>
        <w:tc>
          <w:tcPr>
            <w:tcW w:w="2124" w:type="dxa"/>
            <w:vAlign w:val="center"/>
          </w:tcPr>
          <w:p w14:paraId="333E3F8C" w14:textId="77777777" w:rsidR="002E676C" w:rsidRPr="00A52DAF" w:rsidRDefault="002E676C" w:rsidP="0077028D"/>
        </w:tc>
      </w:tr>
      <w:tr w:rsidR="002E676C" w:rsidRPr="00A52DAF" w14:paraId="4CE53D78" w14:textId="77777777" w:rsidTr="002E676C">
        <w:trPr>
          <w:jc w:val="center"/>
        </w:trPr>
        <w:tc>
          <w:tcPr>
            <w:tcW w:w="2123" w:type="dxa"/>
            <w:vAlign w:val="center"/>
          </w:tcPr>
          <w:p w14:paraId="2B74B4E9" w14:textId="77777777" w:rsidR="002E676C" w:rsidRPr="00A52DAF" w:rsidRDefault="002E676C" w:rsidP="0077028D">
            <w:pPr>
              <w:rPr>
                <w:b/>
                <w:bCs/>
              </w:rPr>
            </w:pPr>
            <w:r w:rsidRPr="00A52DAF">
              <w:rPr>
                <w:rStyle w:val="Textoennegrita"/>
              </w:rPr>
              <w:t>Aspecto clínico</w:t>
            </w:r>
          </w:p>
        </w:tc>
        <w:tc>
          <w:tcPr>
            <w:tcW w:w="2123" w:type="dxa"/>
            <w:vAlign w:val="center"/>
          </w:tcPr>
          <w:p w14:paraId="374D1980" w14:textId="77777777" w:rsidR="002E676C" w:rsidRPr="00A52DAF" w:rsidRDefault="002E676C" w:rsidP="0077028D">
            <w:pPr>
              <w:rPr>
                <w:b/>
                <w:bCs/>
              </w:rPr>
            </w:pPr>
            <w:r w:rsidRPr="00A52DAF">
              <w:rPr>
                <w:rStyle w:val="Textoennegrita"/>
              </w:rPr>
              <w:t>Ítem específico</w:t>
            </w:r>
          </w:p>
        </w:tc>
        <w:tc>
          <w:tcPr>
            <w:tcW w:w="2124" w:type="dxa"/>
            <w:vAlign w:val="center"/>
          </w:tcPr>
          <w:p w14:paraId="23D80896" w14:textId="77777777" w:rsidR="002E676C" w:rsidRPr="00A52DAF" w:rsidRDefault="002E676C" w:rsidP="0077028D">
            <w:pPr>
              <w:rPr>
                <w:b/>
                <w:bCs/>
              </w:rPr>
            </w:pPr>
            <w:r w:rsidRPr="00A52DAF">
              <w:rPr>
                <w:rStyle w:val="Textoennegrita"/>
              </w:rPr>
              <w:t>Estado</w:t>
            </w:r>
            <w:r w:rsidRPr="00A52DAF">
              <w:rPr>
                <w:b/>
                <w:bCs/>
              </w:rPr>
              <w:t xml:space="preserve"> [</w:t>
            </w:r>
            <w:r w:rsidRPr="00A52DAF">
              <w:rPr>
                <w:rFonts w:ascii="Segoe UI Symbol" w:hAnsi="Segoe UI Symbol" w:cs="Segoe UI Symbol"/>
                <w:b/>
                <w:bCs/>
              </w:rPr>
              <w:t>✓</w:t>
            </w:r>
            <w:r w:rsidRPr="00A52DAF">
              <w:rPr>
                <w:b/>
                <w:bCs/>
              </w:rPr>
              <w:t>/</w:t>
            </w:r>
            <w:r w:rsidRPr="00A52DAF">
              <w:rPr>
                <w:rFonts w:ascii="Segoe UI Symbol" w:hAnsi="Segoe UI Symbol" w:cs="Segoe UI Symbol"/>
                <w:b/>
                <w:bCs/>
              </w:rPr>
              <w:t>✗</w:t>
            </w:r>
            <w:r w:rsidRPr="00A52DAF">
              <w:rPr>
                <w:b/>
                <w:bCs/>
              </w:rPr>
              <w:t>/N.A.]</w:t>
            </w:r>
          </w:p>
        </w:tc>
        <w:tc>
          <w:tcPr>
            <w:tcW w:w="2124" w:type="dxa"/>
            <w:vAlign w:val="center"/>
          </w:tcPr>
          <w:p w14:paraId="31CE281A" w14:textId="77777777" w:rsidR="002E676C" w:rsidRPr="00A52DAF" w:rsidRDefault="002E676C" w:rsidP="0077028D">
            <w:pPr>
              <w:rPr>
                <w:b/>
                <w:bCs/>
              </w:rPr>
            </w:pPr>
            <w:r w:rsidRPr="00A52DAF">
              <w:rPr>
                <w:rStyle w:val="Textoennegrita"/>
              </w:rPr>
              <w:t>Observaciones</w:t>
            </w:r>
          </w:p>
        </w:tc>
      </w:tr>
    </w:tbl>
    <w:p w14:paraId="0636F359" w14:textId="30E1C499" w:rsidR="002E676C" w:rsidRDefault="002E676C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603FE8B0" w14:textId="0ECE903E" w:rsidR="002E676C" w:rsidRDefault="002E676C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243E99E4" w14:textId="48895762" w:rsidR="002E676C" w:rsidRDefault="002E676C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57EA214B" w14:textId="77777777" w:rsidR="00D13F7A" w:rsidRDefault="00D13F7A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46840299" w14:textId="46D0DCB6" w:rsidR="002E676C" w:rsidRDefault="002E676C" w:rsidP="002B017E">
      <w:pPr>
        <w:widowControl w:val="0"/>
        <w:autoSpaceDE w:val="0"/>
        <w:autoSpaceDN w:val="0"/>
        <w:jc w:val="center"/>
        <w:rPr>
          <w:rFonts w:eastAsia="Verdana" w:cs="Verdana"/>
          <w:b/>
          <w:bCs/>
          <w:lang w:val="es-ES"/>
        </w:rPr>
      </w:pPr>
    </w:p>
    <w:p w14:paraId="7EC4A9D8" w14:textId="44D6114A" w:rsidR="002B017E" w:rsidRDefault="002B017E" w:rsidP="00D13F7A">
      <w:pPr>
        <w:widowControl w:val="0"/>
        <w:autoSpaceDE w:val="0"/>
        <w:autoSpaceDN w:val="0"/>
        <w:jc w:val="left"/>
        <w:rPr>
          <w:rFonts w:eastAsia="Verdana" w:cs="Verdana"/>
          <w:b/>
          <w:bCs/>
          <w:lang w:val="es-ES"/>
        </w:rPr>
      </w:pPr>
      <w:r w:rsidRPr="00D13F7A">
        <w:rPr>
          <w:rFonts w:eastAsia="Verdana" w:cs="Verdana"/>
          <w:b/>
          <w:bCs/>
          <w:lang w:val="es-ES"/>
        </w:rPr>
        <w:lastRenderedPageBreak/>
        <w:t xml:space="preserve">ANEXO </w:t>
      </w:r>
      <w:r w:rsidR="00D13F7A">
        <w:rPr>
          <w:rFonts w:eastAsia="Verdana" w:cs="Verdana"/>
          <w:b/>
          <w:bCs/>
          <w:lang w:val="es-ES"/>
        </w:rPr>
        <w:t>6</w:t>
      </w:r>
      <w:r w:rsidRPr="00D13F7A">
        <w:rPr>
          <w:rFonts w:eastAsia="Verdana" w:cs="Verdana"/>
          <w:b/>
          <w:bCs/>
          <w:lang w:val="es-ES"/>
        </w:rPr>
        <w:t xml:space="preserve"> GUIA TECNICA DE DIAGNOSTICO ENCEFALICO Y MANTENIMIENTO DEL DONANTE</w:t>
      </w:r>
    </w:p>
    <w:p w14:paraId="63623074" w14:textId="77777777" w:rsidR="00D13F7A" w:rsidRPr="00D13F7A" w:rsidRDefault="00D13F7A" w:rsidP="00D13F7A">
      <w:pPr>
        <w:widowControl w:val="0"/>
        <w:autoSpaceDE w:val="0"/>
        <w:autoSpaceDN w:val="0"/>
        <w:jc w:val="left"/>
        <w:rPr>
          <w:rFonts w:eastAsia="Verdana" w:cs="Verdana"/>
          <w:b/>
          <w:bCs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81"/>
        <w:gridCol w:w="4981"/>
      </w:tblGrid>
      <w:tr w:rsidR="002E676C" w:rsidRPr="0050279B" w14:paraId="43968FCE" w14:textId="77777777" w:rsidTr="002B017E">
        <w:trPr>
          <w:jc w:val="center"/>
        </w:trPr>
        <w:tc>
          <w:tcPr>
            <w:tcW w:w="4981" w:type="dxa"/>
            <w:vAlign w:val="center"/>
          </w:tcPr>
          <w:p w14:paraId="5AF58AA7" w14:textId="77777777" w:rsidR="002E676C" w:rsidRPr="0050279B" w:rsidRDefault="002E676C" w:rsidP="0077028D">
            <w:pPr>
              <w:rPr>
                <w:b/>
                <w:bCs/>
                <w:sz w:val="20"/>
                <w:szCs w:val="20"/>
              </w:rPr>
            </w:pPr>
            <w:r w:rsidRPr="0050279B">
              <w:rPr>
                <w:rStyle w:val="Textoennegrita"/>
                <w:sz w:val="20"/>
                <w:szCs w:val="20"/>
              </w:rPr>
              <w:t>Sección</w:t>
            </w:r>
          </w:p>
        </w:tc>
        <w:tc>
          <w:tcPr>
            <w:tcW w:w="4981" w:type="dxa"/>
            <w:vAlign w:val="center"/>
          </w:tcPr>
          <w:p w14:paraId="18D5226E" w14:textId="77777777" w:rsidR="002E676C" w:rsidRPr="0050279B" w:rsidRDefault="002E676C" w:rsidP="0077028D">
            <w:pPr>
              <w:rPr>
                <w:b/>
                <w:bCs/>
                <w:sz w:val="20"/>
                <w:szCs w:val="20"/>
              </w:rPr>
            </w:pPr>
            <w:r w:rsidRPr="0050279B">
              <w:rPr>
                <w:rStyle w:val="Textoennegrita"/>
                <w:sz w:val="20"/>
                <w:szCs w:val="20"/>
              </w:rPr>
              <w:t>Contenido</w:t>
            </w:r>
          </w:p>
        </w:tc>
      </w:tr>
      <w:tr w:rsidR="002E676C" w:rsidRPr="0050279B" w14:paraId="63240C06" w14:textId="77777777" w:rsidTr="002B017E">
        <w:trPr>
          <w:jc w:val="center"/>
        </w:trPr>
        <w:tc>
          <w:tcPr>
            <w:tcW w:w="4981" w:type="dxa"/>
            <w:vAlign w:val="center"/>
          </w:tcPr>
          <w:p w14:paraId="0217B45F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rStyle w:val="Textoennegrita"/>
                <w:sz w:val="20"/>
                <w:szCs w:val="20"/>
              </w:rPr>
              <w:t>1. Normativa legal</w:t>
            </w:r>
          </w:p>
        </w:tc>
        <w:tc>
          <w:tcPr>
            <w:tcW w:w="4981" w:type="dxa"/>
            <w:vAlign w:val="center"/>
          </w:tcPr>
          <w:p w14:paraId="626F4E84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Decreto 2493 de 2004 regula el diagnóstico de muerte encefálica. Requiere dos médicos (uno especialista en neurociencias, no vinculados al trasplante).</w:t>
            </w:r>
          </w:p>
        </w:tc>
      </w:tr>
      <w:tr w:rsidR="002E676C" w:rsidRPr="0050279B" w14:paraId="58B63DE5" w14:textId="77777777" w:rsidTr="002B017E">
        <w:trPr>
          <w:jc w:val="center"/>
        </w:trPr>
        <w:tc>
          <w:tcPr>
            <w:tcW w:w="4981" w:type="dxa"/>
            <w:vAlign w:val="center"/>
          </w:tcPr>
          <w:p w14:paraId="78EE2C80" w14:textId="77777777" w:rsidR="002E676C" w:rsidRPr="0050279B" w:rsidRDefault="002E676C" w:rsidP="0077028D">
            <w:pPr>
              <w:rPr>
                <w:sz w:val="20"/>
                <w:szCs w:val="20"/>
              </w:rPr>
            </w:pPr>
          </w:p>
        </w:tc>
        <w:tc>
          <w:tcPr>
            <w:tcW w:w="4981" w:type="dxa"/>
            <w:vAlign w:val="center"/>
          </w:tcPr>
          <w:p w14:paraId="642E2109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Permite mantenimiento artificial del cuerpo tras diagnóstico sin invalidar la muerte encefálica.</w:t>
            </w:r>
          </w:p>
        </w:tc>
      </w:tr>
      <w:tr w:rsidR="002E676C" w:rsidRPr="0050279B" w14:paraId="3D3FB175" w14:textId="77777777" w:rsidTr="002B017E">
        <w:trPr>
          <w:jc w:val="center"/>
        </w:trPr>
        <w:tc>
          <w:tcPr>
            <w:tcW w:w="4981" w:type="dxa"/>
            <w:vAlign w:val="center"/>
          </w:tcPr>
          <w:p w14:paraId="62715C0C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rStyle w:val="Textoennegrita"/>
                <w:sz w:val="20"/>
                <w:szCs w:val="20"/>
              </w:rPr>
              <w:t>2. Diagnóstico clínico</w:t>
            </w:r>
          </w:p>
        </w:tc>
        <w:tc>
          <w:tcPr>
            <w:tcW w:w="4981" w:type="dxa"/>
            <w:vAlign w:val="center"/>
          </w:tcPr>
          <w:p w14:paraId="31E51ABE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Se deben confirmar 7 signos clínicos:</w:t>
            </w:r>
          </w:p>
        </w:tc>
      </w:tr>
      <w:tr w:rsidR="002E676C" w:rsidRPr="0050279B" w14:paraId="222A9767" w14:textId="77777777" w:rsidTr="002B017E">
        <w:trPr>
          <w:jc w:val="center"/>
        </w:trPr>
        <w:tc>
          <w:tcPr>
            <w:tcW w:w="4981" w:type="dxa"/>
            <w:vAlign w:val="center"/>
          </w:tcPr>
          <w:p w14:paraId="4F87A574" w14:textId="77777777" w:rsidR="002E676C" w:rsidRPr="0050279B" w:rsidRDefault="002E676C" w:rsidP="0077028D">
            <w:pPr>
              <w:rPr>
                <w:sz w:val="20"/>
                <w:szCs w:val="20"/>
              </w:rPr>
            </w:pPr>
          </w:p>
        </w:tc>
        <w:tc>
          <w:tcPr>
            <w:tcW w:w="4981" w:type="dxa"/>
            <w:vAlign w:val="center"/>
          </w:tcPr>
          <w:p w14:paraId="21E325B7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1. Coma irreversible sin respiración espontánea2. Pupilas fijas y midriáticas3. Sin reflejo corneal</w:t>
            </w:r>
          </w:p>
        </w:tc>
      </w:tr>
      <w:tr w:rsidR="002E676C" w:rsidRPr="0050279B" w14:paraId="53D369D3" w14:textId="77777777" w:rsidTr="002B017E">
        <w:trPr>
          <w:jc w:val="center"/>
        </w:trPr>
        <w:tc>
          <w:tcPr>
            <w:tcW w:w="4981" w:type="dxa"/>
            <w:vAlign w:val="center"/>
          </w:tcPr>
          <w:p w14:paraId="56FF0D8D" w14:textId="77777777" w:rsidR="002E676C" w:rsidRPr="0050279B" w:rsidRDefault="002E676C" w:rsidP="0077028D">
            <w:pPr>
              <w:rPr>
                <w:sz w:val="20"/>
                <w:szCs w:val="20"/>
              </w:rPr>
            </w:pPr>
          </w:p>
        </w:tc>
        <w:tc>
          <w:tcPr>
            <w:tcW w:w="4981" w:type="dxa"/>
            <w:vAlign w:val="center"/>
          </w:tcPr>
          <w:p w14:paraId="11B7D0D6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 xml:space="preserve">4. Sin reflejos óculo-vestibulares5. Sin reflejo nauseoso6. Sin reflejo tusígeno7. Test de apnea con </w:t>
            </w:r>
            <w:proofErr w:type="spellStart"/>
            <w:r w:rsidRPr="0050279B">
              <w:rPr>
                <w:sz w:val="20"/>
                <w:szCs w:val="20"/>
              </w:rPr>
              <w:t>PaCO</w:t>
            </w:r>
            <w:proofErr w:type="spellEnd"/>
            <w:r w:rsidRPr="0050279B">
              <w:rPr>
                <w:rFonts w:ascii="Cambria Math" w:hAnsi="Cambria Math" w:cs="Cambria Math"/>
                <w:sz w:val="20"/>
                <w:szCs w:val="20"/>
              </w:rPr>
              <w:t>₂</w:t>
            </w:r>
            <w:r w:rsidRPr="0050279B">
              <w:rPr>
                <w:sz w:val="20"/>
                <w:szCs w:val="20"/>
              </w:rPr>
              <w:t xml:space="preserve"> </w:t>
            </w:r>
            <w:r w:rsidRPr="0050279B">
              <w:rPr>
                <w:rFonts w:cs="Century Gothic"/>
                <w:sz w:val="20"/>
                <w:szCs w:val="20"/>
              </w:rPr>
              <w:t>≥</w:t>
            </w:r>
            <w:r w:rsidRPr="0050279B">
              <w:rPr>
                <w:sz w:val="20"/>
                <w:szCs w:val="20"/>
              </w:rPr>
              <w:t xml:space="preserve"> 60 </w:t>
            </w:r>
            <w:proofErr w:type="spellStart"/>
            <w:r w:rsidRPr="0050279B">
              <w:rPr>
                <w:sz w:val="20"/>
                <w:szCs w:val="20"/>
              </w:rPr>
              <w:t>mmHg</w:t>
            </w:r>
            <w:proofErr w:type="spellEnd"/>
          </w:p>
        </w:tc>
      </w:tr>
      <w:tr w:rsidR="002E676C" w:rsidRPr="0050279B" w14:paraId="7C03CD74" w14:textId="77777777" w:rsidTr="002B017E">
        <w:trPr>
          <w:jc w:val="center"/>
        </w:trPr>
        <w:tc>
          <w:tcPr>
            <w:tcW w:w="4981" w:type="dxa"/>
            <w:vAlign w:val="center"/>
          </w:tcPr>
          <w:p w14:paraId="708F9373" w14:textId="77777777" w:rsidR="002E676C" w:rsidRPr="0050279B" w:rsidRDefault="002E676C" w:rsidP="0077028D">
            <w:pPr>
              <w:rPr>
                <w:sz w:val="20"/>
                <w:szCs w:val="20"/>
              </w:rPr>
            </w:pPr>
          </w:p>
        </w:tc>
        <w:tc>
          <w:tcPr>
            <w:tcW w:w="4981" w:type="dxa"/>
            <w:vAlign w:val="center"/>
          </w:tcPr>
          <w:p w14:paraId="4F188DC6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Requiere 2 médicos, con acta escrita y registrada.</w:t>
            </w:r>
          </w:p>
        </w:tc>
      </w:tr>
      <w:tr w:rsidR="002E676C" w:rsidRPr="0050279B" w14:paraId="2E1C04EF" w14:textId="77777777" w:rsidTr="002B017E">
        <w:trPr>
          <w:jc w:val="center"/>
        </w:trPr>
        <w:tc>
          <w:tcPr>
            <w:tcW w:w="4981" w:type="dxa"/>
            <w:vAlign w:val="center"/>
          </w:tcPr>
          <w:p w14:paraId="38EDC3E4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rStyle w:val="Textoennegrita"/>
                <w:sz w:val="20"/>
                <w:szCs w:val="20"/>
              </w:rPr>
              <w:t>3. Pruebas complementarias</w:t>
            </w:r>
          </w:p>
        </w:tc>
        <w:tc>
          <w:tcPr>
            <w:tcW w:w="4981" w:type="dxa"/>
            <w:vAlign w:val="center"/>
          </w:tcPr>
          <w:p w14:paraId="1480D946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Usadas si el examen clínico no puede completarse. Ejemplos:</w:t>
            </w:r>
          </w:p>
        </w:tc>
      </w:tr>
      <w:tr w:rsidR="002E676C" w:rsidRPr="0050279B" w14:paraId="34AE867F" w14:textId="77777777" w:rsidTr="002B017E">
        <w:trPr>
          <w:jc w:val="center"/>
        </w:trPr>
        <w:tc>
          <w:tcPr>
            <w:tcW w:w="4981" w:type="dxa"/>
            <w:vAlign w:val="center"/>
          </w:tcPr>
          <w:p w14:paraId="03F608A3" w14:textId="77777777" w:rsidR="002E676C" w:rsidRPr="0050279B" w:rsidRDefault="002E676C" w:rsidP="0077028D">
            <w:pPr>
              <w:rPr>
                <w:sz w:val="20"/>
                <w:szCs w:val="20"/>
              </w:rPr>
            </w:pPr>
          </w:p>
        </w:tc>
        <w:tc>
          <w:tcPr>
            <w:tcW w:w="4981" w:type="dxa"/>
            <w:vAlign w:val="center"/>
          </w:tcPr>
          <w:p w14:paraId="10B61774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- Doppler transcraneal- EEG- Gammagrafía de perfusión- Arteriografía cerebral- Potenciales evocados multimodales</w:t>
            </w:r>
          </w:p>
        </w:tc>
      </w:tr>
      <w:tr w:rsidR="002E676C" w:rsidRPr="0050279B" w14:paraId="22D659E5" w14:textId="77777777" w:rsidTr="002B017E">
        <w:trPr>
          <w:jc w:val="center"/>
        </w:trPr>
        <w:tc>
          <w:tcPr>
            <w:tcW w:w="4981" w:type="dxa"/>
            <w:vAlign w:val="center"/>
          </w:tcPr>
          <w:p w14:paraId="266A894F" w14:textId="77777777" w:rsidR="002E676C" w:rsidRPr="0050279B" w:rsidRDefault="002E676C" w:rsidP="0077028D">
            <w:pPr>
              <w:rPr>
                <w:sz w:val="20"/>
                <w:szCs w:val="20"/>
              </w:rPr>
            </w:pPr>
          </w:p>
        </w:tc>
        <w:tc>
          <w:tcPr>
            <w:tcW w:w="4981" w:type="dxa"/>
            <w:vAlign w:val="center"/>
          </w:tcPr>
          <w:p w14:paraId="60226700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Pruebas deben estar bien documentadas y bajo condiciones clínicas estables.</w:t>
            </w:r>
          </w:p>
        </w:tc>
      </w:tr>
      <w:tr w:rsidR="002E676C" w:rsidRPr="0050279B" w14:paraId="5A1D94C7" w14:textId="77777777" w:rsidTr="002B017E">
        <w:trPr>
          <w:jc w:val="center"/>
        </w:trPr>
        <w:tc>
          <w:tcPr>
            <w:tcW w:w="4981" w:type="dxa"/>
            <w:vAlign w:val="center"/>
          </w:tcPr>
          <w:p w14:paraId="14437971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rStyle w:val="Textoennegrita"/>
                <w:sz w:val="20"/>
                <w:szCs w:val="20"/>
              </w:rPr>
              <w:t>4. Diagnóstico en pediatría</w:t>
            </w:r>
          </w:p>
        </w:tc>
        <w:tc>
          <w:tcPr>
            <w:tcW w:w="4981" w:type="dxa"/>
            <w:vAlign w:val="center"/>
          </w:tcPr>
          <w:p w14:paraId="7B968FF5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 xml:space="preserve">Coma irreversible + imagen compatible + </w:t>
            </w:r>
            <w:proofErr w:type="spellStart"/>
            <w:r w:rsidRPr="0050279B">
              <w:rPr>
                <w:sz w:val="20"/>
                <w:szCs w:val="20"/>
              </w:rPr>
              <w:t>normotermia</w:t>
            </w:r>
            <w:proofErr w:type="spellEnd"/>
            <w:r w:rsidRPr="0050279B">
              <w:rPr>
                <w:sz w:val="20"/>
                <w:szCs w:val="20"/>
              </w:rPr>
              <w:t xml:space="preserve"> (&gt;32 °C) + exclusión de tóxicos.</w:t>
            </w:r>
          </w:p>
        </w:tc>
      </w:tr>
      <w:tr w:rsidR="002E676C" w:rsidRPr="0050279B" w14:paraId="4A6EC689" w14:textId="77777777" w:rsidTr="002B017E">
        <w:trPr>
          <w:jc w:val="center"/>
        </w:trPr>
        <w:tc>
          <w:tcPr>
            <w:tcW w:w="4981" w:type="dxa"/>
            <w:vAlign w:val="center"/>
          </w:tcPr>
          <w:p w14:paraId="3BE169FD" w14:textId="77777777" w:rsidR="002E676C" w:rsidRPr="0050279B" w:rsidRDefault="002E676C" w:rsidP="0077028D">
            <w:pPr>
              <w:rPr>
                <w:sz w:val="20"/>
                <w:szCs w:val="20"/>
              </w:rPr>
            </w:pPr>
          </w:p>
        </w:tc>
        <w:tc>
          <w:tcPr>
            <w:tcW w:w="4981" w:type="dxa"/>
            <w:vAlign w:val="center"/>
          </w:tcPr>
          <w:p w14:paraId="51ABE4A1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Se requieren 2 evaluaciones clínicas separadas según la edad (24–48 h).</w:t>
            </w:r>
          </w:p>
        </w:tc>
      </w:tr>
      <w:tr w:rsidR="002E676C" w:rsidRPr="0050279B" w14:paraId="03C44E28" w14:textId="77777777" w:rsidTr="002B017E">
        <w:trPr>
          <w:jc w:val="center"/>
        </w:trPr>
        <w:tc>
          <w:tcPr>
            <w:tcW w:w="4981" w:type="dxa"/>
            <w:vAlign w:val="center"/>
          </w:tcPr>
          <w:p w14:paraId="16C34BA4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rStyle w:val="Textoennegrita"/>
                <w:sz w:val="20"/>
                <w:szCs w:val="20"/>
              </w:rPr>
              <w:t>5. Mantenimiento del donante</w:t>
            </w:r>
          </w:p>
        </w:tc>
        <w:tc>
          <w:tcPr>
            <w:tcW w:w="4981" w:type="dxa"/>
            <w:vAlign w:val="center"/>
          </w:tcPr>
          <w:p w14:paraId="5D398C32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Objetivo: preservar órganos hasta la extracción. Incluye:</w:t>
            </w:r>
          </w:p>
        </w:tc>
      </w:tr>
      <w:tr w:rsidR="002E676C" w:rsidRPr="0050279B" w14:paraId="197F5E63" w14:textId="77777777" w:rsidTr="002B017E">
        <w:trPr>
          <w:jc w:val="center"/>
        </w:trPr>
        <w:tc>
          <w:tcPr>
            <w:tcW w:w="4981" w:type="dxa"/>
            <w:vAlign w:val="center"/>
          </w:tcPr>
          <w:p w14:paraId="1CF70EE7" w14:textId="77777777" w:rsidR="002E676C" w:rsidRPr="0050279B" w:rsidRDefault="002E676C" w:rsidP="0077028D">
            <w:pPr>
              <w:rPr>
                <w:sz w:val="20"/>
                <w:szCs w:val="20"/>
              </w:rPr>
            </w:pPr>
          </w:p>
        </w:tc>
        <w:tc>
          <w:tcPr>
            <w:tcW w:w="4981" w:type="dxa"/>
            <w:vAlign w:val="center"/>
          </w:tcPr>
          <w:p w14:paraId="4D037A80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 xml:space="preserve">- </w:t>
            </w:r>
            <w:r w:rsidRPr="0050279B">
              <w:rPr>
                <w:rStyle w:val="Textoennegrita"/>
                <w:sz w:val="20"/>
                <w:szCs w:val="20"/>
              </w:rPr>
              <w:t>Ventilación mecánica</w:t>
            </w:r>
            <w:r w:rsidRPr="0050279B">
              <w:rPr>
                <w:sz w:val="20"/>
                <w:szCs w:val="20"/>
              </w:rPr>
              <w:t xml:space="preserve"> (</w:t>
            </w:r>
            <w:proofErr w:type="spellStart"/>
            <w:r w:rsidRPr="0050279B">
              <w:rPr>
                <w:sz w:val="20"/>
                <w:szCs w:val="20"/>
              </w:rPr>
              <w:t>FiO</w:t>
            </w:r>
            <w:proofErr w:type="spellEnd"/>
            <w:r w:rsidRPr="0050279B">
              <w:rPr>
                <w:rFonts w:ascii="Cambria Math" w:hAnsi="Cambria Math" w:cs="Cambria Math"/>
                <w:sz w:val="20"/>
                <w:szCs w:val="20"/>
              </w:rPr>
              <w:t>₂</w:t>
            </w:r>
            <w:r w:rsidRPr="0050279B">
              <w:rPr>
                <w:sz w:val="20"/>
                <w:szCs w:val="20"/>
              </w:rPr>
              <w:t xml:space="preserve"> 100%, </w:t>
            </w:r>
            <w:proofErr w:type="spellStart"/>
            <w:r w:rsidRPr="0050279B">
              <w:rPr>
                <w:sz w:val="20"/>
                <w:szCs w:val="20"/>
              </w:rPr>
              <w:t>PaCO</w:t>
            </w:r>
            <w:proofErr w:type="spellEnd"/>
            <w:r w:rsidRPr="0050279B">
              <w:rPr>
                <w:rFonts w:ascii="Cambria Math" w:hAnsi="Cambria Math" w:cs="Cambria Math"/>
                <w:sz w:val="20"/>
                <w:szCs w:val="20"/>
              </w:rPr>
              <w:t>₂</w:t>
            </w:r>
            <w:r w:rsidRPr="0050279B">
              <w:rPr>
                <w:sz w:val="20"/>
                <w:szCs w:val="20"/>
              </w:rPr>
              <w:t xml:space="preserve"> normal)- </w:t>
            </w:r>
            <w:r w:rsidRPr="0050279B">
              <w:rPr>
                <w:rStyle w:val="Textoennegrita"/>
                <w:sz w:val="20"/>
                <w:szCs w:val="20"/>
              </w:rPr>
              <w:t>Presión arterial</w:t>
            </w:r>
            <w:r w:rsidRPr="0050279B">
              <w:rPr>
                <w:sz w:val="20"/>
                <w:szCs w:val="20"/>
              </w:rPr>
              <w:t xml:space="preserve"> (PAS ≥ 100 </w:t>
            </w:r>
            <w:proofErr w:type="spellStart"/>
            <w:r w:rsidRPr="0050279B">
              <w:rPr>
                <w:sz w:val="20"/>
                <w:szCs w:val="20"/>
              </w:rPr>
              <w:t>mmHg</w:t>
            </w:r>
            <w:proofErr w:type="spellEnd"/>
            <w:r w:rsidRPr="0050279B">
              <w:rPr>
                <w:sz w:val="20"/>
                <w:szCs w:val="20"/>
              </w:rPr>
              <w:t xml:space="preserve">)- </w:t>
            </w:r>
            <w:r w:rsidRPr="0050279B">
              <w:rPr>
                <w:rStyle w:val="Textoennegrita"/>
                <w:sz w:val="20"/>
                <w:szCs w:val="20"/>
              </w:rPr>
              <w:t>Temperatura</w:t>
            </w:r>
            <w:r w:rsidRPr="0050279B">
              <w:rPr>
                <w:sz w:val="20"/>
                <w:szCs w:val="20"/>
              </w:rPr>
              <w:t xml:space="preserve"> (&gt; 36 °C)</w:t>
            </w:r>
          </w:p>
        </w:tc>
      </w:tr>
      <w:tr w:rsidR="002E676C" w:rsidRPr="0050279B" w14:paraId="100BE241" w14:textId="77777777" w:rsidTr="002B017E">
        <w:trPr>
          <w:jc w:val="center"/>
        </w:trPr>
        <w:tc>
          <w:tcPr>
            <w:tcW w:w="4981" w:type="dxa"/>
            <w:vAlign w:val="center"/>
          </w:tcPr>
          <w:p w14:paraId="4654C64B" w14:textId="77777777" w:rsidR="002E676C" w:rsidRPr="0050279B" w:rsidRDefault="002E676C" w:rsidP="0077028D">
            <w:pPr>
              <w:rPr>
                <w:sz w:val="20"/>
                <w:szCs w:val="20"/>
              </w:rPr>
            </w:pPr>
          </w:p>
        </w:tc>
        <w:tc>
          <w:tcPr>
            <w:tcW w:w="4981" w:type="dxa"/>
            <w:vAlign w:val="center"/>
          </w:tcPr>
          <w:p w14:paraId="3D480C47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 xml:space="preserve">- </w:t>
            </w:r>
            <w:r w:rsidRPr="0050279B">
              <w:rPr>
                <w:rStyle w:val="Textoennegrita"/>
                <w:sz w:val="20"/>
                <w:szCs w:val="20"/>
              </w:rPr>
              <w:t>Manejo de diabetes insípida</w:t>
            </w:r>
            <w:r w:rsidRPr="0050279B">
              <w:rPr>
                <w:sz w:val="20"/>
                <w:szCs w:val="20"/>
              </w:rPr>
              <w:t xml:space="preserve"> (vasopresina/desmopresina)- </w:t>
            </w:r>
            <w:r w:rsidRPr="0050279B">
              <w:rPr>
                <w:rStyle w:val="Textoennegrita"/>
                <w:sz w:val="20"/>
                <w:szCs w:val="20"/>
              </w:rPr>
              <w:t>Prevención de infecciones</w:t>
            </w:r>
            <w:r w:rsidRPr="0050279B">
              <w:rPr>
                <w:sz w:val="20"/>
                <w:szCs w:val="20"/>
              </w:rPr>
              <w:t xml:space="preserve">- </w:t>
            </w:r>
            <w:r w:rsidRPr="0050279B">
              <w:rPr>
                <w:rStyle w:val="Textoennegrita"/>
                <w:sz w:val="20"/>
                <w:szCs w:val="20"/>
              </w:rPr>
              <w:t>Laboratorios</w:t>
            </w:r>
            <w:r w:rsidRPr="0050279B">
              <w:rPr>
                <w:sz w:val="20"/>
                <w:szCs w:val="20"/>
              </w:rPr>
              <w:t xml:space="preserve"> (tipificación, cultivos, etc.)</w:t>
            </w:r>
          </w:p>
        </w:tc>
      </w:tr>
      <w:tr w:rsidR="002E676C" w:rsidRPr="0050279B" w14:paraId="5C3D1315" w14:textId="77777777" w:rsidTr="002B017E">
        <w:trPr>
          <w:jc w:val="center"/>
        </w:trPr>
        <w:tc>
          <w:tcPr>
            <w:tcW w:w="4981" w:type="dxa"/>
            <w:vAlign w:val="center"/>
          </w:tcPr>
          <w:p w14:paraId="32F37EA7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rStyle w:val="Textoennegrita"/>
                <w:sz w:val="20"/>
                <w:szCs w:val="20"/>
              </w:rPr>
              <w:t>6. Protocolo operativo</w:t>
            </w:r>
          </w:p>
        </w:tc>
        <w:tc>
          <w:tcPr>
            <w:tcW w:w="4981" w:type="dxa"/>
            <w:vAlign w:val="center"/>
          </w:tcPr>
          <w:p w14:paraId="424E987F" w14:textId="77777777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1. Identificar donante potencial2. Notificar al INS3. Diagnóstico clínico o instrumental</w:t>
            </w:r>
          </w:p>
        </w:tc>
      </w:tr>
      <w:tr w:rsidR="002E676C" w:rsidRPr="0050279B" w14:paraId="4E1CB3DA" w14:textId="77777777" w:rsidTr="002B017E">
        <w:trPr>
          <w:jc w:val="center"/>
        </w:trPr>
        <w:tc>
          <w:tcPr>
            <w:tcW w:w="4981" w:type="dxa"/>
            <w:vAlign w:val="center"/>
          </w:tcPr>
          <w:p w14:paraId="2E11E964" w14:textId="77777777" w:rsidR="002E676C" w:rsidRPr="0050279B" w:rsidRDefault="002E676C" w:rsidP="0077028D">
            <w:pPr>
              <w:rPr>
                <w:rStyle w:val="Textoennegrita"/>
                <w:sz w:val="20"/>
                <w:szCs w:val="20"/>
              </w:rPr>
            </w:pPr>
            <w:r w:rsidRPr="0050279B">
              <w:rPr>
                <w:rStyle w:val="Textoennegrita"/>
                <w:sz w:val="20"/>
                <w:szCs w:val="20"/>
              </w:rPr>
              <w:t xml:space="preserve">7. marco ético y </w:t>
            </w:r>
            <w:proofErr w:type="spellStart"/>
            <w:r w:rsidRPr="0050279B">
              <w:rPr>
                <w:rStyle w:val="Textoennegrita"/>
                <w:sz w:val="20"/>
                <w:szCs w:val="20"/>
              </w:rPr>
              <w:t>logistico</w:t>
            </w:r>
            <w:proofErr w:type="spellEnd"/>
          </w:p>
        </w:tc>
        <w:tc>
          <w:tcPr>
            <w:tcW w:w="4981" w:type="dxa"/>
            <w:vAlign w:val="center"/>
          </w:tcPr>
          <w:p w14:paraId="514B3AD4" w14:textId="1D9D0021" w:rsidR="002E676C" w:rsidRPr="0050279B" w:rsidRDefault="002E676C" w:rsidP="0077028D">
            <w:pPr>
              <w:rPr>
                <w:sz w:val="20"/>
                <w:szCs w:val="20"/>
              </w:rPr>
            </w:pPr>
            <w:r w:rsidRPr="0050279B">
              <w:rPr>
                <w:sz w:val="20"/>
                <w:szCs w:val="20"/>
              </w:rPr>
              <w:t>Diagnóstico y extracción sin costo para familia. Acto médico con respaldo legal.</w:t>
            </w:r>
          </w:p>
        </w:tc>
      </w:tr>
    </w:tbl>
    <w:p w14:paraId="55AFFC12" w14:textId="2B1AC217" w:rsidR="002E676C" w:rsidRDefault="002E676C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3C94A680" w14:textId="2DC4548B" w:rsidR="0050279B" w:rsidRDefault="0050279B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5FEC1C61" w14:textId="0009A4D0" w:rsidR="0050279B" w:rsidRDefault="0050279B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0D045E70" w14:textId="7BA79BDE" w:rsidR="0050279B" w:rsidRDefault="0050279B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68138F72" w14:textId="51730385" w:rsidR="0050279B" w:rsidRDefault="0050279B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20D6E95F" w14:textId="27EEE5EE" w:rsidR="0050279B" w:rsidRDefault="0050279B" w:rsidP="00D13F7A">
      <w:pPr>
        <w:widowControl w:val="0"/>
        <w:autoSpaceDE w:val="0"/>
        <w:autoSpaceDN w:val="0"/>
        <w:jc w:val="left"/>
        <w:rPr>
          <w:rFonts w:eastAsia="Verdana" w:cs="Verdana"/>
          <w:b/>
          <w:bCs/>
          <w:lang w:val="es-ES"/>
        </w:rPr>
      </w:pPr>
      <w:r w:rsidRPr="00D13F7A">
        <w:rPr>
          <w:rFonts w:eastAsia="Verdana" w:cs="Verdana"/>
          <w:b/>
          <w:bCs/>
          <w:lang w:val="es-ES"/>
        </w:rPr>
        <w:lastRenderedPageBreak/>
        <w:t xml:space="preserve">ANEXO </w:t>
      </w:r>
      <w:r w:rsidR="00D13F7A">
        <w:rPr>
          <w:rFonts w:eastAsia="Verdana" w:cs="Verdana"/>
          <w:b/>
          <w:bCs/>
          <w:lang w:val="es-ES"/>
        </w:rPr>
        <w:t>7</w:t>
      </w:r>
      <w:r w:rsidRPr="00D13F7A">
        <w:rPr>
          <w:rFonts w:eastAsia="Verdana" w:cs="Verdana"/>
          <w:b/>
          <w:bCs/>
          <w:lang w:val="es-ES"/>
        </w:rPr>
        <w:t xml:space="preserve"> INSTRUCTIVO INS PARA CONSULTA/OPOSICION DE DONANTES</w:t>
      </w:r>
    </w:p>
    <w:p w14:paraId="221653FC" w14:textId="77777777" w:rsidR="00D13F7A" w:rsidRPr="00D13F7A" w:rsidRDefault="00D13F7A" w:rsidP="00D13F7A">
      <w:pPr>
        <w:widowControl w:val="0"/>
        <w:autoSpaceDE w:val="0"/>
        <w:autoSpaceDN w:val="0"/>
        <w:jc w:val="left"/>
        <w:rPr>
          <w:rFonts w:eastAsia="Verdana" w:cs="Verdana"/>
          <w:b/>
          <w:bCs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81"/>
        <w:gridCol w:w="4981"/>
      </w:tblGrid>
      <w:tr w:rsidR="0050279B" w:rsidRPr="00A52DAF" w14:paraId="45E064CE" w14:textId="77777777" w:rsidTr="0050279B">
        <w:trPr>
          <w:jc w:val="center"/>
        </w:trPr>
        <w:tc>
          <w:tcPr>
            <w:tcW w:w="4981" w:type="dxa"/>
            <w:vAlign w:val="center"/>
          </w:tcPr>
          <w:p w14:paraId="37C67F3C" w14:textId="77777777" w:rsidR="0050279B" w:rsidRPr="00A52DAF" w:rsidRDefault="0050279B" w:rsidP="0077028D">
            <w:pPr>
              <w:rPr>
                <w:b/>
                <w:bCs/>
              </w:rPr>
            </w:pPr>
            <w:r w:rsidRPr="00A52DAF">
              <w:rPr>
                <w:rStyle w:val="Textoennegrita"/>
              </w:rPr>
              <w:t>Ítem</w:t>
            </w:r>
          </w:p>
        </w:tc>
        <w:tc>
          <w:tcPr>
            <w:tcW w:w="4981" w:type="dxa"/>
            <w:vAlign w:val="center"/>
          </w:tcPr>
          <w:p w14:paraId="550BEF19" w14:textId="77777777" w:rsidR="0050279B" w:rsidRPr="00A52DAF" w:rsidRDefault="0050279B" w:rsidP="0077028D">
            <w:pPr>
              <w:rPr>
                <w:b/>
                <w:bCs/>
              </w:rPr>
            </w:pPr>
            <w:r w:rsidRPr="00A52DAF">
              <w:rPr>
                <w:rStyle w:val="Textoennegrita"/>
              </w:rPr>
              <w:t>Descripción</w:t>
            </w:r>
          </w:p>
        </w:tc>
      </w:tr>
      <w:tr w:rsidR="0050279B" w:rsidRPr="00A52DAF" w14:paraId="5211F3F2" w14:textId="77777777" w:rsidTr="0050279B">
        <w:trPr>
          <w:jc w:val="center"/>
        </w:trPr>
        <w:tc>
          <w:tcPr>
            <w:tcW w:w="4981" w:type="dxa"/>
            <w:vAlign w:val="center"/>
          </w:tcPr>
          <w:p w14:paraId="4C87FAB1" w14:textId="77777777" w:rsidR="0050279B" w:rsidRPr="00A52DAF" w:rsidRDefault="0050279B" w:rsidP="0077028D">
            <w:r w:rsidRPr="00A52DAF">
              <w:rPr>
                <w:rStyle w:val="Textoennegrita"/>
              </w:rPr>
              <w:t>Base legal</w:t>
            </w:r>
          </w:p>
        </w:tc>
        <w:tc>
          <w:tcPr>
            <w:tcW w:w="4981" w:type="dxa"/>
            <w:vAlign w:val="center"/>
          </w:tcPr>
          <w:p w14:paraId="17A9398F" w14:textId="77777777" w:rsidR="0050279B" w:rsidRPr="00A52DAF" w:rsidRDefault="0050279B" w:rsidP="0077028D">
            <w:r w:rsidRPr="00A52DAF">
              <w:t>Ley 1805 de 2016 (Art. 4): Presunción legal de donación, salvo manifestación de voluntad en contra en vida.</w:t>
            </w:r>
          </w:p>
        </w:tc>
      </w:tr>
      <w:tr w:rsidR="0050279B" w:rsidRPr="00A52DAF" w14:paraId="4B56039E" w14:textId="77777777" w:rsidTr="0050279B">
        <w:trPr>
          <w:jc w:val="center"/>
        </w:trPr>
        <w:tc>
          <w:tcPr>
            <w:tcW w:w="4981" w:type="dxa"/>
            <w:vAlign w:val="center"/>
          </w:tcPr>
          <w:p w14:paraId="15C87251" w14:textId="77777777" w:rsidR="0050279B" w:rsidRPr="00A52DAF" w:rsidRDefault="0050279B" w:rsidP="0077028D">
            <w:r w:rsidRPr="00A52DAF">
              <w:rPr>
                <w:rStyle w:val="Textoennegrita"/>
              </w:rPr>
              <w:t>¿Quién puede oponerse?</w:t>
            </w:r>
          </w:p>
        </w:tc>
        <w:tc>
          <w:tcPr>
            <w:tcW w:w="4981" w:type="dxa"/>
            <w:vAlign w:val="center"/>
          </w:tcPr>
          <w:p w14:paraId="45D65A61" w14:textId="77777777" w:rsidR="0050279B" w:rsidRPr="00A52DAF" w:rsidRDefault="0050279B" w:rsidP="0077028D">
            <w:r w:rsidRPr="00A52DAF">
              <w:t>Toda persona mayor de 18 años. En menores, la decisión corresponde a los padres o acudientes tras el fallecimiento.</w:t>
            </w:r>
          </w:p>
        </w:tc>
      </w:tr>
      <w:tr w:rsidR="0050279B" w:rsidRPr="00A52DAF" w14:paraId="5E5A45BF" w14:textId="77777777" w:rsidTr="0050279B">
        <w:trPr>
          <w:jc w:val="center"/>
        </w:trPr>
        <w:tc>
          <w:tcPr>
            <w:tcW w:w="4981" w:type="dxa"/>
            <w:vAlign w:val="center"/>
          </w:tcPr>
          <w:p w14:paraId="3DD5B012" w14:textId="77777777" w:rsidR="0050279B" w:rsidRPr="00A52DAF" w:rsidRDefault="0050279B" w:rsidP="0077028D">
            <w:r w:rsidRPr="00A52DAF">
              <w:rPr>
                <w:rStyle w:val="Textoennegrita"/>
              </w:rPr>
              <w:t>¿Cómo registrar oposición?</w:t>
            </w:r>
          </w:p>
        </w:tc>
        <w:tc>
          <w:tcPr>
            <w:tcW w:w="4981" w:type="dxa"/>
            <w:vAlign w:val="center"/>
          </w:tcPr>
          <w:p w14:paraId="49D07D0D" w14:textId="77777777" w:rsidR="0050279B" w:rsidRPr="00A52DAF" w:rsidRDefault="0050279B" w:rsidP="0077028D">
            <w:r w:rsidRPr="00A52DAF">
              <w:t>A través de cualquiera de los siguientes medios:</w:t>
            </w:r>
          </w:p>
        </w:tc>
      </w:tr>
      <w:tr w:rsidR="0050279B" w:rsidRPr="00A52DAF" w14:paraId="55DC7336" w14:textId="77777777" w:rsidTr="0050279B">
        <w:trPr>
          <w:jc w:val="center"/>
        </w:trPr>
        <w:tc>
          <w:tcPr>
            <w:tcW w:w="4981" w:type="dxa"/>
            <w:vAlign w:val="center"/>
          </w:tcPr>
          <w:p w14:paraId="48328B0D" w14:textId="77777777" w:rsidR="0050279B" w:rsidRPr="00A52DAF" w:rsidRDefault="0050279B" w:rsidP="0077028D">
            <w:r w:rsidRPr="00A52DAF">
              <w:rPr>
                <w:rStyle w:val="Textoennegrita"/>
              </w:rPr>
              <w:t>1. Notaría pública</w:t>
            </w:r>
          </w:p>
        </w:tc>
        <w:tc>
          <w:tcPr>
            <w:tcW w:w="4981" w:type="dxa"/>
            <w:vAlign w:val="center"/>
          </w:tcPr>
          <w:p w14:paraId="560D4352" w14:textId="77777777" w:rsidR="0050279B" w:rsidRPr="00A52DAF" w:rsidRDefault="0050279B" w:rsidP="0077028D">
            <w:r w:rsidRPr="00A52DAF">
              <w:t>Redactar y autenticar una declaración de voluntad: “No deseo ser donante de órganos y tejidos”.</w:t>
            </w:r>
          </w:p>
        </w:tc>
      </w:tr>
      <w:tr w:rsidR="0050279B" w:rsidRPr="00A52DAF" w14:paraId="1B7964AC" w14:textId="77777777" w:rsidTr="0050279B">
        <w:trPr>
          <w:jc w:val="center"/>
        </w:trPr>
        <w:tc>
          <w:tcPr>
            <w:tcW w:w="4981" w:type="dxa"/>
            <w:vAlign w:val="center"/>
          </w:tcPr>
          <w:p w14:paraId="053CB0F8" w14:textId="77777777" w:rsidR="0050279B" w:rsidRPr="00A52DAF" w:rsidRDefault="0050279B" w:rsidP="0077028D">
            <w:r w:rsidRPr="00A52DAF">
              <w:rPr>
                <w:rStyle w:val="Textoennegrita"/>
              </w:rPr>
              <w:t>2. EPS</w:t>
            </w:r>
          </w:p>
        </w:tc>
        <w:tc>
          <w:tcPr>
            <w:tcW w:w="4981" w:type="dxa"/>
            <w:vAlign w:val="center"/>
          </w:tcPr>
          <w:p w14:paraId="045DBF1D" w14:textId="77777777" w:rsidR="0050279B" w:rsidRPr="00A52DAF" w:rsidRDefault="0050279B" w:rsidP="0077028D">
            <w:r w:rsidRPr="00A52DAF">
              <w:t>Al afiliarse, puedes registrar oposición. La EPS lo reporta al INS.</w:t>
            </w:r>
          </w:p>
        </w:tc>
      </w:tr>
      <w:tr w:rsidR="0050279B" w:rsidRPr="00A52DAF" w14:paraId="1A9C82AE" w14:textId="77777777" w:rsidTr="0050279B">
        <w:trPr>
          <w:jc w:val="center"/>
        </w:trPr>
        <w:tc>
          <w:tcPr>
            <w:tcW w:w="4981" w:type="dxa"/>
            <w:vAlign w:val="center"/>
          </w:tcPr>
          <w:p w14:paraId="1B17E99C" w14:textId="77777777" w:rsidR="0050279B" w:rsidRPr="00A52DAF" w:rsidRDefault="0050279B" w:rsidP="0077028D">
            <w:r w:rsidRPr="00A52DAF">
              <w:rPr>
                <w:rStyle w:val="Textoennegrita"/>
              </w:rPr>
              <w:t>3. Radicación al INS</w:t>
            </w:r>
          </w:p>
        </w:tc>
        <w:tc>
          <w:tcPr>
            <w:tcW w:w="4981" w:type="dxa"/>
            <w:vAlign w:val="center"/>
          </w:tcPr>
          <w:p w14:paraId="7F69D850" w14:textId="77777777" w:rsidR="0050279B" w:rsidRPr="00A52DAF" w:rsidRDefault="0050279B" w:rsidP="0077028D">
            <w:r w:rsidRPr="00A52DAF">
              <w:t xml:space="preserve">Enviar el documento notariado al correo </w:t>
            </w:r>
            <w:hyperlink r:id="rId19" w:history="1">
              <w:r w:rsidRPr="00A52DAF">
                <w:rPr>
                  <w:rStyle w:val="Hipervnculo"/>
                  <w:b/>
                  <w:bCs/>
                </w:rPr>
                <w:t>crtrasplantes@ins.gov.co</w:t>
              </w:r>
            </w:hyperlink>
            <w:r w:rsidRPr="00A52DAF">
              <w:t xml:space="preserve"> o de forma presencial: Av. Calle 26 #51-20, bloque A, primer piso, Bogotá.</w:t>
            </w:r>
          </w:p>
        </w:tc>
      </w:tr>
      <w:tr w:rsidR="0050279B" w:rsidRPr="00A52DAF" w14:paraId="18CD8E02" w14:textId="77777777" w:rsidTr="0050279B">
        <w:trPr>
          <w:jc w:val="center"/>
        </w:trPr>
        <w:tc>
          <w:tcPr>
            <w:tcW w:w="4981" w:type="dxa"/>
            <w:vAlign w:val="center"/>
          </w:tcPr>
          <w:p w14:paraId="014E0C61" w14:textId="77777777" w:rsidR="0050279B" w:rsidRPr="00A52DAF" w:rsidRDefault="0050279B" w:rsidP="0077028D">
            <w:r w:rsidRPr="00A52DAF">
              <w:rPr>
                <w:rStyle w:val="Textoennegrita"/>
              </w:rPr>
              <w:t>4. Portal web INS</w:t>
            </w:r>
          </w:p>
        </w:tc>
        <w:tc>
          <w:tcPr>
            <w:tcW w:w="4981" w:type="dxa"/>
            <w:vAlign w:val="center"/>
          </w:tcPr>
          <w:p w14:paraId="2A3D9D70" w14:textId="77777777" w:rsidR="0050279B" w:rsidRPr="00A52DAF" w:rsidRDefault="0050279B" w:rsidP="0077028D">
            <w:r w:rsidRPr="00A52DAF">
              <w:t xml:space="preserve">Registro en línea a través del formulario de negativa: </w:t>
            </w:r>
            <w:hyperlink r:id="rId20" w:history="1">
              <w:r w:rsidRPr="00A52DAF">
                <w:rPr>
                  <w:rStyle w:val="Hipervnculo"/>
                </w:rPr>
                <w:t>Registro negativa donación - INS</w:t>
              </w:r>
            </w:hyperlink>
          </w:p>
        </w:tc>
      </w:tr>
      <w:tr w:rsidR="0050279B" w:rsidRPr="00A52DAF" w14:paraId="403D1B90" w14:textId="77777777" w:rsidTr="0050279B">
        <w:trPr>
          <w:jc w:val="center"/>
        </w:trPr>
        <w:tc>
          <w:tcPr>
            <w:tcW w:w="4981" w:type="dxa"/>
            <w:vAlign w:val="center"/>
          </w:tcPr>
          <w:p w14:paraId="20CDAA2C" w14:textId="77777777" w:rsidR="0050279B" w:rsidRPr="00A52DAF" w:rsidRDefault="0050279B" w:rsidP="0077028D">
            <w:r w:rsidRPr="00A52DAF">
              <w:rPr>
                <w:rStyle w:val="Textoennegrita"/>
              </w:rPr>
              <w:t>¿Qué hace el INS?</w:t>
            </w:r>
          </w:p>
        </w:tc>
        <w:tc>
          <w:tcPr>
            <w:tcW w:w="4981" w:type="dxa"/>
            <w:vAlign w:val="center"/>
          </w:tcPr>
          <w:p w14:paraId="0D06281A" w14:textId="77777777" w:rsidR="0050279B" w:rsidRPr="00A52DAF" w:rsidRDefault="0050279B" w:rsidP="0077028D">
            <w:r w:rsidRPr="00A52DAF">
              <w:t>Registra tu decisión en la base nacional vinculada al número de cédula.</w:t>
            </w:r>
          </w:p>
        </w:tc>
      </w:tr>
      <w:tr w:rsidR="0050279B" w:rsidRPr="00A52DAF" w14:paraId="5FCC49A5" w14:textId="77777777" w:rsidTr="0050279B">
        <w:trPr>
          <w:jc w:val="center"/>
        </w:trPr>
        <w:tc>
          <w:tcPr>
            <w:tcW w:w="4981" w:type="dxa"/>
            <w:vAlign w:val="center"/>
          </w:tcPr>
          <w:p w14:paraId="035748A8" w14:textId="77777777" w:rsidR="0050279B" w:rsidRPr="00A52DAF" w:rsidRDefault="0050279B" w:rsidP="0077028D">
            <w:r w:rsidRPr="00A52DAF">
              <w:rPr>
                <w:rStyle w:val="Textoennegrita"/>
              </w:rPr>
              <w:t>¿Se puede cambiar?</w:t>
            </w:r>
          </w:p>
        </w:tc>
        <w:tc>
          <w:tcPr>
            <w:tcW w:w="4981" w:type="dxa"/>
            <w:vAlign w:val="center"/>
          </w:tcPr>
          <w:p w14:paraId="468B0F07" w14:textId="77777777" w:rsidR="0050279B" w:rsidRPr="00A52DAF" w:rsidRDefault="0050279B" w:rsidP="0077028D">
            <w:r w:rsidRPr="00A52DAF">
              <w:t xml:space="preserve">Sí, solo la persona interesada puede </w:t>
            </w:r>
            <w:r w:rsidRPr="00A52DAF">
              <w:rPr>
                <w:rStyle w:val="Textoennegrita"/>
              </w:rPr>
              <w:t>revocar</w:t>
            </w:r>
            <w:r w:rsidRPr="00A52DAF">
              <w:t xml:space="preserve"> o modificar la decisión en vida.</w:t>
            </w:r>
          </w:p>
        </w:tc>
      </w:tr>
      <w:tr w:rsidR="0050279B" w:rsidRPr="00A52DAF" w14:paraId="6A2BBFEE" w14:textId="77777777" w:rsidTr="0050279B">
        <w:trPr>
          <w:jc w:val="center"/>
        </w:trPr>
        <w:tc>
          <w:tcPr>
            <w:tcW w:w="4981" w:type="dxa"/>
            <w:vAlign w:val="center"/>
          </w:tcPr>
          <w:p w14:paraId="3B32316F" w14:textId="77777777" w:rsidR="0050279B" w:rsidRPr="00A52DAF" w:rsidRDefault="0050279B" w:rsidP="0077028D">
            <w:r w:rsidRPr="00A52DAF">
              <w:rPr>
                <w:rStyle w:val="Textoennegrita"/>
              </w:rPr>
              <w:t>¿Se entrega carné?</w:t>
            </w:r>
          </w:p>
        </w:tc>
        <w:tc>
          <w:tcPr>
            <w:tcW w:w="4981" w:type="dxa"/>
            <w:vAlign w:val="center"/>
          </w:tcPr>
          <w:p w14:paraId="0F9F37C8" w14:textId="77777777" w:rsidR="0050279B" w:rsidRPr="00A52DAF" w:rsidRDefault="0050279B" w:rsidP="0077028D">
            <w:r w:rsidRPr="00A52DAF">
              <w:t xml:space="preserve">Sí. El INS puede emitir un </w:t>
            </w:r>
            <w:r w:rsidRPr="00A52DAF">
              <w:rPr>
                <w:rStyle w:val="Textoennegrita"/>
              </w:rPr>
              <w:t>carné de negativa</w:t>
            </w:r>
            <w:r w:rsidRPr="00A52DAF">
              <w:t xml:space="preserve"> (opcional) como constancia de tu oposición.</w:t>
            </w:r>
          </w:p>
        </w:tc>
      </w:tr>
      <w:tr w:rsidR="0050279B" w:rsidRPr="00A52DAF" w14:paraId="204BC262" w14:textId="77777777" w:rsidTr="0050279B">
        <w:trPr>
          <w:jc w:val="center"/>
        </w:trPr>
        <w:tc>
          <w:tcPr>
            <w:tcW w:w="4981" w:type="dxa"/>
            <w:vAlign w:val="center"/>
          </w:tcPr>
          <w:p w14:paraId="2B6F0A38" w14:textId="77777777" w:rsidR="0050279B" w:rsidRPr="00A52DAF" w:rsidRDefault="0050279B" w:rsidP="0077028D">
            <w:r w:rsidRPr="00A52DAF">
              <w:rPr>
                <w:rStyle w:val="Textoennegrita"/>
              </w:rPr>
              <w:t>Consulta en fallecimiento</w:t>
            </w:r>
          </w:p>
        </w:tc>
        <w:tc>
          <w:tcPr>
            <w:tcW w:w="4981" w:type="dxa"/>
            <w:vAlign w:val="center"/>
          </w:tcPr>
          <w:p w14:paraId="5DE7CA61" w14:textId="77777777" w:rsidR="0050279B" w:rsidRPr="00A52DAF" w:rsidRDefault="0050279B" w:rsidP="0077028D">
            <w:r w:rsidRPr="00A52DAF">
              <w:t>El equipo de salud debe consultar la base de datos del INS antes de iniciar proceso de donación. Si existe negativa registrada, se respeta.</w:t>
            </w:r>
          </w:p>
        </w:tc>
      </w:tr>
      <w:tr w:rsidR="0050279B" w:rsidRPr="00A52DAF" w14:paraId="12606DB2" w14:textId="77777777" w:rsidTr="0050279B">
        <w:trPr>
          <w:jc w:val="center"/>
        </w:trPr>
        <w:tc>
          <w:tcPr>
            <w:tcW w:w="4981" w:type="dxa"/>
            <w:vAlign w:val="center"/>
          </w:tcPr>
          <w:p w14:paraId="156CE699" w14:textId="77777777" w:rsidR="0050279B" w:rsidRPr="00A52DAF" w:rsidRDefault="0050279B" w:rsidP="0077028D">
            <w:r w:rsidRPr="00A52DAF">
              <w:rPr>
                <w:rStyle w:val="Textoennegrita"/>
              </w:rPr>
              <w:t>Importancia del registro</w:t>
            </w:r>
          </w:p>
        </w:tc>
        <w:tc>
          <w:tcPr>
            <w:tcW w:w="4981" w:type="dxa"/>
            <w:vAlign w:val="center"/>
          </w:tcPr>
          <w:p w14:paraId="0DD72984" w14:textId="77777777" w:rsidR="0050279B" w:rsidRPr="00A52DAF" w:rsidRDefault="0050279B" w:rsidP="0077028D">
            <w:r w:rsidRPr="00A52DAF">
              <w:t xml:space="preserve">La negativa es </w:t>
            </w:r>
            <w:r w:rsidRPr="00A52DAF">
              <w:rPr>
                <w:rStyle w:val="Textoennegrita"/>
              </w:rPr>
              <w:t>personal, irrevocable por terceros</w:t>
            </w:r>
            <w:r w:rsidRPr="00A52DAF">
              <w:t>, y debe estar documentada y registrada para tener validez jurídica.</w:t>
            </w:r>
          </w:p>
        </w:tc>
      </w:tr>
    </w:tbl>
    <w:p w14:paraId="1D0B7A58" w14:textId="77777777" w:rsidR="0050279B" w:rsidRPr="00581A8B" w:rsidRDefault="0050279B" w:rsidP="00581A8B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sectPr w:rsidR="0050279B" w:rsidRPr="00581A8B">
      <w:headerReference w:type="default" r:id="rId21"/>
      <w:footerReference w:type="default" r:id="rId22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C271" w14:textId="77777777" w:rsidR="00D13A5F" w:rsidRDefault="00D13A5F">
      <w:r>
        <w:separator/>
      </w:r>
    </w:p>
  </w:endnote>
  <w:endnote w:type="continuationSeparator" w:id="0">
    <w:p w14:paraId="155DA4A8" w14:textId="77777777" w:rsidR="00D13A5F" w:rsidRDefault="00D1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0A10" w14:textId="77777777" w:rsidR="00D76E10" w:rsidRDefault="00A6018A">
    <w:pPr>
      <w:pStyle w:val="Encabezado"/>
    </w:pPr>
    <w:r>
      <w:rPr>
        <w:noProof/>
        <w:lang w:eastAsia="es-MX"/>
      </w:rPr>
      <w:drawing>
        <wp:inline distT="0" distB="0" distL="0" distR="0" wp14:anchorId="34325317" wp14:editId="09AA7539">
          <wp:extent cx="6315075" cy="480362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6302" cy="4880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384D" w14:textId="77777777" w:rsidR="00D13A5F" w:rsidRDefault="00D13A5F">
      <w:r>
        <w:separator/>
      </w:r>
    </w:p>
  </w:footnote>
  <w:footnote w:type="continuationSeparator" w:id="0">
    <w:p w14:paraId="53DFE5DC" w14:textId="77777777" w:rsidR="00D13A5F" w:rsidRDefault="00D13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268"/>
    </w:tblGrid>
    <w:tr w:rsidR="00A6018A" w14:paraId="27D1FCD0" w14:textId="77777777" w:rsidTr="000A4EFF">
      <w:trPr>
        <w:trHeight w:val="285"/>
      </w:trPr>
      <w:tc>
        <w:tcPr>
          <w:tcW w:w="2192" w:type="dxa"/>
          <w:vMerge w:val="restart"/>
        </w:tcPr>
        <w:p w14:paraId="57A084D5" w14:textId="77777777" w:rsidR="00A6018A" w:rsidRDefault="00A6018A">
          <w:pPr>
            <w:rPr>
              <w:rFonts w:ascii="Times New Roman" w:eastAsia="Verdana" w:cs="Verdana"/>
              <w:lang w:val="es-ES"/>
            </w:rPr>
          </w:pPr>
          <w:r>
            <w:rPr>
              <w:rFonts w:eastAsia="Verdana" w:cs="Verdana"/>
              <w:noProof/>
              <w:szCs w:val="18"/>
            </w:rPr>
            <w:drawing>
              <wp:anchor distT="0" distB="0" distL="114300" distR="114300" simplePos="0" relativeHeight="251659264" behindDoc="1" locked="0" layoutInCell="1" allowOverlap="1" wp14:anchorId="4669F60E" wp14:editId="6A114935">
                <wp:simplePos x="0" y="0"/>
                <wp:positionH relativeFrom="column">
                  <wp:posOffset>19685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14:paraId="4414D3F8" w14:textId="77777777" w:rsidR="00A6018A" w:rsidRPr="00A6018A" w:rsidRDefault="00A6018A" w:rsidP="000A4EFF">
          <w:pPr>
            <w:jc w:val="center"/>
            <w:rPr>
              <w:rFonts w:cs="Century Gothic"/>
              <w:bCs/>
            </w:rPr>
          </w:pPr>
          <w:r w:rsidRPr="000A4EFF">
            <w:rPr>
              <w:b/>
              <w:sz w:val="22"/>
            </w:rPr>
            <w:t>PROCESO ATENCIÓN SERVICIO DE INTERNACIÓN</w:t>
          </w:r>
        </w:p>
      </w:tc>
      <w:tc>
        <w:tcPr>
          <w:tcW w:w="2268" w:type="dxa"/>
        </w:tcPr>
        <w:p w14:paraId="6E149CD8" w14:textId="2424EAB9" w:rsidR="00A6018A" w:rsidRPr="00A6018A" w:rsidRDefault="00A6018A">
          <w:pPr>
            <w:rPr>
              <w:b/>
              <w:sz w:val="18"/>
              <w:szCs w:val="18"/>
            </w:rPr>
          </w:pPr>
          <w:r w:rsidRPr="00A6018A">
            <w:rPr>
              <w:sz w:val="18"/>
              <w:szCs w:val="18"/>
            </w:rPr>
            <w:t xml:space="preserve">Código: </w:t>
          </w:r>
          <w:r w:rsidR="002E3902">
            <w:rPr>
              <w:sz w:val="18"/>
              <w:szCs w:val="18"/>
            </w:rPr>
            <w:t>PT-AIN-010</w:t>
          </w:r>
        </w:p>
      </w:tc>
    </w:tr>
    <w:tr w:rsidR="00A6018A" w14:paraId="2CF73643" w14:textId="77777777" w:rsidTr="00A6018A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14:paraId="3DDC723B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4D1723E4" w14:textId="77777777" w:rsidR="00A6018A" w:rsidRPr="00020C31" w:rsidRDefault="00A6018A" w:rsidP="003D5636">
          <w:pPr>
            <w:jc w:val="center"/>
            <w:rPr>
              <w:sz w:val="22"/>
            </w:rPr>
          </w:pPr>
        </w:p>
      </w:tc>
      <w:tc>
        <w:tcPr>
          <w:tcW w:w="2268" w:type="dxa"/>
        </w:tcPr>
        <w:p w14:paraId="0BC8AF3C" w14:textId="7ED37F43" w:rsidR="00A6018A" w:rsidRPr="00A6018A" w:rsidRDefault="00A6018A">
          <w:pPr>
            <w:rPr>
              <w:b/>
              <w:sz w:val="18"/>
              <w:szCs w:val="18"/>
            </w:rPr>
          </w:pPr>
          <w:proofErr w:type="spellStart"/>
          <w:r w:rsidRPr="00A6018A">
            <w:rPr>
              <w:sz w:val="18"/>
              <w:szCs w:val="18"/>
            </w:rPr>
            <w:t>Versión</w:t>
          </w:r>
          <w:proofErr w:type="spellEnd"/>
          <w:r w:rsidRPr="00A6018A">
            <w:rPr>
              <w:sz w:val="18"/>
              <w:szCs w:val="18"/>
            </w:rPr>
            <w:t>:</w:t>
          </w:r>
          <w:r w:rsidRPr="00A6018A">
            <w:rPr>
              <w:spacing w:val="16"/>
              <w:sz w:val="18"/>
              <w:szCs w:val="18"/>
            </w:rPr>
            <w:t xml:space="preserve"> </w:t>
          </w:r>
          <w:r w:rsidR="002E3902">
            <w:rPr>
              <w:spacing w:val="16"/>
              <w:sz w:val="18"/>
              <w:szCs w:val="18"/>
            </w:rPr>
            <w:t>00</w:t>
          </w:r>
        </w:p>
      </w:tc>
    </w:tr>
    <w:tr w:rsidR="00A6018A" w14:paraId="36EDE3EB" w14:textId="77777777" w:rsidTr="00A6018A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2E97B4A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</w:tcPr>
        <w:p w14:paraId="722B7C47" w14:textId="645FE69C" w:rsidR="00A6018A" w:rsidRPr="000A4EFF" w:rsidRDefault="00FA5D20" w:rsidP="003D5636">
          <w:pPr>
            <w:jc w:val="center"/>
            <w:rPr>
              <w:b/>
              <w:sz w:val="22"/>
            </w:rPr>
          </w:pPr>
          <w:r w:rsidRPr="000A4EFF">
            <w:rPr>
              <w:b/>
              <w:sz w:val="22"/>
            </w:rPr>
            <w:t>PROTOCOLO PARA CAPTACION Y MANTENIMIENTO DE PACIENTE POTENCIALMENTE DONANTES DESDE LA UNIDAD DE CUIDADOS INTENSIVOS</w:t>
          </w:r>
        </w:p>
      </w:tc>
      <w:tc>
        <w:tcPr>
          <w:tcW w:w="2268" w:type="dxa"/>
        </w:tcPr>
        <w:p w14:paraId="7E3F4831" w14:textId="77777777" w:rsidR="00A6018A" w:rsidRDefault="00A6018A">
          <w:pPr>
            <w:rPr>
              <w:sz w:val="18"/>
              <w:szCs w:val="18"/>
            </w:rPr>
          </w:pPr>
          <w:proofErr w:type="spellStart"/>
          <w:r w:rsidRPr="00A6018A">
            <w:rPr>
              <w:sz w:val="18"/>
              <w:szCs w:val="18"/>
            </w:rPr>
            <w:t>Fecha</w:t>
          </w:r>
          <w:proofErr w:type="spellEnd"/>
          <w:r w:rsidRPr="00A6018A">
            <w:rPr>
              <w:sz w:val="18"/>
              <w:szCs w:val="18"/>
            </w:rPr>
            <w:t xml:space="preserve"> de </w:t>
          </w:r>
          <w:proofErr w:type="spellStart"/>
          <w:r w:rsidRPr="00A6018A">
            <w:rPr>
              <w:sz w:val="18"/>
              <w:szCs w:val="18"/>
            </w:rPr>
            <w:t>aprobación</w:t>
          </w:r>
          <w:proofErr w:type="spellEnd"/>
          <w:r w:rsidRPr="00A6018A">
            <w:rPr>
              <w:sz w:val="18"/>
              <w:szCs w:val="18"/>
            </w:rPr>
            <w:t xml:space="preserve">: </w:t>
          </w:r>
        </w:p>
        <w:p w14:paraId="094BAB0E" w14:textId="13F943FB" w:rsidR="002E3902" w:rsidRPr="00A6018A" w:rsidRDefault="002959E9">
          <w:pPr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>8</w:t>
          </w:r>
          <w:r w:rsidR="002E3902">
            <w:rPr>
              <w:sz w:val="18"/>
              <w:szCs w:val="18"/>
            </w:rPr>
            <w:t xml:space="preserve"> de </w:t>
          </w:r>
          <w:proofErr w:type="spellStart"/>
          <w:r w:rsidR="002E3902">
            <w:rPr>
              <w:sz w:val="18"/>
              <w:szCs w:val="18"/>
            </w:rPr>
            <w:t>julio</w:t>
          </w:r>
          <w:proofErr w:type="spellEnd"/>
          <w:r w:rsidR="002E3902">
            <w:rPr>
              <w:sz w:val="18"/>
              <w:szCs w:val="18"/>
            </w:rPr>
            <w:t xml:space="preserve"> de 2025</w:t>
          </w:r>
        </w:p>
      </w:tc>
    </w:tr>
    <w:tr w:rsidR="00A6018A" w14:paraId="4842BF9F" w14:textId="77777777" w:rsidTr="00A6018A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5F4D922D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3DEDA017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2268" w:type="dxa"/>
        </w:tcPr>
        <w:p w14:paraId="602360BB" w14:textId="3BEFA030" w:rsidR="00A6018A" w:rsidRPr="00A6018A" w:rsidRDefault="00A6018A">
          <w:pPr>
            <w:rPr>
              <w:b/>
              <w:sz w:val="18"/>
              <w:szCs w:val="18"/>
            </w:rPr>
          </w:pPr>
          <w:proofErr w:type="spellStart"/>
          <w:r w:rsidRPr="00A6018A">
            <w:rPr>
              <w:sz w:val="18"/>
              <w:szCs w:val="18"/>
            </w:rPr>
            <w:t>Página</w:t>
          </w:r>
          <w:proofErr w:type="spellEnd"/>
          <w:r w:rsidRPr="00A6018A">
            <w:rPr>
              <w:sz w:val="18"/>
              <w:szCs w:val="18"/>
            </w:rPr>
            <w:t>:</w:t>
          </w:r>
          <w:r w:rsidRPr="00A6018A">
            <w:rPr>
              <w:spacing w:val="-10"/>
              <w:sz w:val="18"/>
              <w:szCs w:val="18"/>
            </w:rPr>
            <w:t xml:space="preserve"> </w:t>
          </w:r>
          <w:r w:rsidRPr="00A6018A">
            <w:rPr>
              <w:b/>
              <w:sz w:val="18"/>
              <w:szCs w:val="18"/>
            </w:rPr>
            <w:fldChar w:fldCharType="begin"/>
          </w:r>
          <w:r w:rsidRPr="00A6018A">
            <w:rPr>
              <w:sz w:val="18"/>
              <w:szCs w:val="18"/>
            </w:rPr>
            <w:instrText xml:space="preserve"> PAGE </w:instrText>
          </w:r>
          <w:r w:rsidRPr="00A6018A">
            <w:rPr>
              <w:b/>
              <w:sz w:val="18"/>
              <w:szCs w:val="18"/>
            </w:rPr>
            <w:fldChar w:fldCharType="separate"/>
          </w:r>
          <w:r w:rsidR="002E3902">
            <w:rPr>
              <w:noProof/>
              <w:sz w:val="18"/>
              <w:szCs w:val="18"/>
            </w:rPr>
            <w:t>5</w:t>
          </w:r>
          <w:r w:rsidRPr="00A6018A">
            <w:rPr>
              <w:b/>
              <w:sz w:val="18"/>
              <w:szCs w:val="18"/>
            </w:rPr>
            <w:fldChar w:fldCharType="end"/>
          </w:r>
          <w:r w:rsidRPr="00A6018A">
            <w:rPr>
              <w:spacing w:val="-8"/>
              <w:sz w:val="18"/>
              <w:szCs w:val="18"/>
            </w:rPr>
            <w:t xml:space="preserve"> </w:t>
          </w:r>
          <w:r w:rsidRPr="00A6018A">
            <w:rPr>
              <w:sz w:val="18"/>
              <w:szCs w:val="18"/>
            </w:rPr>
            <w:t>de</w:t>
          </w:r>
          <w:r w:rsidRPr="00A6018A">
            <w:rPr>
              <w:spacing w:val="-9"/>
              <w:sz w:val="18"/>
              <w:szCs w:val="18"/>
            </w:rPr>
            <w:t xml:space="preserve"> </w:t>
          </w:r>
          <w:r w:rsidRPr="00A6018A">
            <w:rPr>
              <w:b/>
              <w:spacing w:val="-5"/>
              <w:sz w:val="18"/>
              <w:szCs w:val="18"/>
            </w:rPr>
            <w:fldChar w:fldCharType="begin"/>
          </w:r>
          <w:r w:rsidRPr="00A6018A">
            <w:rPr>
              <w:spacing w:val="-5"/>
              <w:sz w:val="18"/>
              <w:szCs w:val="18"/>
            </w:rPr>
            <w:instrText xml:space="preserve"> NUMPAGES </w:instrText>
          </w:r>
          <w:r w:rsidRPr="00A6018A">
            <w:rPr>
              <w:b/>
              <w:spacing w:val="-5"/>
              <w:sz w:val="18"/>
              <w:szCs w:val="18"/>
            </w:rPr>
            <w:fldChar w:fldCharType="separate"/>
          </w:r>
          <w:r w:rsidR="002E3902">
            <w:rPr>
              <w:noProof/>
              <w:spacing w:val="-5"/>
              <w:sz w:val="18"/>
              <w:szCs w:val="18"/>
            </w:rPr>
            <w:t>11</w:t>
          </w:r>
          <w:r w:rsidRPr="00A6018A">
            <w:rPr>
              <w:b/>
              <w:spacing w:val="-5"/>
              <w:sz w:val="18"/>
              <w:szCs w:val="18"/>
            </w:rPr>
            <w:fldChar w:fldCharType="end"/>
          </w:r>
        </w:p>
      </w:tc>
    </w:tr>
  </w:tbl>
  <w:p w14:paraId="43BE20DC" w14:textId="77777777" w:rsidR="00D76E10" w:rsidRPr="00975223" w:rsidRDefault="00D76E10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C6E"/>
    <w:multiLevelType w:val="multilevel"/>
    <w:tmpl w:val="95707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1" w15:restartNumberingAfterBreak="0">
    <w:nsid w:val="0AF452DB"/>
    <w:multiLevelType w:val="multilevel"/>
    <w:tmpl w:val="A40C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348DC"/>
    <w:multiLevelType w:val="hybridMultilevel"/>
    <w:tmpl w:val="CB783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B2916"/>
    <w:multiLevelType w:val="multilevel"/>
    <w:tmpl w:val="77EE7CFA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4" w15:restartNumberingAfterBreak="0">
    <w:nsid w:val="0FA73B67"/>
    <w:multiLevelType w:val="multilevel"/>
    <w:tmpl w:val="5E0C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E1DA8"/>
    <w:multiLevelType w:val="multilevel"/>
    <w:tmpl w:val="51B4D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55C1624"/>
    <w:multiLevelType w:val="hybridMultilevel"/>
    <w:tmpl w:val="382072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90ECD"/>
    <w:multiLevelType w:val="multilevel"/>
    <w:tmpl w:val="3C9EE04C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8" w15:restartNumberingAfterBreak="0">
    <w:nsid w:val="232B744B"/>
    <w:multiLevelType w:val="hybridMultilevel"/>
    <w:tmpl w:val="4B02F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D1224"/>
    <w:multiLevelType w:val="multilevel"/>
    <w:tmpl w:val="43AE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C670D"/>
    <w:multiLevelType w:val="hybridMultilevel"/>
    <w:tmpl w:val="7B8AD4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22706"/>
    <w:multiLevelType w:val="hybridMultilevel"/>
    <w:tmpl w:val="9B7A3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0456"/>
    <w:multiLevelType w:val="multilevel"/>
    <w:tmpl w:val="800E3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780290"/>
    <w:multiLevelType w:val="multilevel"/>
    <w:tmpl w:val="07F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E2269"/>
    <w:multiLevelType w:val="hybridMultilevel"/>
    <w:tmpl w:val="A6E63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112F0"/>
    <w:multiLevelType w:val="multilevel"/>
    <w:tmpl w:val="7A2EB270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16" w15:restartNumberingAfterBreak="0">
    <w:nsid w:val="4E1675BB"/>
    <w:multiLevelType w:val="hybridMultilevel"/>
    <w:tmpl w:val="D2FA3A12"/>
    <w:lvl w:ilvl="0" w:tplc="65F26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60EBE"/>
    <w:multiLevelType w:val="hybridMultilevel"/>
    <w:tmpl w:val="5F768B12"/>
    <w:lvl w:ilvl="0" w:tplc="A776E896">
      <w:start w:val="1"/>
      <w:numFmt w:val="bullet"/>
      <w:lvlText w:val="●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426DA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9CC6B2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EEABD2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A3328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DA7752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6AB512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4F370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4E04E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8FF00DF"/>
    <w:multiLevelType w:val="multilevel"/>
    <w:tmpl w:val="3C9EE04C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19" w15:restartNumberingAfterBreak="0">
    <w:nsid w:val="60A84F1B"/>
    <w:multiLevelType w:val="multilevel"/>
    <w:tmpl w:val="77EE7CFA"/>
    <w:lvl w:ilvl="0">
      <w:start w:val="1"/>
      <w:numFmt w:val="decimal"/>
      <w:lvlText w:val="%1."/>
      <w:lvlJc w:val="left"/>
      <w:pPr>
        <w:ind w:left="643" w:hanging="360"/>
      </w:pPr>
      <w:rPr>
        <w:rFonts w:ascii="Century Gothic" w:hAnsi="Century Gothic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20" w15:restartNumberingAfterBreak="0">
    <w:nsid w:val="658E399C"/>
    <w:multiLevelType w:val="hybridMultilevel"/>
    <w:tmpl w:val="BB0E9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70EF4"/>
    <w:multiLevelType w:val="hybridMultilevel"/>
    <w:tmpl w:val="94AABB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E35AF"/>
    <w:multiLevelType w:val="multilevel"/>
    <w:tmpl w:val="923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E969AB"/>
    <w:multiLevelType w:val="multilevel"/>
    <w:tmpl w:val="34340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0C16776"/>
    <w:multiLevelType w:val="hybridMultilevel"/>
    <w:tmpl w:val="CE5E7084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8C61C8"/>
    <w:multiLevelType w:val="multilevel"/>
    <w:tmpl w:val="ED380A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D0E68"/>
    <w:multiLevelType w:val="multilevel"/>
    <w:tmpl w:val="D218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0EE"/>
    <w:multiLevelType w:val="hybridMultilevel"/>
    <w:tmpl w:val="05724EEE"/>
    <w:lvl w:ilvl="0" w:tplc="080A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7C7C6615"/>
    <w:multiLevelType w:val="hybridMultilevel"/>
    <w:tmpl w:val="6F2EB3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6"/>
  </w:num>
  <w:num w:numId="4">
    <w:abstractNumId w:val="2"/>
  </w:num>
  <w:num w:numId="5">
    <w:abstractNumId w:val="28"/>
  </w:num>
  <w:num w:numId="6">
    <w:abstractNumId w:val="0"/>
  </w:num>
  <w:num w:numId="7">
    <w:abstractNumId w:val="19"/>
  </w:num>
  <w:num w:numId="8">
    <w:abstractNumId w:val="5"/>
  </w:num>
  <w:num w:numId="9">
    <w:abstractNumId w:val="3"/>
  </w:num>
  <w:num w:numId="10">
    <w:abstractNumId w:val="17"/>
  </w:num>
  <w:num w:numId="11">
    <w:abstractNumId w:val="18"/>
  </w:num>
  <w:num w:numId="12">
    <w:abstractNumId w:val="7"/>
  </w:num>
  <w:num w:numId="13">
    <w:abstractNumId w:val="15"/>
  </w:num>
  <w:num w:numId="14">
    <w:abstractNumId w:val="21"/>
  </w:num>
  <w:num w:numId="15">
    <w:abstractNumId w:val="20"/>
  </w:num>
  <w:num w:numId="16">
    <w:abstractNumId w:val="10"/>
  </w:num>
  <w:num w:numId="17">
    <w:abstractNumId w:val="27"/>
  </w:num>
  <w:num w:numId="18">
    <w:abstractNumId w:val="12"/>
  </w:num>
  <w:num w:numId="19">
    <w:abstractNumId w:val="9"/>
  </w:num>
  <w:num w:numId="20">
    <w:abstractNumId w:val="13"/>
  </w:num>
  <w:num w:numId="21">
    <w:abstractNumId w:val="24"/>
  </w:num>
  <w:num w:numId="22">
    <w:abstractNumId w:val="8"/>
  </w:num>
  <w:num w:numId="23">
    <w:abstractNumId w:val="4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10"/>
    <w:rsid w:val="00020C31"/>
    <w:rsid w:val="00053B4B"/>
    <w:rsid w:val="00086ECC"/>
    <w:rsid w:val="000A4EFF"/>
    <w:rsid w:val="0010372D"/>
    <w:rsid w:val="00196CAB"/>
    <w:rsid w:val="001A3F9B"/>
    <w:rsid w:val="001D23E7"/>
    <w:rsid w:val="001D37EC"/>
    <w:rsid w:val="0021643B"/>
    <w:rsid w:val="00217CEF"/>
    <w:rsid w:val="00271E55"/>
    <w:rsid w:val="00274ADB"/>
    <w:rsid w:val="0028573C"/>
    <w:rsid w:val="00287110"/>
    <w:rsid w:val="002959E9"/>
    <w:rsid w:val="002B017E"/>
    <w:rsid w:val="002C4E9E"/>
    <w:rsid w:val="002E3902"/>
    <w:rsid w:val="002E676C"/>
    <w:rsid w:val="00301495"/>
    <w:rsid w:val="00341C51"/>
    <w:rsid w:val="003908EF"/>
    <w:rsid w:val="003D5636"/>
    <w:rsid w:val="00460272"/>
    <w:rsid w:val="00462D61"/>
    <w:rsid w:val="004D3F12"/>
    <w:rsid w:val="0050279B"/>
    <w:rsid w:val="005323BA"/>
    <w:rsid w:val="00543BC0"/>
    <w:rsid w:val="00565858"/>
    <w:rsid w:val="00574C26"/>
    <w:rsid w:val="0057593D"/>
    <w:rsid w:val="00581A8B"/>
    <w:rsid w:val="005A41E9"/>
    <w:rsid w:val="00617B5C"/>
    <w:rsid w:val="00630292"/>
    <w:rsid w:val="00704265"/>
    <w:rsid w:val="00770D06"/>
    <w:rsid w:val="007B5CDB"/>
    <w:rsid w:val="00813E4B"/>
    <w:rsid w:val="00814109"/>
    <w:rsid w:val="00880C81"/>
    <w:rsid w:val="008943F5"/>
    <w:rsid w:val="008D315B"/>
    <w:rsid w:val="008F1FE0"/>
    <w:rsid w:val="009148A4"/>
    <w:rsid w:val="00952E63"/>
    <w:rsid w:val="00975223"/>
    <w:rsid w:val="009F1D97"/>
    <w:rsid w:val="00A5390F"/>
    <w:rsid w:val="00A6018A"/>
    <w:rsid w:val="00A61D11"/>
    <w:rsid w:val="00AB67C9"/>
    <w:rsid w:val="00B37D22"/>
    <w:rsid w:val="00B904A3"/>
    <w:rsid w:val="00C058C7"/>
    <w:rsid w:val="00C646B8"/>
    <w:rsid w:val="00CD513A"/>
    <w:rsid w:val="00CD7D59"/>
    <w:rsid w:val="00D0207E"/>
    <w:rsid w:val="00D075A5"/>
    <w:rsid w:val="00D13A5F"/>
    <w:rsid w:val="00D13F7A"/>
    <w:rsid w:val="00D25C58"/>
    <w:rsid w:val="00D76E10"/>
    <w:rsid w:val="00D8046B"/>
    <w:rsid w:val="00DB0D1B"/>
    <w:rsid w:val="00DF0399"/>
    <w:rsid w:val="00DF427C"/>
    <w:rsid w:val="00F117E8"/>
    <w:rsid w:val="00F139AD"/>
    <w:rsid w:val="00F779BE"/>
    <w:rsid w:val="00FA5D20"/>
    <w:rsid w:val="00FD0A0A"/>
    <w:rsid w:val="00FD7C34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142E"/>
  <w15:docId w15:val="{1091E7BD-037D-483D-8970-D6EE88A7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8A"/>
    <w:pPr>
      <w:spacing w:after="0" w:line="24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paragraph" w:customStyle="1" w:styleId="Ttulo21">
    <w:name w:val="Título 2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8000"/>
      <w:sz w:val="18"/>
      <w:szCs w:val="24"/>
      <w:vertAlign w:val="superscript"/>
      <w:lang w:val="es-ES" w:eastAsia="es-ES"/>
    </w:rPr>
  </w:style>
  <w:style w:type="paragraph" w:customStyle="1" w:styleId="Ttulo31">
    <w:name w:val="Título 31"/>
    <w:qFormat/>
    <w:rsid w:val="00A6018A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2"/>
    </w:pPr>
    <w:rPr>
      <w:rFonts w:ascii="Century Gothic" w:eastAsia="Times New Roman" w:hAnsi="Century Gothic" w:cs="Times New Roman"/>
      <w:b/>
      <w:bCs/>
      <w:color w:val="00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28573C"/>
    <w:pPr>
      <w:widowControl w:val="0"/>
      <w:jc w:val="left"/>
    </w:pPr>
    <w:rPr>
      <w:rFonts w:ascii="Calibri" w:eastAsia="Calibri" w:hAnsi="Calibri" w:cs="Times New Roman"/>
      <w:b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573C"/>
    <w:rPr>
      <w:rFonts w:ascii="Calibri" w:eastAsia="Calibri" w:hAnsi="Calibri" w:cs="Times New Roman"/>
      <w:sz w:val="21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28573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sz w:val="24"/>
      <w:szCs w:val="24"/>
      <w:lang w:eastAsia="es-MX"/>
    </w:rPr>
  </w:style>
  <w:style w:type="character" w:customStyle="1" w:styleId="fadeinm1hgl8">
    <w:name w:val="_fadein_m1hgl_8"/>
    <w:rsid w:val="0028573C"/>
  </w:style>
  <w:style w:type="table" w:customStyle="1" w:styleId="Tablaconcuadrcula2">
    <w:name w:val="Tabla con cuadrícula2"/>
    <w:basedOn w:val="Tablanormal"/>
    <w:next w:val="Tablaconcuadrcula"/>
    <w:uiPriority w:val="59"/>
    <w:rsid w:val="00A61D1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1F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F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FE0"/>
    <w:rPr>
      <w:rFonts w:ascii="Century Gothic" w:hAnsi="Century Gothic"/>
      <w:b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FE0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FE0"/>
    <w:rPr>
      <w:rFonts w:ascii="Century Gothic" w:hAnsi="Century Gothic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FE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FE0"/>
    <w:rPr>
      <w:rFonts w:ascii="Segoe UI" w:hAnsi="Segoe UI" w:cs="Segoe UI"/>
      <w:b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779BE"/>
    <w:rPr>
      <w:color w:val="605E5C"/>
      <w:shd w:val="clear" w:color="auto" w:fill="E1DFDD"/>
    </w:rPr>
  </w:style>
  <w:style w:type="character" w:customStyle="1" w:styleId="relative">
    <w:name w:val="relative"/>
    <w:basedOn w:val="Fuentedeprrafopredeter"/>
    <w:rsid w:val="0050279B"/>
  </w:style>
  <w:style w:type="character" w:customStyle="1" w:styleId="ms-1">
    <w:name w:val="ms-1"/>
    <w:basedOn w:val="Fuentedeprrafopredeter"/>
    <w:rsid w:val="0050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uin-juriscol.gov.co/viewDocument.asp?ruta=Leyes/30022839" TargetMode="External"/><Relationship Id="rId18" Type="http://schemas.openxmlformats.org/officeDocument/2006/relationships/hyperlink" Target="mailto:comunicaciones@hospitalsanpedro.or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funcionpublica.gov.co/eva/gestornormativo/norma.php?i=15507" TargetMode="External"/><Relationship Id="rId17" Type="http://schemas.openxmlformats.org/officeDocument/2006/relationships/hyperlink" Target="mailto:utrasplantes@hospitalsanpedro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21235034/" TargetMode="External"/><Relationship Id="rId20" Type="http://schemas.openxmlformats.org/officeDocument/2006/relationships/hyperlink" Target="https://apps.ins.gov.co/carnedonantes/aspx/Negativa/frmRegistroNegativa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uncionpublica.gov.co/eva/gestornormativo/norma.php?i=1452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lcaldiabogota.gov.co/sisjur/normas/Norma1.jsp?i=11722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lcaldiabogota.gov.co/sisjur/normas/Norma1.jsp?i=1177" TargetMode="External"/><Relationship Id="rId19" Type="http://schemas.openxmlformats.org/officeDocument/2006/relationships/hyperlink" Target="mailto:crtrasplantes@ins.gov.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insalud.gov.co/Normatividad_Nuevo/DECRETO%202493%20DE%202004.pdf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E9F16-88D9-438B-8388-5D4B1FBDE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2034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7</cp:revision>
  <cp:lastPrinted>2025-07-08T19:30:00Z</cp:lastPrinted>
  <dcterms:created xsi:type="dcterms:W3CDTF">2025-07-07T20:14:00Z</dcterms:created>
  <dcterms:modified xsi:type="dcterms:W3CDTF">2025-07-08T19:30:00Z</dcterms:modified>
</cp:coreProperties>
</file>