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138" w14:textId="77777777" w:rsidR="00217CEF" w:rsidRDefault="00217CEF" w:rsidP="0028573C"/>
    <w:tbl>
      <w:tblPr>
        <w:tblpPr w:leftFromText="141" w:rightFromText="141" w:vertAnchor="text" w:horzAnchor="margin" w:tblpY="9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FD7C34" w:rsidRPr="00FE635A" w14:paraId="3ECEDC65" w14:textId="77777777" w:rsidTr="004627DD">
        <w:trPr>
          <w:trHeight w:val="776"/>
        </w:trPr>
        <w:tc>
          <w:tcPr>
            <w:tcW w:w="2405" w:type="dxa"/>
            <w:tcBorders>
              <w:bottom w:val="nil"/>
            </w:tcBorders>
          </w:tcPr>
          <w:p w14:paraId="3FEA3A04" w14:textId="77777777" w:rsidR="00FD7C34" w:rsidRPr="00FE635A" w:rsidRDefault="00FD7C34" w:rsidP="004627DD">
            <w:pPr>
              <w:jc w:val="left"/>
              <w:rPr>
                <w:sz w:val="20"/>
                <w:szCs w:val="20"/>
              </w:rPr>
            </w:pPr>
          </w:p>
          <w:p w14:paraId="17C072B6" w14:textId="0226D494" w:rsidR="00FD7C34" w:rsidRPr="00FE635A" w:rsidRDefault="00FD7C34" w:rsidP="004627DD">
            <w:pPr>
              <w:jc w:val="left"/>
              <w:rPr>
                <w:sz w:val="20"/>
                <w:szCs w:val="20"/>
              </w:rPr>
            </w:pPr>
            <w:r w:rsidRPr="00FE635A">
              <w:rPr>
                <w:sz w:val="20"/>
                <w:szCs w:val="20"/>
              </w:rPr>
              <w:t xml:space="preserve"> Elaboración:</w:t>
            </w:r>
          </w:p>
          <w:p w14:paraId="4CFD7FFE" w14:textId="77C5724F" w:rsidR="00FD7C34" w:rsidRPr="00FE635A" w:rsidRDefault="00FD7C34" w:rsidP="004627DD">
            <w:pPr>
              <w:jc w:val="left"/>
              <w:rPr>
                <w:sz w:val="20"/>
                <w:szCs w:val="20"/>
              </w:rPr>
            </w:pPr>
          </w:p>
        </w:tc>
        <w:tc>
          <w:tcPr>
            <w:tcW w:w="2552" w:type="dxa"/>
            <w:tcBorders>
              <w:bottom w:val="nil"/>
            </w:tcBorders>
          </w:tcPr>
          <w:p w14:paraId="3423FEE1" w14:textId="77777777" w:rsidR="00FD7C34" w:rsidRPr="00FE635A" w:rsidRDefault="00FD7C34" w:rsidP="004627DD">
            <w:pPr>
              <w:jc w:val="left"/>
              <w:rPr>
                <w:sz w:val="20"/>
                <w:szCs w:val="20"/>
              </w:rPr>
            </w:pPr>
            <w:r w:rsidRPr="00FE635A">
              <w:rPr>
                <w:sz w:val="20"/>
                <w:szCs w:val="20"/>
              </w:rPr>
              <w:t xml:space="preserve"> Revisión </w:t>
            </w:r>
          </w:p>
          <w:p w14:paraId="63F5BBC7" w14:textId="29C54D18" w:rsidR="00FD7C34" w:rsidRPr="00FE635A" w:rsidRDefault="00FD7C34" w:rsidP="004627DD">
            <w:pPr>
              <w:jc w:val="left"/>
              <w:rPr>
                <w:sz w:val="20"/>
                <w:szCs w:val="20"/>
              </w:rPr>
            </w:pPr>
            <w:r w:rsidRPr="00FE635A">
              <w:rPr>
                <w:sz w:val="20"/>
                <w:szCs w:val="20"/>
              </w:rPr>
              <w:t xml:space="preserve"> Técnico/Científica:</w:t>
            </w:r>
          </w:p>
          <w:p w14:paraId="6531AA6A" w14:textId="77777777" w:rsidR="00FD7C34" w:rsidRPr="00FE635A" w:rsidRDefault="00FD7C34" w:rsidP="004627DD">
            <w:pPr>
              <w:jc w:val="left"/>
              <w:rPr>
                <w:sz w:val="20"/>
                <w:szCs w:val="20"/>
              </w:rPr>
            </w:pPr>
          </w:p>
        </w:tc>
        <w:tc>
          <w:tcPr>
            <w:tcW w:w="2409" w:type="dxa"/>
            <w:tcBorders>
              <w:bottom w:val="nil"/>
            </w:tcBorders>
          </w:tcPr>
          <w:p w14:paraId="3D639EA4" w14:textId="77777777" w:rsidR="00FD7C34" w:rsidRPr="00FE635A" w:rsidRDefault="00FD7C34" w:rsidP="004627DD">
            <w:pPr>
              <w:jc w:val="left"/>
              <w:rPr>
                <w:sz w:val="20"/>
                <w:szCs w:val="20"/>
              </w:rPr>
            </w:pPr>
          </w:p>
          <w:p w14:paraId="31C9D644" w14:textId="77777777" w:rsidR="00FD7C34" w:rsidRPr="00FE635A" w:rsidRDefault="00FD7C34" w:rsidP="004627DD">
            <w:pPr>
              <w:jc w:val="left"/>
              <w:rPr>
                <w:sz w:val="20"/>
                <w:szCs w:val="20"/>
              </w:rPr>
            </w:pPr>
            <w:r w:rsidRPr="00FE635A">
              <w:rPr>
                <w:sz w:val="20"/>
                <w:szCs w:val="20"/>
              </w:rPr>
              <w:t xml:space="preserve"> Revisión Calidad:</w:t>
            </w:r>
          </w:p>
        </w:tc>
        <w:tc>
          <w:tcPr>
            <w:tcW w:w="2557" w:type="dxa"/>
            <w:tcBorders>
              <w:bottom w:val="nil"/>
            </w:tcBorders>
          </w:tcPr>
          <w:p w14:paraId="272DBCA1" w14:textId="77777777" w:rsidR="00FD7C34" w:rsidRPr="00FE635A" w:rsidRDefault="00FD7C34" w:rsidP="004627DD">
            <w:pPr>
              <w:jc w:val="left"/>
              <w:rPr>
                <w:sz w:val="20"/>
                <w:szCs w:val="20"/>
              </w:rPr>
            </w:pPr>
          </w:p>
          <w:p w14:paraId="20AA42BC" w14:textId="77777777" w:rsidR="00FD7C34" w:rsidRPr="00FE635A" w:rsidRDefault="00FD7C34" w:rsidP="004627DD">
            <w:pPr>
              <w:jc w:val="left"/>
              <w:rPr>
                <w:sz w:val="20"/>
                <w:szCs w:val="20"/>
              </w:rPr>
            </w:pPr>
            <w:r w:rsidRPr="00FE635A">
              <w:rPr>
                <w:sz w:val="20"/>
                <w:szCs w:val="20"/>
              </w:rPr>
              <w:t xml:space="preserve">  Aprobación:</w:t>
            </w:r>
          </w:p>
        </w:tc>
      </w:tr>
      <w:tr w:rsidR="00FD7C34" w:rsidRPr="00FE635A" w14:paraId="0416DC46" w14:textId="77777777" w:rsidTr="004627DD">
        <w:tblPrEx>
          <w:tblCellMar>
            <w:left w:w="70" w:type="dxa"/>
            <w:right w:w="70" w:type="dxa"/>
          </w:tblCellMar>
        </w:tblPrEx>
        <w:trPr>
          <w:trHeight w:val="999"/>
        </w:trPr>
        <w:tc>
          <w:tcPr>
            <w:tcW w:w="2405" w:type="dxa"/>
            <w:tcBorders>
              <w:top w:val="nil"/>
            </w:tcBorders>
          </w:tcPr>
          <w:p w14:paraId="20E9EE14" w14:textId="0861C4BD" w:rsidR="00FD7C34" w:rsidRPr="00FE635A" w:rsidRDefault="00FD7C34" w:rsidP="004627DD">
            <w:pPr>
              <w:tabs>
                <w:tab w:val="left" w:pos="538"/>
              </w:tabs>
              <w:rPr>
                <w:noProof/>
                <w:sz w:val="20"/>
                <w:szCs w:val="20"/>
                <w:lang w:eastAsia="es-MX"/>
              </w:rPr>
            </w:pPr>
          </w:p>
          <w:p w14:paraId="495F3182" w14:textId="02A1BACE" w:rsidR="00FD7C34" w:rsidRPr="00FE635A" w:rsidRDefault="00FD7C34" w:rsidP="004627DD">
            <w:pPr>
              <w:tabs>
                <w:tab w:val="left" w:pos="538"/>
              </w:tabs>
              <w:rPr>
                <w:sz w:val="20"/>
                <w:szCs w:val="20"/>
              </w:rPr>
            </w:pPr>
          </w:p>
          <w:p w14:paraId="030E9A50" w14:textId="77777777" w:rsidR="00D43A11" w:rsidRPr="00D43A11" w:rsidRDefault="00D43A11" w:rsidP="00D43A11">
            <w:pPr>
              <w:jc w:val="center"/>
              <w:rPr>
                <w:b/>
                <w:sz w:val="20"/>
                <w:szCs w:val="20"/>
              </w:rPr>
            </w:pPr>
            <w:r w:rsidRPr="00D43A11">
              <w:rPr>
                <w:b/>
                <w:sz w:val="20"/>
                <w:szCs w:val="20"/>
              </w:rPr>
              <w:t xml:space="preserve">ANA MILENA BASTIDAS </w:t>
            </w:r>
          </w:p>
          <w:p w14:paraId="34903543" w14:textId="4321479E" w:rsidR="00FD7C34" w:rsidRPr="00D43A11" w:rsidRDefault="00F6595F" w:rsidP="00D43A11">
            <w:pPr>
              <w:jc w:val="center"/>
              <w:rPr>
                <w:bCs/>
                <w:sz w:val="20"/>
                <w:szCs w:val="20"/>
              </w:rPr>
            </w:pPr>
            <w:r w:rsidRPr="00D43A11">
              <w:rPr>
                <w:bCs/>
                <w:sz w:val="20"/>
                <w:szCs w:val="20"/>
              </w:rPr>
              <w:t>Psicóloga</w:t>
            </w:r>
            <w:r w:rsidR="00D43A11" w:rsidRPr="00D43A11">
              <w:rPr>
                <w:bCs/>
                <w:sz w:val="20"/>
                <w:szCs w:val="20"/>
              </w:rPr>
              <w:t xml:space="preserve"> referente </w:t>
            </w:r>
            <w:r w:rsidRPr="00D43A11">
              <w:rPr>
                <w:bCs/>
                <w:sz w:val="20"/>
                <w:szCs w:val="20"/>
              </w:rPr>
              <w:t>Humanización</w:t>
            </w:r>
            <w:r w:rsidR="00D43A11" w:rsidRPr="00D43A11">
              <w:rPr>
                <w:bCs/>
                <w:sz w:val="20"/>
                <w:szCs w:val="20"/>
              </w:rPr>
              <w:t>.</w:t>
            </w:r>
          </w:p>
        </w:tc>
        <w:tc>
          <w:tcPr>
            <w:tcW w:w="2552" w:type="dxa"/>
            <w:tcBorders>
              <w:top w:val="nil"/>
            </w:tcBorders>
          </w:tcPr>
          <w:p w14:paraId="1B581F0A" w14:textId="77777777" w:rsidR="00FD7C34" w:rsidRPr="00FE635A" w:rsidRDefault="00FD7C34" w:rsidP="004627DD">
            <w:pPr>
              <w:rPr>
                <w:sz w:val="20"/>
                <w:szCs w:val="20"/>
              </w:rPr>
            </w:pPr>
          </w:p>
          <w:p w14:paraId="1EAB71FD" w14:textId="77777777" w:rsidR="00FD7C34" w:rsidRPr="00FE635A" w:rsidRDefault="00FD7C34" w:rsidP="004627DD">
            <w:pPr>
              <w:jc w:val="center"/>
              <w:rPr>
                <w:sz w:val="20"/>
                <w:szCs w:val="20"/>
              </w:rPr>
            </w:pPr>
          </w:p>
          <w:p w14:paraId="3240C8F5" w14:textId="77777777" w:rsidR="00FD7C34" w:rsidRPr="00FE635A" w:rsidRDefault="00FD7C34" w:rsidP="004627DD">
            <w:pPr>
              <w:jc w:val="center"/>
              <w:rPr>
                <w:b/>
                <w:sz w:val="20"/>
                <w:szCs w:val="20"/>
              </w:rPr>
            </w:pPr>
            <w:r w:rsidRPr="00FE635A">
              <w:rPr>
                <w:b/>
                <w:sz w:val="20"/>
                <w:szCs w:val="20"/>
              </w:rPr>
              <w:t>SANDRA FIGUEROA</w:t>
            </w:r>
          </w:p>
          <w:p w14:paraId="7A6A34DE" w14:textId="77777777" w:rsidR="00FD7C34" w:rsidRPr="00FE635A" w:rsidRDefault="00FD7C34" w:rsidP="004627DD">
            <w:pPr>
              <w:jc w:val="center"/>
              <w:rPr>
                <w:sz w:val="20"/>
                <w:szCs w:val="20"/>
              </w:rPr>
            </w:pPr>
            <w:r w:rsidRPr="00FE635A">
              <w:rPr>
                <w:sz w:val="20"/>
                <w:szCs w:val="20"/>
              </w:rPr>
              <w:t>Coordina</w:t>
            </w:r>
            <w:r>
              <w:rPr>
                <w:sz w:val="20"/>
                <w:szCs w:val="20"/>
              </w:rPr>
              <w:t xml:space="preserve">dora </w:t>
            </w:r>
            <w:r w:rsidRPr="00FE635A">
              <w:rPr>
                <w:sz w:val="20"/>
                <w:szCs w:val="20"/>
              </w:rPr>
              <w:t>de Calidad y servicios de apoyo</w:t>
            </w:r>
          </w:p>
        </w:tc>
        <w:tc>
          <w:tcPr>
            <w:tcW w:w="2409" w:type="dxa"/>
            <w:tcBorders>
              <w:top w:val="nil"/>
            </w:tcBorders>
          </w:tcPr>
          <w:p w14:paraId="577B2EFE" w14:textId="77777777" w:rsidR="00FD7C34" w:rsidRPr="00FE635A" w:rsidRDefault="00FD7C34" w:rsidP="004627DD">
            <w:pPr>
              <w:jc w:val="center"/>
              <w:rPr>
                <w:sz w:val="20"/>
                <w:szCs w:val="20"/>
              </w:rPr>
            </w:pPr>
          </w:p>
          <w:p w14:paraId="2BC6BA57" w14:textId="79C13D60" w:rsidR="00FD7C34" w:rsidRPr="00FE635A" w:rsidRDefault="00FD7C34" w:rsidP="004627DD">
            <w:pPr>
              <w:jc w:val="center"/>
              <w:rPr>
                <w:b/>
                <w:sz w:val="20"/>
                <w:szCs w:val="20"/>
              </w:rPr>
            </w:pPr>
          </w:p>
          <w:p w14:paraId="01E75CF2" w14:textId="1A8DDC54" w:rsidR="00FD7C34" w:rsidRPr="00FE635A" w:rsidRDefault="00523EC6" w:rsidP="004627DD">
            <w:pPr>
              <w:jc w:val="center"/>
              <w:rPr>
                <w:b/>
                <w:sz w:val="20"/>
                <w:szCs w:val="20"/>
              </w:rPr>
            </w:pPr>
            <w:r>
              <w:rPr>
                <w:b/>
                <w:sz w:val="20"/>
                <w:szCs w:val="20"/>
              </w:rPr>
              <w:t>CRISTIAN JIMENEZ</w:t>
            </w:r>
          </w:p>
          <w:p w14:paraId="23E57261" w14:textId="0D87CBE0" w:rsidR="00FD7C34" w:rsidRPr="00FE635A" w:rsidRDefault="00523EC6" w:rsidP="004627DD">
            <w:pPr>
              <w:jc w:val="center"/>
              <w:rPr>
                <w:b/>
                <w:sz w:val="20"/>
                <w:szCs w:val="20"/>
              </w:rPr>
            </w:pPr>
            <w:r>
              <w:rPr>
                <w:sz w:val="20"/>
                <w:szCs w:val="20"/>
              </w:rPr>
              <w:t>Profesional de Calidad y Riesgos</w:t>
            </w:r>
          </w:p>
        </w:tc>
        <w:tc>
          <w:tcPr>
            <w:tcW w:w="2557" w:type="dxa"/>
            <w:tcBorders>
              <w:top w:val="nil"/>
            </w:tcBorders>
          </w:tcPr>
          <w:p w14:paraId="3461AB23" w14:textId="77777777" w:rsidR="00FD7C34" w:rsidRPr="00FE635A" w:rsidRDefault="00FD7C34" w:rsidP="004627DD">
            <w:pPr>
              <w:jc w:val="center"/>
              <w:rPr>
                <w:sz w:val="20"/>
                <w:szCs w:val="20"/>
              </w:rPr>
            </w:pPr>
          </w:p>
          <w:p w14:paraId="21EF3B87" w14:textId="05912F69" w:rsidR="00FD7C34" w:rsidRPr="00FE635A" w:rsidRDefault="00FD7C34" w:rsidP="004627DD">
            <w:pPr>
              <w:jc w:val="center"/>
              <w:rPr>
                <w:b/>
                <w:sz w:val="20"/>
                <w:szCs w:val="20"/>
              </w:rPr>
            </w:pPr>
          </w:p>
          <w:p w14:paraId="71CB6D67" w14:textId="4657148E" w:rsidR="00FD7C34" w:rsidRPr="00FE635A" w:rsidRDefault="00523EC6" w:rsidP="004627DD">
            <w:pPr>
              <w:jc w:val="center"/>
              <w:rPr>
                <w:b/>
                <w:sz w:val="20"/>
                <w:szCs w:val="20"/>
              </w:rPr>
            </w:pPr>
            <w:r>
              <w:rPr>
                <w:b/>
                <w:sz w:val="20"/>
                <w:szCs w:val="20"/>
              </w:rPr>
              <w:t>MAURICIO ENRIQUEZ</w:t>
            </w:r>
          </w:p>
          <w:p w14:paraId="2430ED93" w14:textId="39CC88F3" w:rsidR="00FD7C34" w:rsidRPr="00FE635A" w:rsidRDefault="00523EC6" w:rsidP="004627DD">
            <w:pPr>
              <w:jc w:val="center"/>
              <w:rPr>
                <w:b/>
                <w:sz w:val="20"/>
                <w:szCs w:val="20"/>
              </w:rPr>
            </w:pPr>
            <w:r>
              <w:rPr>
                <w:sz w:val="20"/>
                <w:szCs w:val="20"/>
              </w:rPr>
              <w:t>Director Ejecutivo</w:t>
            </w:r>
          </w:p>
        </w:tc>
      </w:tr>
    </w:tbl>
    <w:p w14:paraId="3BAE9ACC" w14:textId="02BA96F2" w:rsidR="00FD7C34" w:rsidRDefault="00FD7C34" w:rsidP="00FE635A">
      <w:pPr>
        <w:widowControl w:val="0"/>
        <w:autoSpaceDE w:val="0"/>
        <w:autoSpaceDN w:val="0"/>
        <w:rPr>
          <w:rFonts w:eastAsia="Verdana" w:cs="Verdana"/>
          <w:lang w:val="es-ES"/>
        </w:rPr>
      </w:pPr>
    </w:p>
    <w:p w14:paraId="2818FC12" w14:textId="54651C5E" w:rsidR="001D4E35" w:rsidRPr="001D4E35" w:rsidRDefault="00FD7C34" w:rsidP="007D6368">
      <w:pPr>
        <w:spacing w:after="160" w:line="259" w:lineRule="auto"/>
        <w:jc w:val="left"/>
        <w:rPr>
          <w:rFonts w:eastAsia="Verdana" w:cs="Verdana"/>
          <w:lang w:val="es-ES"/>
        </w:rPr>
      </w:pPr>
      <w:r>
        <w:rPr>
          <w:rFonts w:eastAsia="Verdana" w:cs="Verdana"/>
          <w:lang w:val="es-ES"/>
        </w:rPr>
        <w:br w:type="page"/>
      </w:r>
    </w:p>
    <w:p w14:paraId="618AF755" w14:textId="77777777" w:rsidR="001D4E35" w:rsidRPr="001D4E35" w:rsidRDefault="001D4E35" w:rsidP="001D4E35">
      <w:pPr>
        <w:widowControl w:val="0"/>
        <w:numPr>
          <w:ilvl w:val="0"/>
          <w:numId w:val="18"/>
        </w:numPr>
        <w:autoSpaceDE w:val="0"/>
        <w:autoSpaceDN w:val="0"/>
        <w:rPr>
          <w:rFonts w:eastAsia="Verdana" w:cs="Verdana"/>
          <w:b/>
          <w:lang w:val="es-CO"/>
        </w:rPr>
      </w:pPr>
      <w:r w:rsidRPr="001D4E35">
        <w:rPr>
          <w:rFonts w:eastAsia="Verdana" w:cs="Verdana"/>
          <w:b/>
          <w:lang w:val="es-CO"/>
        </w:rPr>
        <w:lastRenderedPageBreak/>
        <w:t>OBJETIVO</w:t>
      </w:r>
    </w:p>
    <w:p w14:paraId="2B3F6BF2" w14:textId="77777777" w:rsidR="001D4E35" w:rsidRPr="001D4E35" w:rsidRDefault="001D4E35" w:rsidP="001D4E35">
      <w:pPr>
        <w:widowControl w:val="0"/>
        <w:autoSpaceDE w:val="0"/>
        <w:autoSpaceDN w:val="0"/>
        <w:rPr>
          <w:rFonts w:eastAsia="Verdana" w:cs="Verdana"/>
          <w:lang w:val="es-ES"/>
        </w:rPr>
      </w:pPr>
      <w:r w:rsidRPr="001D4E35">
        <w:rPr>
          <w:rFonts w:eastAsia="Verdana" w:cs="Verdana"/>
          <w:lang w:val="es-ES"/>
        </w:rPr>
        <w:t>Identificar y brindar una asistencia humanizada a las familias durante el proceso de preparación al inminente fallecimiento de su paciente, en el ambiente hospitalario, acompañado en un contexto de respeto y consideración fomentado por parte del grupo asistencial, el equipo de apoyo final de vida y administrativo.</w:t>
      </w:r>
    </w:p>
    <w:p w14:paraId="325E3947" w14:textId="496E8709" w:rsidR="001D4E35" w:rsidRPr="001D4E35" w:rsidRDefault="001D4E35" w:rsidP="001D4E35">
      <w:pPr>
        <w:widowControl w:val="0"/>
        <w:autoSpaceDE w:val="0"/>
        <w:autoSpaceDN w:val="0"/>
        <w:rPr>
          <w:rFonts w:eastAsia="Verdana" w:cs="Verdana"/>
          <w:lang w:val="es-ES"/>
        </w:rPr>
      </w:pPr>
    </w:p>
    <w:p w14:paraId="63C81495" w14:textId="77777777" w:rsidR="001D4E35" w:rsidRPr="001D4E35" w:rsidRDefault="001D4E35" w:rsidP="001D4E35">
      <w:pPr>
        <w:widowControl w:val="0"/>
        <w:numPr>
          <w:ilvl w:val="0"/>
          <w:numId w:val="18"/>
        </w:numPr>
        <w:autoSpaceDE w:val="0"/>
        <w:autoSpaceDN w:val="0"/>
        <w:rPr>
          <w:rFonts w:eastAsia="Verdana" w:cs="Verdana"/>
          <w:b/>
          <w:lang w:val="es-CO"/>
        </w:rPr>
      </w:pPr>
      <w:r w:rsidRPr="001D4E35">
        <w:rPr>
          <w:rFonts w:eastAsia="Verdana" w:cs="Verdana"/>
          <w:b/>
          <w:lang w:val="es-CO"/>
        </w:rPr>
        <w:t xml:space="preserve">ALCANCE </w:t>
      </w:r>
    </w:p>
    <w:p w14:paraId="0DCA9663" w14:textId="77777777" w:rsidR="001D4E35" w:rsidRPr="001D4E35" w:rsidRDefault="001D4E35" w:rsidP="001D4E35">
      <w:pPr>
        <w:widowControl w:val="0"/>
        <w:autoSpaceDE w:val="0"/>
        <w:autoSpaceDN w:val="0"/>
        <w:rPr>
          <w:rFonts w:eastAsia="Verdana" w:cs="Verdana"/>
          <w:lang w:val="es-ES"/>
        </w:rPr>
      </w:pPr>
      <w:r w:rsidRPr="001D4E35">
        <w:rPr>
          <w:rFonts w:eastAsia="Verdana" w:cs="Verdana"/>
          <w:lang w:val="es-ES"/>
        </w:rPr>
        <w:t>El acompañamiento al final de la vida está especialmente indicado para aquellas personas que deseen ser ayudadas a conducir su proceso emocional y espiritual de acercamiento a la muerte, o quieran compartir sus inquietudes y pensamientos con un interlocutor experimentado. Está pensado para pacientes y sus familiares, si lo desean dispuestos a trabajar por un buen cierre de vida y por un final en paz.</w:t>
      </w:r>
    </w:p>
    <w:p w14:paraId="2FF809EA" w14:textId="77777777" w:rsidR="001D4E35" w:rsidRPr="001D4E35" w:rsidRDefault="001D4E35" w:rsidP="001D4E35">
      <w:pPr>
        <w:widowControl w:val="0"/>
        <w:autoSpaceDE w:val="0"/>
        <w:autoSpaceDN w:val="0"/>
        <w:rPr>
          <w:rFonts w:eastAsia="Verdana" w:cs="Verdana"/>
          <w:lang w:val="es-ES"/>
        </w:rPr>
      </w:pPr>
    </w:p>
    <w:p w14:paraId="59A12774" w14:textId="77777777" w:rsidR="001D4E35" w:rsidRPr="001D4E35" w:rsidRDefault="001D4E35" w:rsidP="001D4E35">
      <w:pPr>
        <w:widowControl w:val="0"/>
        <w:numPr>
          <w:ilvl w:val="0"/>
          <w:numId w:val="18"/>
        </w:numPr>
        <w:autoSpaceDE w:val="0"/>
        <w:autoSpaceDN w:val="0"/>
        <w:rPr>
          <w:rFonts w:eastAsia="Verdana" w:cs="Verdana"/>
          <w:b/>
          <w:lang w:val="es-CO"/>
        </w:rPr>
      </w:pPr>
      <w:r w:rsidRPr="001D4E35">
        <w:rPr>
          <w:rFonts w:eastAsia="Verdana" w:cs="Verdana"/>
          <w:b/>
          <w:lang w:val="es-CO"/>
        </w:rPr>
        <w:t>MATERIALES, EQUIPOS E INSUMOS</w:t>
      </w:r>
    </w:p>
    <w:p w14:paraId="66CEFF7F" w14:textId="619081AA" w:rsidR="001D4E35" w:rsidRPr="001D4E35" w:rsidRDefault="001D4E35" w:rsidP="001D4E35">
      <w:pPr>
        <w:widowControl w:val="0"/>
        <w:autoSpaceDE w:val="0"/>
        <w:autoSpaceDN w:val="0"/>
        <w:rPr>
          <w:rFonts w:eastAsia="Verdana" w:cs="Verdana"/>
          <w:lang w:val="es-ES"/>
        </w:rPr>
      </w:pPr>
      <w:r w:rsidRPr="001D4E35">
        <w:rPr>
          <w:rFonts w:eastAsia="Verdana" w:cs="Verdana"/>
          <w:lang w:val="es-ES"/>
        </w:rPr>
        <w:t>Ambientes que favorezcan la privacidad y la confidencialidad en el proceso de atención del paciente y su grupo familiar.</w:t>
      </w:r>
    </w:p>
    <w:p w14:paraId="2E2C9C21" w14:textId="77777777" w:rsidR="001D4E35" w:rsidRPr="001D4E35" w:rsidRDefault="001D4E35" w:rsidP="001D4E35">
      <w:pPr>
        <w:widowControl w:val="0"/>
        <w:autoSpaceDE w:val="0"/>
        <w:autoSpaceDN w:val="0"/>
        <w:rPr>
          <w:rFonts w:eastAsia="Verdana" w:cs="Verdana"/>
          <w:lang w:val="es-ES"/>
        </w:rPr>
      </w:pPr>
    </w:p>
    <w:p w14:paraId="006E7489" w14:textId="77777777" w:rsidR="001D4E35" w:rsidRPr="001D4E35" w:rsidRDefault="001D4E35" w:rsidP="001D4E35">
      <w:pPr>
        <w:widowControl w:val="0"/>
        <w:numPr>
          <w:ilvl w:val="0"/>
          <w:numId w:val="18"/>
        </w:numPr>
        <w:autoSpaceDE w:val="0"/>
        <w:autoSpaceDN w:val="0"/>
        <w:rPr>
          <w:rFonts w:eastAsia="Verdana" w:cs="Verdana"/>
          <w:b/>
          <w:lang w:val="es-CO"/>
        </w:rPr>
      </w:pPr>
      <w:r w:rsidRPr="001D4E35">
        <w:rPr>
          <w:rFonts w:eastAsia="Verdana" w:cs="Verdana"/>
          <w:b/>
          <w:lang w:val="es-CO"/>
        </w:rPr>
        <w:t>RIESGOS Y COMPLICACIONES</w:t>
      </w:r>
    </w:p>
    <w:p w14:paraId="28795761" w14:textId="4DF7B264" w:rsidR="001D4E35" w:rsidRPr="001D4E35" w:rsidRDefault="001D4E35" w:rsidP="001D4E35">
      <w:pPr>
        <w:widowControl w:val="0"/>
        <w:autoSpaceDE w:val="0"/>
        <w:autoSpaceDN w:val="0"/>
        <w:rPr>
          <w:rFonts w:eastAsia="Verdana" w:cs="Verdana"/>
          <w:lang w:val="es-ES"/>
        </w:rPr>
      </w:pPr>
      <w:r w:rsidRPr="001D4E35">
        <w:rPr>
          <w:rFonts w:eastAsia="Verdana" w:cs="Verdana"/>
          <w:lang w:val="es-ES"/>
        </w:rPr>
        <w:t xml:space="preserve">La ausencia de un protocolo Lila en Red </w:t>
      </w:r>
      <w:proofErr w:type="spellStart"/>
      <w:r w:rsidRPr="001D4E35">
        <w:rPr>
          <w:rFonts w:eastAsia="Verdana" w:cs="Verdana"/>
          <w:lang w:val="es-ES"/>
        </w:rPr>
        <w:t>Medicro</w:t>
      </w:r>
      <w:r>
        <w:rPr>
          <w:rFonts w:eastAsia="Verdana" w:cs="Verdana"/>
          <w:lang w:val="es-ES"/>
        </w:rPr>
        <w:t>n</w:t>
      </w:r>
      <w:proofErr w:type="spellEnd"/>
      <w:r w:rsidR="00A8710E">
        <w:rPr>
          <w:rFonts w:eastAsia="Verdana" w:cs="Verdana"/>
          <w:lang w:val="es-ES"/>
        </w:rPr>
        <w:t xml:space="preserve"> IPS</w:t>
      </w:r>
      <w:r w:rsidRPr="001D4E35">
        <w:rPr>
          <w:rFonts w:eastAsia="Verdana" w:cs="Verdana"/>
          <w:lang w:val="es-ES"/>
        </w:rPr>
        <w:t>, es decir, la falta de una normativa clara y estructurada sobre, el cuidado paliativo y la atención ética al final de la vida, puede generar una serie de riesgos y complicaciones tanto para los pacientes como para el personal médico y el sistema de salud en general. A continuación, se exponen los principales riesgos de no contar con un protocolo código lila.</w:t>
      </w:r>
    </w:p>
    <w:p w14:paraId="5219F323" w14:textId="77777777" w:rsidR="001D4E35" w:rsidRPr="001D4E35" w:rsidRDefault="001D4E35" w:rsidP="001D4E35">
      <w:pPr>
        <w:widowControl w:val="0"/>
        <w:numPr>
          <w:ilvl w:val="0"/>
          <w:numId w:val="19"/>
        </w:numPr>
        <w:autoSpaceDE w:val="0"/>
        <w:autoSpaceDN w:val="0"/>
        <w:rPr>
          <w:rFonts w:eastAsia="Verdana" w:cs="Verdana"/>
          <w:lang w:val="es-CO"/>
        </w:rPr>
      </w:pPr>
      <w:r w:rsidRPr="001D4E35">
        <w:rPr>
          <w:rFonts w:eastAsia="Verdana" w:cs="Verdana"/>
          <w:lang w:val="es-CO"/>
        </w:rPr>
        <w:t>Falta de cuidados paliativos adecuados</w:t>
      </w:r>
    </w:p>
    <w:p w14:paraId="48917552" w14:textId="77777777" w:rsidR="001D4E35" w:rsidRPr="001D4E35" w:rsidRDefault="001D4E35" w:rsidP="001D4E35">
      <w:pPr>
        <w:widowControl w:val="0"/>
        <w:numPr>
          <w:ilvl w:val="0"/>
          <w:numId w:val="19"/>
        </w:numPr>
        <w:autoSpaceDE w:val="0"/>
        <w:autoSpaceDN w:val="0"/>
        <w:rPr>
          <w:rFonts w:eastAsia="Verdana" w:cs="Verdana"/>
          <w:lang w:val="es-CO"/>
        </w:rPr>
      </w:pPr>
      <w:r w:rsidRPr="001D4E35">
        <w:rPr>
          <w:rFonts w:eastAsia="Verdana" w:cs="Verdana"/>
          <w:lang w:val="es-CO"/>
        </w:rPr>
        <w:t>experiencia de muerte prolongada y dolorosa.</w:t>
      </w:r>
    </w:p>
    <w:p w14:paraId="0F4EA6A8" w14:textId="77777777" w:rsidR="001D4E35" w:rsidRPr="001D4E35" w:rsidRDefault="001D4E35" w:rsidP="001D4E35">
      <w:pPr>
        <w:widowControl w:val="0"/>
        <w:numPr>
          <w:ilvl w:val="0"/>
          <w:numId w:val="19"/>
        </w:numPr>
        <w:autoSpaceDE w:val="0"/>
        <w:autoSpaceDN w:val="0"/>
        <w:rPr>
          <w:rFonts w:eastAsia="Verdana" w:cs="Verdana"/>
          <w:lang w:val="es-CO"/>
        </w:rPr>
      </w:pPr>
      <w:r w:rsidRPr="001D4E35">
        <w:rPr>
          <w:rFonts w:eastAsia="Verdana" w:cs="Verdana"/>
          <w:lang w:val="es-CO"/>
        </w:rPr>
        <w:t>Falta de respeto por la autonomía del paciente:</w:t>
      </w:r>
    </w:p>
    <w:p w14:paraId="575C22AB" w14:textId="77777777" w:rsidR="001D4E35" w:rsidRPr="001D4E35" w:rsidRDefault="001D4E35" w:rsidP="001D4E35">
      <w:pPr>
        <w:widowControl w:val="0"/>
        <w:numPr>
          <w:ilvl w:val="0"/>
          <w:numId w:val="19"/>
        </w:numPr>
        <w:autoSpaceDE w:val="0"/>
        <w:autoSpaceDN w:val="0"/>
        <w:rPr>
          <w:rFonts w:eastAsia="Verdana" w:cs="Verdana"/>
          <w:lang w:val="es-CO"/>
        </w:rPr>
      </w:pPr>
      <w:r w:rsidRPr="001D4E35">
        <w:rPr>
          <w:rFonts w:eastAsia="Verdana" w:cs="Verdana"/>
          <w:lang w:val="es-CO"/>
        </w:rPr>
        <w:t>Inequidad en la atención:</w:t>
      </w:r>
    </w:p>
    <w:p w14:paraId="04AAD756" w14:textId="77777777" w:rsidR="001D4E35" w:rsidRPr="001D4E35" w:rsidRDefault="001D4E35" w:rsidP="001D4E35">
      <w:pPr>
        <w:widowControl w:val="0"/>
        <w:numPr>
          <w:ilvl w:val="0"/>
          <w:numId w:val="19"/>
        </w:numPr>
        <w:autoSpaceDE w:val="0"/>
        <w:autoSpaceDN w:val="0"/>
        <w:rPr>
          <w:rFonts w:eastAsia="Verdana" w:cs="Verdana"/>
          <w:lang w:val="es-CO"/>
        </w:rPr>
      </w:pPr>
      <w:r w:rsidRPr="001D4E35">
        <w:rPr>
          <w:rFonts w:eastAsia="Verdana" w:cs="Verdana"/>
          <w:lang w:val="es-CO"/>
        </w:rPr>
        <w:t>Discriminación o falta de apoyo para ciertos grupos</w:t>
      </w:r>
    </w:p>
    <w:p w14:paraId="2913B039" w14:textId="77777777" w:rsidR="001D4E35" w:rsidRPr="001D4E35" w:rsidRDefault="001D4E35" w:rsidP="001D4E35">
      <w:pPr>
        <w:widowControl w:val="0"/>
        <w:autoSpaceDE w:val="0"/>
        <w:autoSpaceDN w:val="0"/>
        <w:rPr>
          <w:rFonts w:eastAsia="Verdana" w:cs="Verdana"/>
          <w:lang w:val="es-ES"/>
        </w:rPr>
      </w:pPr>
    </w:p>
    <w:p w14:paraId="735C3419" w14:textId="77777777" w:rsidR="001D4E35" w:rsidRPr="001D4E35" w:rsidRDefault="001D4E35" w:rsidP="001D4E35">
      <w:pPr>
        <w:widowControl w:val="0"/>
        <w:numPr>
          <w:ilvl w:val="0"/>
          <w:numId w:val="18"/>
        </w:numPr>
        <w:autoSpaceDE w:val="0"/>
        <w:autoSpaceDN w:val="0"/>
        <w:rPr>
          <w:rFonts w:eastAsia="Verdana" w:cs="Verdana"/>
          <w:lang w:val="es-CO"/>
        </w:rPr>
      </w:pPr>
      <w:r w:rsidRPr="001D4E35">
        <w:rPr>
          <w:rFonts w:eastAsia="Verdana" w:cs="Verdana"/>
          <w:b/>
          <w:bCs/>
          <w:lang w:val="es-CO"/>
        </w:rPr>
        <w:t>DEFINICIONES</w:t>
      </w:r>
    </w:p>
    <w:p w14:paraId="3347A888" w14:textId="77777777" w:rsidR="001D4E35" w:rsidRPr="001D4E35" w:rsidRDefault="001D4E35" w:rsidP="001D4E35">
      <w:pPr>
        <w:pStyle w:val="Prrafodelista"/>
        <w:widowControl w:val="0"/>
        <w:numPr>
          <w:ilvl w:val="0"/>
          <w:numId w:val="33"/>
        </w:numPr>
        <w:autoSpaceDE w:val="0"/>
        <w:autoSpaceDN w:val="0"/>
        <w:rPr>
          <w:rFonts w:eastAsia="Verdana" w:cs="Verdana"/>
          <w:lang w:val="es-CO"/>
        </w:rPr>
      </w:pPr>
      <w:r w:rsidRPr="001D4E35">
        <w:rPr>
          <w:rFonts w:eastAsia="Verdana" w:cs="Verdana"/>
          <w:b/>
          <w:bCs/>
          <w:lang w:val="es-CO"/>
        </w:rPr>
        <w:t>CUIDADOS PALIATIVOS:</w:t>
      </w:r>
      <w:r w:rsidRPr="001D4E35">
        <w:rPr>
          <w:rFonts w:eastAsia="Verdana" w:cs="Verdana"/>
          <w:lang w:val="es-CO"/>
        </w:rPr>
        <w:t xml:space="preserve"> se concentran en mejorar la calidad de la vida ayudando a pacientes y cuidadores a tratar los síntomas de enfermedades graves y los efectos secundarios de los tratamientos. Están diseñados para que el equipo de atención médica ayude a las personas que padecen una enfermedad grave a vivir tan bien como sea posible por tanto tiempo como puedan.</w:t>
      </w:r>
    </w:p>
    <w:p w14:paraId="5F193036" w14:textId="77777777" w:rsidR="001D4E35" w:rsidRPr="001D4E35" w:rsidRDefault="001D4E35" w:rsidP="001D4E35">
      <w:pPr>
        <w:pStyle w:val="Prrafodelista"/>
        <w:widowControl w:val="0"/>
        <w:numPr>
          <w:ilvl w:val="0"/>
          <w:numId w:val="33"/>
        </w:numPr>
        <w:autoSpaceDE w:val="0"/>
        <w:autoSpaceDN w:val="0"/>
        <w:rPr>
          <w:rFonts w:eastAsia="Verdana" w:cs="Verdana"/>
          <w:lang w:val="es-CO"/>
        </w:rPr>
      </w:pPr>
      <w:r w:rsidRPr="001D4E35">
        <w:rPr>
          <w:rFonts w:eastAsia="Verdana" w:cs="Verdana"/>
          <w:b/>
          <w:bCs/>
          <w:lang w:val="es-CO"/>
        </w:rPr>
        <w:t xml:space="preserve">ENFERMO EN FASE TERMINAL:  </w:t>
      </w:r>
      <w:r w:rsidRPr="001D4E35">
        <w:rPr>
          <w:rFonts w:eastAsia="Verdana" w:cs="Verdana"/>
          <w:lang w:val="es-CO"/>
        </w:rPr>
        <w:t>se define como enfermo en fase terminal a todo aquel que es portador de una enfermedad o condición patológica grave, que haya sido diagnosticada en forma precisa por un médico experto, que demuestre un carácter progresivo e irreversible, con pronóstico fatal próximo o en plazo relativamente breve, que no sea susceptible de un tratamiento curativo y de eficacia comprobada, que permita modificar el pronóstico de muerte próxima; o cuando los recursos terapéuticos utilizados con fines curativos han dejado de ser eficaces.</w:t>
      </w:r>
    </w:p>
    <w:p w14:paraId="645B7A68" w14:textId="112B61AC" w:rsidR="001D4E35" w:rsidRDefault="001D4E35" w:rsidP="001D4E35">
      <w:pPr>
        <w:pStyle w:val="Prrafodelista"/>
        <w:widowControl w:val="0"/>
        <w:numPr>
          <w:ilvl w:val="0"/>
          <w:numId w:val="33"/>
        </w:numPr>
        <w:autoSpaceDE w:val="0"/>
        <w:autoSpaceDN w:val="0"/>
        <w:rPr>
          <w:rFonts w:eastAsia="Verdana" w:cs="Verdana"/>
          <w:lang w:val="es-CO"/>
        </w:rPr>
      </w:pPr>
      <w:r w:rsidRPr="001D4E35">
        <w:rPr>
          <w:rFonts w:eastAsia="Verdana" w:cs="Verdana"/>
          <w:b/>
          <w:bCs/>
          <w:lang w:val="es-CO"/>
        </w:rPr>
        <w:t>DUELO:</w:t>
      </w:r>
      <w:r w:rsidRPr="001D4E35">
        <w:rPr>
          <w:rFonts w:eastAsia="Verdana" w:cs="Verdana"/>
          <w:lang w:val="es-CO"/>
        </w:rPr>
        <w:t xml:space="preserve"> el duelo ocurre o se inicia inmediatamente después, o en los meses </w:t>
      </w:r>
      <w:r w:rsidRPr="001D4E35">
        <w:rPr>
          <w:rFonts w:eastAsia="Verdana" w:cs="Verdana"/>
          <w:lang w:val="es-CO"/>
        </w:rPr>
        <w:lastRenderedPageBreak/>
        <w:t>siguientes</w:t>
      </w:r>
      <w:r w:rsidRPr="001D4E35">
        <w:rPr>
          <w:rFonts w:eastAsia="Verdana" w:cs="Verdana"/>
          <w:i/>
          <w:iCs/>
          <w:lang w:val="es-CO"/>
        </w:rPr>
        <w:t> </w:t>
      </w:r>
      <w:r w:rsidRPr="001D4E35">
        <w:rPr>
          <w:rFonts w:eastAsia="Verdana" w:cs="Verdana"/>
          <w:lang w:val="es-CO"/>
        </w:rPr>
        <w:t>a la muerte de un ser querido y está limitado a un período de tiempo que varía de persona en persona (no se extiende a lo largo de toda la vida). El duelo no siempre es consecutivo al fallecimiento. En múltiples casos el carácter previsible de la muerte del ser querido, provoca una reacción emocional que se denomina "duelo anticipado". Esta situación puede atenuar el choque emocional frente al deceso y facilitar la resolución del duelo posterior o bien estrechar la relación entre el moribundo y el doliente intensificando el posterior sentimiento de pérdida y complicando la correcta evolución.</w:t>
      </w:r>
    </w:p>
    <w:p w14:paraId="484EAFB1" w14:textId="77777777" w:rsidR="00B14EE0" w:rsidRPr="001D4E35" w:rsidRDefault="00B14EE0" w:rsidP="00B14EE0">
      <w:pPr>
        <w:pStyle w:val="Prrafodelista"/>
        <w:widowControl w:val="0"/>
        <w:autoSpaceDE w:val="0"/>
        <w:autoSpaceDN w:val="0"/>
        <w:rPr>
          <w:rFonts w:eastAsia="Verdana" w:cs="Verdana"/>
          <w:lang w:val="es-CO"/>
        </w:rPr>
      </w:pPr>
    </w:p>
    <w:p w14:paraId="2473CC1D" w14:textId="141BA9EF" w:rsidR="001D4E35" w:rsidRPr="001D4E35" w:rsidRDefault="001D4E35" w:rsidP="001D4E35">
      <w:pPr>
        <w:pStyle w:val="Prrafodelista"/>
        <w:widowControl w:val="0"/>
        <w:numPr>
          <w:ilvl w:val="0"/>
          <w:numId w:val="33"/>
        </w:numPr>
        <w:autoSpaceDE w:val="0"/>
        <w:autoSpaceDN w:val="0"/>
        <w:rPr>
          <w:rFonts w:eastAsia="Verdana" w:cs="Verdana"/>
          <w:lang w:val="es-CO"/>
        </w:rPr>
      </w:pPr>
      <w:r w:rsidRPr="001D4E35">
        <w:rPr>
          <w:rFonts w:eastAsia="Verdana" w:cs="Verdana"/>
          <w:b/>
          <w:lang w:val="es-CO"/>
        </w:rPr>
        <w:t>ATENCIÓN HUMANIZADA:</w:t>
      </w:r>
      <w:r w:rsidRPr="001D4E35">
        <w:rPr>
          <w:rFonts w:eastAsia="Verdana" w:cs="Verdana"/>
          <w:lang w:val="es-CO"/>
        </w:rPr>
        <w:t xml:space="preserve"> Las instituciones en salud deben garantizar la mejor atención al paciente y centrar la atención en el paciente, su familia y personal de salud, </w:t>
      </w:r>
      <w:r w:rsidR="00F12537" w:rsidRPr="001D4E35">
        <w:rPr>
          <w:rFonts w:eastAsia="Verdana" w:cs="Verdana"/>
          <w:lang w:val="es-CO"/>
        </w:rPr>
        <w:t>el paciente se cura más rápido</w:t>
      </w:r>
      <w:r w:rsidRPr="001D4E35">
        <w:rPr>
          <w:rFonts w:eastAsia="Verdana" w:cs="Verdana"/>
          <w:lang w:val="es-CO"/>
        </w:rPr>
        <w:t>, la atención brindada sube a nivel de excelencia, el acompañamiento y fidelidad de familiares y amigos se potencia.</w:t>
      </w:r>
    </w:p>
    <w:p w14:paraId="096A3055" w14:textId="77777777" w:rsidR="001D4E35" w:rsidRPr="001D4E35" w:rsidRDefault="001D4E35" w:rsidP="001D4E35">
      <w:pPr>
        <w:widowControl w:val="0"/>
        <w:autoSpaceDE w:val="0"/>
        <w:autoSpaceDN w:val="0"/>
        <w:rPr>
          <w:rFonts w:eastAsia="Verdana" w:cs="Verdana"/>
          <w:lang w:val="es-ES"/>
        </w:rPr>
      </w:pPr>
    </w:p>
    <w:p w14:paraId="16CFAC8E" w14:textId="6397BC14" w:rsidR="007D6368" w:rsidRDefault="007D6368" w:rsidP="001D4E35">
      <w:pPr>
        <w:widowControl w:val="0"/>
        <w:numPr>
          <w:ilvl w:val="0"/>
          <w:numId w:val="18"/>
        </w:numPr>
        <w:autoSpaceDE w:val="0"/>
        <w:autoSpaceDN w:val="0"/>
        <w:rPr>
          <w:rFonts w:eastAsia="Verdana" w:cs="Verdana"/>
          <w:b/>
          <w:lang w:val="es-CO"/>
        </w:rPr>
      </w:pPr>
      <w:r>
        <w:rPr>
          <w:rFonts w:eastAsia="Verdana" w:cs="Verdana"/>
          <w:b/>
          <w:lang w:val="es-CO"/>
        </w:rPr>
        <w:t>DESCRIPCIÓN DE ACTIVIDADES</w:t>
      </w:r>
    </w:p>
    <w:p w14:paraId="537D1818" w14:textId="6CF0EFD1" w:rsidR="001D4E35" w:rsidRPr="004D3EE5" w:rsidRDefault="001D4E35" w:rsidP="001D4E35">
      <w:pPr>
        <w:pStyle w:val="Prrafodelista"/>
        <w:widowControl w:val="0"/>
        <w:numPr>
          <w:ilvl w:val="1"/>
          <w:numId w:val="18"/>
        </w:numPr>
        <w:autoSpaceDE w:val="0"/>
        <w:autoSpaceDN w:val="0"/>
        <w:rPr>
          <w:rFonts w:eastAsia="Verdana" w:cs="Verdana"/>
          <w:b/>
          <w:lang w:val="es-CO"/>
        </w:rPr>
      </w:pPr>
      <w:r w:rsidRPr="007D6368">
        <w:rPr>
          <w:rFonts w:eastAsia="Verdana" w:cs="Verdana"/>
          <w:b/>
          <w:lang w:val="es-CO"/>
        </w:rPr>
        <w:t>ACTIVIDADES QUE HACEN PARTE DEL PROTOCOLO DE ATENCIÓN DE CÓDIGO LILA:</w:t>
      </w:r>
    </w:p>
    <w:p w14:paraId="0112222C" w14:textId="689C23C7" w:rsidR="001D4E35" w:rsidRPr="007D6368" w:rsidRDefault="001D4E35" w:rsidP="004D3EE5">
      <w:pPr>
        <w:pStyle w:val="Prrafodelista"/>
        <w:widowControl w:val="0"/>
        <w:numPr>
          <w:ilvl w:val="2"/>
          <w:numId w:val="18"/>
        </w:numPr>
        <w:autoSpaceDE w:val="0"/>
        <w:autoSpaceDN w:val="0"/>
        <w:rPr>
          <w:rFonts w:eastAsia="Verdana" w:cs="Verdana"/>
          <w:lang w:val="es-CO"/>
        </w:rPr>
      </w:pPr>
      <w:r w:rsidRPr="007D6368">
        <w:rPr>
          <w:rFonts w:eastAsia="Verdana" w:cs="Verdana"/>
          <w:b/>
          <w:lang w:val="es-CO"/>
        </w:rPr>
        <w:t>Desde la parte medica</w:t>
      </w:r>
      <w:r w:rsidRPr="007D6368">
        <w:rPr>
          <w:rFonts w:eastAsia="Verdana" w:cs="Verdana"/>
          <w:lang w:val="es-CO"/>
        </w:rPr>
        <w:t xml:space="preserve">: </w:t>
      </w:r>
    </w:p>
    <w:p w14:paraId="2FB5901B" w14:textId="737C8AF9" w:rsidR="001D4E35" w:rsidRPr="001D4E35" w:rsidRDefault="001D4E35" w:rsidP="001D4E35">
      <w:pPr>
        <w:widowControl w:val="0"/>
        <w:numPr>
          <w:ilvl w:val="0"/>
          <w:numId w:val="28"/>
        </w:numPr>
        <w:autoSpaceDE w:val="0"/>
        <w:autoSpaceDN w:val="0"/>
        <w:rPr>
          <w:rFonts w:eastAsia="Verdana" w:cs="Verdana"/>
          <w:lang w:val="es-CO"/>
        </w:rPr>
      </w:pPr>
      <w:r w:rsidRPr="001D4E35">
        <w:rPr>
          <w:rFonts w:eastAsia="Verdana" w:cs="Verdana"/>
          <w:lang w:val="es-CO"/>
        </w:rPr>
        <w:t>Personal médico brindara una adecuada información a la f</w:t>
      </w:r>
      <w:r w:rsidR="00F12537">
        <w:rPr>
          <w:rFonts w:eastAsia="Verdana" w:cs="Verdana"/>
          <w:lang w:val="es-CO"/>
        </w:rPr>
        <w:t xml:space="preserve">amilia del paciente </w:t>
      </w:r>
      <w:r w:rsidRPr="001D4E35">
        <w:rPr>
          <w:rFonts w:eastAsia="Verdana" w:cs="Verdana"/>
          <w:lang w:val="es-CO"/>
        </w:rPr>
        <w:t xml:space="preserve">sobre su </w:t>
      </w:r>
      <w:r w:rsidR="00F12537" w:rsidRPr="001D4E35">
        <w:rPr>
          <w:rFonts w:eastAsia="Verdana" w:cs="Verdana"/>
          <w:lang w:val="es-CO"/>
        </w:rPr>
        <w:t>diagnóstico</w:t>
      </w:r>
      <w:r w:rsidRPr="001D4E35">
        <w:rPr>
          <w:rFonts w:eastAsia="Verdana" w:cs="Verdana"/>
          <w:lang w:val="es-CO"/>
        </w:rPr>
        <w:t xml:space="preserve"> con el fin de poder preparar a la experiencia de la </w:t>
      </w:r>
      <w:proofErr w:type="spellStart"/>
      <w:r w:rsidRPr="001D4E35">
        <w:rPr>
          <w:rFonts w:eastAsia="Verdana" w:cs="Verdana"/>
          <w:lang w:val="es-CO"/>
        </w:rPr>
        <w:t>perdida</w:t>
      </w:r>
      <w:proofErr w:type="spellEnd"/>
      <w:r w:rsidRPr="001D4E35">
        <w:rPr>
          <w:rFonts w:eastAsia="Verdana" w:cs="Verdana"/>
          <w:lang w:val="es-CO"/>
        </w:rPr>
        <w:t xml:space="preserve"> para así favorecer espacios de reconciliación y sanación emocional entre la familia y su ser querido.</w:t>
      </w:r>
    </w:p>
    <w:p w14:paraId="63663665" w14:textId="77777777" w:rsidR="001D4E35" w:rsidRPr="001D4E35" w:rsidRDefault="001D4E35" w:rsidP="001D4E35">
      <w:pPr>
        <w:widowControl w:val="0"/>
        <w:numPr>
          <w:ilvl w:val="0"/>
          <w:numId w:val="27"/>
        </w:numPr>
        <w:autoSpaceDE w:val="0"/>
        <w:autoSpaceDN w:val="0"/>
        <w:rPr>
          <w:rFonts w:eastAsia="Verdana" w:cs="Verdana"/>
          <w:lang w:val="es-CO"/>
        </w:rPr>
      </w:pPr>
      <w:r w:rsidRPr="001D4E35">
        <w:rPr>
          <w:rFonts w:eastAsia="Verdana" w:cs="Verdana"/>
          <w:lang w:val="es-CO"/>
        </w:rPr>
        <w:t>Elaborar certificado de defunción según el caso.</w:t>
      </w:r>
    </w:p>
    <w:p w14:paraId="6341BD2F" w14:textId="608CE5FC" w:rsidR="001D4E35" w:rsidRPr="007D6368" w:rsidRDefault="001D4E35" w:rsidP="004D3EE5">
      <w:pPr>
        <w:pStyle w:val="Prrafodelista"/>
        <w:widowControl w:val="0"/>
        <w:numPr>
          <w:ilvl w:val="2"/>
          <w:numId w:val="18"/>
        </w:numPr>
        <w:autoSpaceDE w:val="0"/>
        <w:autoSpaceDN w:val="0"/>
        <w:rPr>
          <w:rFonts w:eastAsia="Verdana" w:cs="Verdana"/>
          <w:lang w:val="es-CO"/>
        </w:rPr>
      </w:pPr>
      <w:r w:rsidRPr="007D6368">
        <w:rPr>
          <w:rFonts w:eastAsia="Verdana" w:cs="Verdana"/>
          <w:b/>
          <w:lang w:val="es-CO"/>
        </w:rPr>
        <w:t xml:space="preserve">Personal de </w:t>
      </w:r>
      <w:r w:rsidR="00F12537" w:rsidRPr="007D6368">
        <w:rPr>
          <w:rFonts w:eastAsia="Verdana" w:cs="Verdana"/>
          <w:b/>
          <w:lang w:val="es-CO"/>
        </w:rPr>
        <w:t>enfermería</w:t>
      </w:r>
      <w:r w:rsidRPr="007D6368">
        <w:rPr>
          <w:rFonts w:eastAsia="Verdana" w:cs="Verdana"/>
          <w:lang w:val="es-CO"/>
        </w:rPr>
        <w:t>:</w:t>
      </w:r>
    </w:p>
    <w:p w14:paraId="6C03993A" w14:textId="77777777" w:rsidR="001D4E35" w:rsidRPr="001D4E35" w:rsidRDefault="001D4E35" w:rsidP="001D4E35">
      <w:pPr>
        <w:widowControl w:val="0"/>
        <w:numPr>
          <w:ilvl w:val="0"/>
          <w:numId w:val="25"/>
        </w:numPr>
        <w:autoSpaceDE w:val="0"/>
        <w:autoSpaceDN w:val="0"/>
        <w:rPr>
          <w:rFonts w:eastAsia="Verdana" w:cs="Verdana"/>
          <w:lang w:val="es-CO"/>
        </w:rPr>
      </w:pPr>
      <w:r w:rsidRPr="001D4E35">
        <w:rPr>
          <w:rFonts w:eastAsia="Verdana" w:cs="Verdana"/>
          <w:lang w:val="es-CO"/>
        </w:rPr>
        <w:t>Identifica al paciente y activa el Código Lila.</w:t>
      </w:r>
    </w:p>
    <w:p w14:paraId="611A2826" w14:textId="77777777" w:rsidR="001D4E35" w:rsidRPr="001D4E35" w:rsidRDefault="001D4E35" w:rsidP="001D4E35">
      <w:pPr>
        <w:widowControl w:val="0"/>
        <w:numPr>
          <w:ilvl w:val="0"/>
          <w:numId w:val="25"/>
        </w:numPr>
        <w:autoSpaceDE w:val="0"/>
        <w:autoSpaceDN w:val="0"/>
        <w:rPr>
          <w:rFonts w:eastAsia="Verdana" w:cs="Verdana"/>
          <w:lang w:val="es-CO"/>
        </w:rPr>
      </w:pPr>
      <w:r w:rsidRPr="001D4E35">
        <w:rPr>
          <w:rFonts w:eastAsia="Verdana" w:cs="Verdana"/>
          <w:lang w:val="es-CO"/>
        </w:rPr>
        <w:t xml:space="preserve">Señalizar la habitación con un letrero, ubicar la tarjeta código lila en la puerta de la habitación o cubículo del paciente, además de propiciar el silencio y promover el respeto en el espacio donde se encuentra el paciente. </w:t>
      </w:r>
    </w:p>
    <w:p w14:paraId="4383312A" w14:textId="77777777" w:rsidR="001D4E35" w:rsidRPr="001D4E35" w:rsidRDefault="001D4E35" w:rsidP="001D4E35">
      <w:pPr>
        <w:widowControl w:val="0"/>
        <w:numPr>
          <w:ilvl w:val="0"/>
          <w:numId w:val="25"/>
        </w:numPr>
        <w:autoSpaceDE w:val="0"/>
        <w:autoSpaceDN w:val="0"/>
        <w:rPr>
          <w:rFonts w:eastAsia="Verdana" w:cs="Verdana"/>
          <w:lang w:val="es-CO"/>
        </w:rPr>
      </w:pPr>
      <w:r w:rsidRPr="001D4E35">
        <w:rPr>
          <w:rFonts w:eastAsia="Verdana" w:cs="Verdana"/>
          <w:lang w:val="es-CO"/>
        </w:rPr>
        <w:t>Informar al personal médico la activación del código lila, y la necesidad de limitar las conversaciones a lo necesario en un tono bajo en el ambiente cercano al paciente.</w:t>
      </w:r>
    </w:p>
    <w:p w14:paraId="1B01FFA9" w14:textId="77777777" w:rsidR="001D4E35" w:rsidRPr="001D4E35" w:rsidRDefault="001D4E35" w:rsidP="001D4E35">
      <w:pPr>
        <w:widowControl w:val="0"/>
        <w:numPr>
          <w:ilvl w:val="0"/>
          <w:numId w:val="25"/>
        </w:numPr>
        <w:autoSpaceDE w:val="0"/>
        <w:autoSpaceDN w:val="0"/>
        <w:rPr>
          <w:rFonts w:eastAsia="Verdana" w:cs="Verdana"/>
          <w:lang w:val="es-CO"/>
        </w:rPr>
      </w:pPr>
      <w:r w:rsidRPr="001D4E35">
        <w:rPr>
          <w:rFonts w:eastAsia="Verdana" w:cs="Verdana"/>
          <w:lang w:val="es-CO"/>
        </w:rPr>
        <w:t>Informar al personal de vigilancia, de la activación de un Código Lila y entregar</w:t>
      </w:r>
    </w:p>
    <w:p w14:paraId="36B9C359" w14:textId="77777777" w:rsidR="001D4E35" w:rsidRPr="001D4E35" w:rsidRDefault="001D4E35" w:rsidP="001D4E35">
      <w:pPr>
        <w:widowControl w:val="0"/>
        <w:autoSpaceDE w:val="0"/>
        <w:autoSpaceDN w:val="0"/>
        <w:rPr>
          <w:rFonts w:eastAsia="Verdana" w:cs="Verdana"/>
          <w:lang w:val="es-CO"/>
        </w:rPr>
      </w:pPr>
      <w:r w:rsidRPr="001D4E35">
        <w:rPr>
          <w:rFonts w:eastAsia="Verdana" w:cs="Verdana"/>
          <w:lang w:val="es-CO"/>
        </w:rPr>
        <w:t>Los nombres de los familiares y personas cercanas del paciente autorizados para acompañar su proceso de agonía.</w:t>
      </w:r>
    </w:p>
    <w:p w14:paraId="0F87F5B7" w14:textId="77777777" w:rsidR="001D4E35" w:rsidRPr="001D4E35" w:rsidRDefault="001D4E35" w:rsidP="001D4E35">
      <w:pPr>
        <w:widowControl w:val="0"/>
        <w:numPr>
          <w:ilvl w:val="0"/>
          <w:numId w:val="25"/>
        </w:numPr>
        <w:autoSpaceDE w:val="0"/>
        <w:autoSpaceDN w:val="0"/>
        <w:rPr>
          <w:rFonts w:eastAsia="Verdana" w:cs="Verdana"/>
          <w:lang w:val="es-CO"/>
        </w:rPr>
      </w:pPr>
      <w:r w:rsidRPr="001D4E35">
        <w:rPr>
          <w:rFonts w:eastAsia="Verdana" w:cs="Verdana"/>
          <w:lang w:val="es-CO"/>
        </w:rPr>
        <w:t>Informar al equipo psicosocial quienes orientaran en el cuidado emocional y el adecuado desarrollo del pre duelo.</w:t>
      </w:r>
    </w:p>
    <w:p w14:paraId="1AFB9C2B" w14:textId="0F7FFA6B" w:rsidR="007D6368" w:rsidRPr="004D3EE5" w:rsidRDefault="001D4E35" w:rsidP="004D3EE5">
      <w:pPr>
        <w:widowControl w:val="0"/>
        <w:numPr>
          <w:ilvl w:val="0"/>
          <w:numId w:val="25"/>
        </w:numPr>
        <w:autoSpaceDE w:val="0"/>
        <w:autoSpaceDN w:val="0"/>
        <w:rPr>
          <w:rFonts w:eastAsia="Verdana" w:cs="Verdana"/>
          <w:lang w:val="es-CO"/>
        </w:rPr>
      </w:pPr>
      <w:r w:rsidRPr="001D4E35">
        <w:rPr>
          <w:rFonts w:eastAsia="Verdana" w:cs="Verdana"/>
          <w:lang w:val="es-CO"/>
        </w:rPr>
        <w:t>Cuando el paciente fallece, permitirle a la familia despedir el cuerpo, y se les solita que se retiren por un momento para retiro de dispositivos médicos y equipos, antes del traslado a la morgue.</w:t>
      </w:r>
    </w:p>
    <w:p w14:paraId="7587954C" w14:textId="64A2B5FD" w:rsidR="007D6368" w:rsidRPr="004D3EE5" w:rsidRDefault="001D4E35" w:rsidP="004D3EE5">
      <w:pPr>
        <w:pStyle w:val="Prrafodelista"/>
        <w:widowControl w:val="0"/>
        <w:numPr>
          <w:ilvl w:val="2"/>
          <w:numId w:val="18"/>
        </w:numPr>
        <w:autoSpaceDE w:val="0"/>
        <w:autoSpaceDN w:val="0"/>
        <w:rPr>
          <w:rFonts w:eastAsia="Verdana" w:cs="Verdana"/>
          <w:b/>
          <w:lang w:val="es-CO"/>
        </w:rPr>
      </w:pPr>
      <w:r w:rsidRPr="004D3EE5">
        <w:rPr>
          <w:rFonts w:eastAsia="Verdana" w:cs="Verdana"/>
          <w:b/>
          <w:lang w:val="es-CO"/>
        </w:rPr>
        <w:t>Personal de Trabaj</w:t>
      </w:r>
      <w:r w:rsidR="00A8710E" w:rsidRPr="004D3EE5">
        <w:rPr>
          <w:rFonts w:eastAsia="Verdana" w:cs="Verdana"/>
          <w:b/>
          <w:lang w:val="es-CO"/>
        </w:rPr>
        <w:t>o</w:t>
      </w:r>
      <w:r w:rsidRPr="004D3EE5">
        <w:rPr>
          <w:rFonts w:eastAsia="Verdana" w:cs="Verdana"/>
          <w:b/>
          <w:lang w:val="es-CO"/>
        </w:rPr>
        <w:t xml:space="preserve"> social.</w:t>
      </w:r>
    </w:p>
    <w:p w14:paraId="1C60D8A5" w14:textId="3D897377" w:rsidR="001D4E35" w:rsidRPr="004D3EE5" w:rsidRDefault="001D4E35" w:rsidP="004D3EE5">
      <w:pPr>
        <w:pStyle w:val="Prrafodelista"/>
        <w:widowControl w:val="0"/>
        <w:numPr>
          <w:ilvl w:val="0"/>
          <w:numId w:val="38"/>
        </w:numPr>
        <w:autoSpaceDE w:val="0"/>
        <w:autoSpaceDN w:val="0"/>
        <w:rPr>
          <w:rFonts w:eastAsia="Verdana" w:cs="Verdana"/>
          <w:lang w:val="es-CO"/>
        </w:rPr>
      </w:pPr>
      <w:r w:rsidRPr="004D3EE5">
        <w:rPr>
          <w:rFonts w:eastAsia="Verdana" w:cs="Verdana"/>
          <w:b/>
          <w:lang w:val="es-CO"/>
        </w:rPr>
        <w:t>Identificar necesidades particulares del paciente y su familia;</w:t>
      </w:r>
      <w:r w:rsidRPr="004D3EE5">
        <w:rPr>
          <w:rFonts w:eastAsia="Verdana" w:cs="Verdana"/>
          <w:lang w:val="es-CO"/>
        </w:rPr>
        <w:t xml:space="preserve"> se indaga:</w:t>
      </w:r>
    </w:p>
    <w:p w14:paraId="4A64038A" w14:textId="77777777" w:rsidR="001D4E35" w:rsidRPr="001D4E35" w:rsidRDefault="001D4E35" w:rsidP="001D4E35">
      <w:pPr>
        <w:widowControl w:val="0"/>
        <w:numPr>
          <w:ilvl w:val="0"/>
          <w:numId w:val="22"/>
        </w:numPr>
        <w:autoSpaceDE w:val="0"/>
        <w:autoSpaceDN w:val="0"/>
        <w:rPr>
          <w:rFonts w:eastAsia="Verdana" w:cs="Verdana"/>
          <w:lang w:val="es-CO"/>
        </w:rPr>
      </w:pPr>
      <w:r w:rsidRPr="001D4E35">
        <w:rPr>
          <w:rFonts w:eastAsia="Verdana" w:cs="Verdana"/>
          <w:lang w:val="es-CO"/>
        </w:rPr>
        <w:t>El nombre de las personas que conforman el grupo familiar o personas cercanas al paciente, que autorizan para el acompañamiento durante el proceso de agonía del paciente.</w:t>
      </w:r>
    </w:p>
    <w:p w14:paraId="79E8978D" w14:textId="0B9646BC" w:rsidR="001D4E35" w:rsidRPr="001D4E35" w:rsidRDefault="001D4E35" w:rsidP="001D4E35">
      <w:pPr>
        <w:widowControl w:val="0"/>
        <w:numPr>
          <w:ilvl w:val="0"/>
          <w:numId w:val="22"/>
        </w:numPr>
        <w:autoSpaceDE w:val="0"/>
        <w:autoSpaceDN w:val="0"/>
        <w:rPr>
          <w:rFonts w:eastAsia="Verdana" w:cs="Verdana"/>
          <w:lang w:val="es-CO"/>
        </w:rPr>
      </w:pPr>
      <w:r w:rsidRPr="001D4E35">
        <w:rPr>
          <w:rFonts w:eastAsia="Verdana" w:cs="Verdana"/>
          <w:b/>
          <w:lang w:val="es-CO"/>
        </w:rPr>
        <w:lastRenderedPageBreak/>
        <w:t>Voluntad frente al acompañamiento espiritual.</w:t>
      </w:r>
      <w:r w:rsidRPr="001D4E35">
        <w:rPr>
          <w:rFonts w:eastAsia="Verdana" w:cs="Verdana"/>
          <w:lang w:val="es-CO"/>
        </w:rPr>
        <w:t xml:space="preserve"> Cuando el paciente hace parte de etnias o religiones diferentes a la católica, se brinda la opción de llamar a su guía espiritual y se pregunta el nombre de esta persona, para autorizar su ingreso. Cuando el acompañamiento espiritual solicitado es de un sacerdote católico y la familia no tiene uno </w:t>
      </w:r>
      <w:r w:rsidR="00F12537" w:rsidRPr="001D4E35">
        <w:rPr>
          <w:rFonts w:eastAsia="Verdana" w:cs="Verdana"/>
          <w:lang w:val="es-CO"/>
        </w:rPr>
        <w:t>específico</w:t>
      </w:r>
      <w:r w:rsidRPr="001D4E35">
        <w:rPr>
          <w:rFonts w:eastAsia="Verdana" w:cs="Verdana"/>
          <w:lang w:val="es-CO"/>
        </w:rPr>
        <w:t xml:space="preserve"> al cual llamar, se comunica al área de atención al usuario para que lo contacten.</w:t>
      </w:r>
    </w:p>
    <w:p w14:paraId="6B0AF4EE" w14:textId="77777777" w:rsidR="001D4E35" w:rsidRPr="001D4E35" w:rsidRDefault="001D4E35" w:rsidP="001D4E35">
      <w:pPr>
        <w:widowControl w:val="0"/>
        <w:numPr>
          <w:ilvl w:val="0"/>
          <w:numId w:val="22"/>
        </w:numPr>
        <w:autoSpaceDE w:val="0"/>
        <w:autoSpaceDN w:val="0"/>
        <w:rPr>
          <w:rFonts w:eastAsia="Verdana" w:cs="Verdana"/>
          <w:lang w:val="es-CO"/>
        </w:rPr>
      </w:pPr>
      <w:r w:rsidRPr="001D4E35">
        <w:rPr>
          <w:rFonts w:eastAsia="Verdana" w:cs="Verdana"/>
          <w:lang w:val="es-CO"/>
        </w:rPr>
        <w:t>Orientar a la familia con respecto a los tramites que debe realizar posterior al fallecimiento del paciente.</w:t>
      </w:r>
    </w:p>
    <w:p w14:paraId="1E634048" w14:textId="77777777" w:rsidR="001D4E35" w:rsidRPr="001D4E35" w:rsidRDefault="001D4E35" w:rsidP="001D4E35">
      <w:pPr>
        <w:widowControl w:val="0"/>
        <w:numPr>
          <w:ilvl w:val="0"/>
          <w:numId w:val="22"/>
        </w:numPr>
        <w:autoSpaceDE w:val="0"/>
        <w:autoSpaceDN w:val="0"/>
        <w:rPr>
          <w:rFonts w:eastAsia="Verdana" w:cs="Verdana"/>
          <w:lang w:val="es-CO"/>
        </w:rPr>
      </w:pPr>
      <w:r w:rsidRPr="001D4E35">
        <w:rPr>
          <w:rFonts w:eastAsia="Verdana" w:cs="Verdana"/>
          <w:lang w:val="es-CO"/>
        </w:rPr>
        <w:t>Facilitar a la familia la realización de llamadas para solicitar servicios funerarios o comunicarse con otros familiares.</w:t>
      </w:r>
    </w:p>
    <w:p w14:paraId="60A5BA55" w14:textId="552256AE" w:rsidR="001D4E35" w:rsidRPr="001D4E35" w:rsidRDefault="001D4E35" w:rsidP="001D4E35">
      <w:pPr>
        <w:widowControl w:val="0"/>
        <w:numPr>
          <w:ilvl w:val="0"/>
          <w:numId w:val="22"/>
        </w:numPr>
        <w:autoSpaceDE w:val="0"/>
        <w:autoSpaceDN w:val="0"/>
        <w:rPr>
          <w:rFonts w:eastAsia="Verdana" w:cs="Verdana"/>
          <w:lang w:val="es-CO"/>
        </w:rPr>
      </w:pPr>
      <w:r w:rsidRPr="001D4E35">
        <w:rPr>
          <w:rFonts w:eastAsia="Verdana" w:cs="Verdana"/>
          <w:lang w:val="es-CO"/>
        </w:rPr>
        <w:t xml:space="preserve">Informar al personal de gestión de servicios el fallecimiento del paciente para que se agilicen </w:t>
      </w:r>
      <w:r w:rsidR="00F12537" w:rsidRPr="001D4E35">
        <w:rPr>
          <w:rFonts w:eastAsia="Verdana" w:cs="Verdana"/>
          <w:lang w:val="es-CO"/>
        </w:rPr>
        <w:t>trámites</w:t>
      </w:r>
      <w:r w:rsidRPr="001D4E35">
        <w:rPr>
          <w:rFonts w:eastAsia="Verdana" w:cs="Verdana"/>
          <w:lang w:val="es-CO"/>
        </w:rPr>
        <w:t xml:space="preserve"> administrativos necesarios.</w:t>
      </w:r>
    </w:p>
    <w:p w14:paraId="50EA4737" w14:textId="77777777" w:rsidR="001D4E35" w:rsidRPr="001D4E35" w:rsidRDefault="001D4E35" w:rsidP="001D4E35">
      <w:pPr>
        <w:widowControl w:val="0"/>
        <w:autoSpaceDE w:val="0"/>
        <w:autoSpaceDN w:val="0"/>
        <w:rPr>
          <w:rFonts w:eastAsia="Verdana" w:cs="Verdana"/>
          <w:lang w:val="es-CO"/>
        </w:rPr>
      </w:pPr>
      <w:r w:rsidRPr="001D4E35">
        <w:rPr>
          <w:rFonts w:eastAsia="Verdana" w:cs="Verdana"/>
          <w:lang w:val="es-CO"/>
        </w:rPr>
        <w:t>.</w:t>
      </w:r>
    </w:p>
    <w:p w14:paraId="46BAD7E1" w14:textId="0B6DDF9F" w:rsidR="001D4E35" w:rsidRPr="004D3EE5" w:rsidRDefault="001D4E35" w:rsidP="004D3EE5">
      <w:pPr>
        <w:pStyle w:val="Prrafodelista"/>
        <w:widowControl w:val="0"/>
        <w:numPr>
          <w:ilvl w:val="0"/>
          <w:numId w:val="38"/>
        </w:numPr>
        <w:autoSpaceDE w:val="0"/>
        <w:autoSpaceDN w:val="0"/>
        <w:rPr>
          <w:rFonts w:eastAsia="Verdana" w:cs="Verdana"/>
          <w:b/>
          <w:lang w:val="es-CO"/>
        </w:rPr>
      </w:pPr>
      <w:r w:rsidRPr="004D3EE5">
        <w:rPr>
          <w:rFonts w:eastAsia="Verdana" w:cs="Verdana"/>
          <w:b/>
          <w:lang w:val="es-CO"/>
        </w:rPr>
        <w:t xml:space="preserve">Personal de </w:t>
      </w:r>
      <w:r w:rsidR="00F12537" w:rsidRPr="004D3EE5">
        <w:rPr>
          <w:rFonts w:eastAsia="Verdana" w:cs="Verdana"/>
          <w:b/>
          <w:lang w:val="es-CO"/>
        </w:rPr>
        <w:t>Psicología</w:t>
      </w:r>
      <w:r w:rsidRPr="004D3EE5">
        <w:rPr>
          <w:rFonts w:eastAsia="Verdana" w:cs="Verdana"/>
          <w:b/>
          <w:lang w:val="es-CO"/>
        </w:rPr>
        <w:t>.</w:t>
      </w:r>
    </w:p>
    <w:p w14:paraId="08F8B6D9" w14:textId="61A3C445" w:rsidR="001D4E35" w:rsidRPr="001D4E35" w:rsidRDefault="006D1EF5" w:rsidP="001D4E35">
      <w:pPr>
        <w:widowControl w:val="0"/>
        <w:numPr>
          <w:ilvl w:val="0"/>
          <w:numId w:val="29"/>
        </w:numPr>
        <w:autoSpaceDE w:val="0"/>
        <w:autoSpaceDN w:val="0"/>
        <w:rPr>
          <w:rFonts w:eastAsia="Verdana" w:cs="Verdana"/>
          <w:b/>
          <w:lang w:val="es-CO"/>
        </w:rPr>
      </w:pPr>
      <w:r>
        <w:rPr>
          <w:rFonts w:eastAsia="Verdana" w:cs="Verdana"/>
          <w:lang w:val="es-CO"/>
        </w:rPr>
        <w:t>O</w:t>
      </w:r>
      <w:r w:rsidR="001D4E35" w:rsidRPr="001D4E35">
        <w:rPr>
          <w:rFonts w:eastAsia="Verdana" w:cs="Verdana"/>
          <w:lang w:val="es-CO"/>
        </w:rPr>
        <w:t>rientar en el cuidado emocional y el adecuado desarrollo del pre duelo.</w:t>
      </w:r>
    </w:p>
    <w:p w14:paraId="488B49B8" w14:textId="6653AB7B" w:rsidR="001D4E35" w:rsidRPr="001D4E35" w:rsidRDefault="001D4E35" w:rsidP="001D4E35">
      <w:pPr>
        <w:widowControl w:val="0"/>
        <w:numPr>
          <w:ilvl w:val="0"/>
          <w:numId w:val="29"/>
        </w:numPr>
        <w:autoSpaceDE w:val="0"/>
        <w:autoSpaceDN w:val="0"/>
        <w:rPr>
          <w:rFonts w:eastAsia="Verdana" w:cs="Verdana"/>
          <w:b/>
          <w:lang w:val="es-CO"/>
        </w:rPr>
      </w:pPr>
      <w:r w:rsidRPr="001D4E35">
        <w:rPr>
          <w:rFonts w:eastAsia="Verdana" w:cs="Verdana"/>
          <w:lang w:val="es-CO"/>
        </w:rPr>
        <w:t>Brindar asistencia espiritual al paciente y su familia de acuerdo con su postura religiosa o ideológica.</w:t>
      </w:r>
    </w:p>
    <w:p w14:paraId="2297FC1A" w14:textId="77777777" w:rsidR="001D4E35" w:rsidRPr="001D4E35" w:rsidRDefault="001D4E35" w:rsidP="001D4E35">
      <w:pPr>
        <w:widowControl w:val="0"/>
        <w:numPr>
          <w:ilvl w:val="0"/>
          <w:numId w:val="29"/>
        </w:numPr>
        <w:autoSpaceDE w:val="0"/>
        <w:autoSpaceDN w:val="0"/>
        <w:rPr>
          <w:rFonts w:eastAsia="Verdana" w:cs="Verdana"/>
          <w:b/>
          <w:lang w:val="es-CO"/>
        </w:rPr>
      </w:pPr>
      <w:r w:rsidRPr="001D4E35">
        <w:rPr>
          <w:rFonts w:eastAsia="Verdana" w:cs="Verdana"/>
          <w:lang w:val="es-CO"/>
        </w:rPr>
        <w:t>Orientar a la familia en el adecuado acompañamiento del paciente en su etapa terminal y en el momento del fallecimiento del paciente.</w:t>
      </w:r>
    </w:p>
    <w:p w14:paraId="69A23833" w14:textId="39BAD974" w:rsidR="001D4E35" w:rsidRPr="001D4E35" w:rsidRDefault="001D4E35" w:rsidP="004627DD">
      <w:pPr>
        <w:widowControl w:val="0"/>
        <w:numPr>
          <w:ilvl w:val="0"/>
          <w:numId w:val="29"/>
        </w:numPr>
        <w:autoSpaceDE w:val="0"/>
        <w:autoSpaceDN w:val="0"/>
        <w:rPr>
          <w:rFonts w:eastAsia="Verdana" w:cs="Verdana"/>
          <w:b/>
          <w:lang w:val="es-ES"/>
        </w:rPr>
      </w:pPr>
      <w:r w:rsidRPr="001D4E35">
        <w:rPr>
          <w:rFonts w:eastAsia="Verdana" w:cs="Verdana"/>
          <w:b/>
          <w:lang w:val="es-CO"/>
        </w:rPr>
        <w:t>Visita al paciente</w:t>
      </w:r>
      <w:r w:rsidRPr="001D4E35">
        <w:rPr>
          <w:rFonts w:eastAsia="Verdana" w:cs="Verdana"/>
          <w:lang w:val="es-CO"/>
        </w:rPr>
        <w:t xml:space="preserve">: Se considera importante que la familia pueda tener un espacio de acompañamiento digno con su ser querido, por esta razón se favorecerá el ingreso ordenado de la familia para el encuentro con su paciente. Para identificarles se les hará entrega de un </w:t>
      </w:r>
      <w:proofErr w:type="spellStart"/>
      <w:r w:rsidRPr="001D4E35">
        <w:rPr>
          <w:rFonts w:eastAsia="Verdana" w:cs="Verdana"/>
          <w:lang w:val="es-CO"/>
        </w:rPr>
        <w:t>sticker</w:t>
      </w:r>
      <w:proofErr w:type="spellEnd"/>
      <w:r w:rsidRPr="001D4E35">
        <w:rPr>
          <w:rFonts w:eastAsia="Verdana" w:cs="Verdana"/>
          <w:lang w:val="es-CO"/>
        </w:rPr>
        <w:t xml:space="preserve"> código Lila que deberán portar después del ingreso.</w:t>
      </w:r>
    </w:p>
    <w:p w14:paraId="0F52F7DD" w14:textId="375568D6" w:rsidR="001D4E35" w:rsidRPr="007D6368" w:rsidRDefault="001D4E35" w:rsidP="007D6368">
      <w:pPr>
        <w:pStyle w:val="Prrafodelista"/>
        <w:widowControl w:val="0"/>
        <w:numPr>
          <w:ilvl w:val="1"/>
          <w:numId w:val="18"/>
        </w:numPr>
        <w:autoSpaceDE w:val="0"/>
        <w:autoSpaceDN w:val="0"/>
        <w:rPr>
          <w:rFonts w:eastAsia="Verdana" w:cs="Verdana"/>
          <w:b/>
          <w:lang w:val="es-CO"/>
        </w:rPr>
      </w:pPr>
      <w:r w:rsidRPr="007D6368">
        <w:rPr>
          <w:rFonts w:eastAsia="Verdana" w:cs="Verdana"/>
          <w:b/>
          <w:lang w:val="es-CO"/>
        </w:rPr>
        <w:t>ACTIVIDADES POS – MORTEN POR TODO EL EQUIPO DE SALUD</w:t>
      </w:r>
    </w:p>
    <w:p w14:paraId="7CFB8C02" w14:textId="77777777" w:rsidR="001D4E35" w:rsidRPr="001D4E35" w:rsidRDefault="001D4E35" w:rsidP="001D4E35">
      <w:pPr>
        <w:widowControl w:val="0"/>
        <w:numPr>
          <w:ilvl w:val="0"/>
          <w:numId w:val="23"/>
        </w:numPr>
        <w:autoSpaceDE w:val="0"/>
        <w:autoSpaceDN w:val="0"/>
        <w:rPr>
          <w:rFonts w:eastAsia="Verdana" w:cs="Verdana"/>
          <w:lang w:val="es-CO"/>
        </w:rPr>
      </w:pPr>
      <w:r w:rsidRPr="001D4E35">
        <w:rPr>
          <w:rFonts w:eastAsia="Verdana" w:cs="Verdana"/>
          <w:lang w:val="es-CO"/>
        </w:rPr>
        <w:t>Preservar la intimidad necesaria desde nuestras posibilidades, dirigido a facilitar el contacto humano y dignificar la situación.</w:t>
      </w:r>
    </w:p>
    <w:p w14:paraId="593727CE" w14:textId="77777777" w:rsidR="001D4E35" w:rsidRPr="001D4E35" w:rsidRDefault="001D4E35" w:rsidP="001D4E35">
      <w:pPr>
        <w:widowControl w:val="0"/>
        <w:numPr>
          <w:ilvl w:val="0"/>
          <w:numId w:val="23"/>
        </w:numPr>
        <w:autoSpaceDE w:val="0"/>
        <w:autoSpaceDN w:val="0"/>
        <w:rPr>
          <w:rFonts w:eastAsia="Verdana" w:cs="Verdana"/>
          <w:lang w:val="es-CO"/>
        </w:rPr>
      </w:pPr>
      <w:r w:rsidRPr="001D4E35">
        <w:rPr>
          <w:rFonts w:eastAsia="Verdana" w:cs="Verdana"/>
          <w:lang w:val="es-CO"/>
        </w:rPr>
        <w:t>Reforzar acompañamiento a la familia, manteniendo una actitud abierta a cuantos interrogantes y dudas surjan en el entorno familiar. Identificar riesgos y alertas del grupo familiar y canalizar su manejo.</w:t>
      </w:r>
    </w:p>
    <w:p w14:paraId="33FEE613" w14:textId="77777777" w:rsidR="001D4E35" w:rsidRPr="001D4E35" w:rsidRDefault="001D4E35" w:rsidP="001D4E35">
      <w:pPr>
        <w:widowControl w:val="0"/>
        <w:numPr>
          <w:ilvl w:val="0"/>
          <w:numId w:val="23"/>
        </w:numPr>
        <w:autoSpaceDE w:val="0"/>
        <w:autoSpaceDN w:val="0"/>
        <w:rPr>
          <w:rFonts w:eastAsia="Verdana" w:cs="Verdana"/>
          <w:lang w:val="es-CO"/>
        </w:rPr>
      </w:pPr>
      <w:r w:rsidRPr="001D4E35">
        <w:rPr>
          <w:rFonts w:eastAsia="Verdana" w:cs="Verdana"/>
          <w:lang w:val="es-CO"/>
        </w:rPr>
        <w:t>Comunicar condolencias a la familia por parte del equipo de salud.</w:t>
      </w:r>
    </w:p>
    <w:p w14:paraId="54CD3161" w14:textId="77777777" w:rsidR="001D4E35" w:rsidRPr="001D4E35" w:rsidRDefault="001D4E35" w:rsidP="001D4E35">
      <w:pPr>
        <w:widowControl w:val="0"/>
        <w:numPr>
          <w:ilvl w:val="0"/>
          <w:numId w:val="23"/>
        </w:numPr>
        <w:autoSpaceDE w:val="0"/>
        <w:autoSpaceDN w:val="0"/>
        <w:rPr>
          <w:rFonts w:eastAsia="Verdana" w:cs="Verdana"/>
          <w:lang w:val="es-CO"/>
        </w:rPr>
      </w:pPr>
      <w:r w:rsidRPr="001D4E35">
        <w:rPr>
          <w:rFonts w:eastAsia="Verdana" w:cs="Verdana"/>
          <w:lang w:val="es-CO"/>
        </w:rPr>
        <w:t>Discreción en los comentarios sobre el fallecimiento.</w:t>
      </w:r>
    </w:p>
    <w:p w14:paraId="5EEC4535" w14:textId="77777777" w:rsidR="001D4E35" w:rsidRPr="001D4E35" w:rsidRDefault="001D4E35" w:rsidP="001D4E35">
      <w:pPr>
        <w:widowControl w:val="0"/>
        <w:autoSpaceDE w:val="0"/>
        <w:autoSpaceDN w:val="0"/>
        <w:rPr>
          <w:rFonts w:eastAsia="Verdana" w:cs="Verdana"/>
          <w:lang w:val="es-ES"/>
        </w:rPr>
      </w:pPr>
    </w:p>
    <w:p w14:paraId="2927DC78" w14:textId="7F4990C1" w:rsidR="001D4E35" w:rsidRPr="007D6368" w:rsidRDefault="001D4E35" w:rsidP="007D6368">
      <w:pPr>
        <w:pStyle w:val="Prrafodelista"/>
        <w:widowControl w:val="0"/>
        <w:numPr>
          <w:ilvl w:val="1"/>
          <w:numId w:val="18"/>
        </w:numPr>
        <w:autoSpaceDE w:val="0"/>
        <w:autoSpaceDN w:val="0"/>
        <w:rPr>
          <w:rFonts w:eastAsia="Verdana" w:cs="Verdana"/>
          <w:b/>
          <w:lang w:val="es-CO"/>
        </w:rPr>
      </w:pPr>
      <w:r w:rsidRPr="007D6368">
        <w:rPr>
          <w:rFonts w:eastAsia="Verdana" w:cs="Verdana"/>
          <w:b/>
          <w:lang w:val="es-CO"/>
        </w:rPr>
        <w:t>PROCESO DE ACOMPAÑAMIENTO FAMILIAR.</w:t>
      </w:r>
    </w:p>
    <w:p w14:paraId="5A6FEDCF" w14:textId="0D1FE1F0" w:rsidR="00A8710E" w:rsidRPr="007D6368" w:rsidRDefault="001D4E35" w:rsidP="007D6368">
      <w:pPr>
        <w:pStyle w:val="Prrafodelista"/>
        <w:widowControl w:val="0"/>
        <w:numPr>
          <w:ilvl w:val="0"/>
          <w:numId w:val="36"/>
        </w:numPr>
        <w:autoSpaceDE w:val="0"/>
        <w:autoSpaceDN w:val="0"/>
        <w:rPr>
          <w:rFonts w:eastAsia="Verdana" w:cs="Verdana"/>
          <w:lang w:val="es-CO"/>
        </w:rPr>
      </w:pPr>
      <w:r w:rsidRPr="007D6368">
        <w:rPr>
          <w:rFonts w:eastAsia="Verdana" w:cs="Verdana"/>
          <w:b/>
          <w:lang w:val="es-CO"/>
        </w:rPr>
        <w:t xml:space="preserve">Tarjeta código lila: </w:t>
      </w:r>
      <w:r w:rsidR="00A8710E" w:rsidRPr="007D6368">
        <w:rPr>
          <w:rFonts w:eastAsia="Verdana" w:cs="Verdana"/>
          <w:lang w:val="es-CO"/>
        </w:rPr>
        <w:t xml:space="preserve">Con el objetivo de ofrecer un acompañamiento digno, ordenado y respetuoso a los pacientes en etapa final de vida, se implementa la Tarjeta Código Lila </w:t>
      </w:r>
      <w:r w:rsidR="00426F92" w:rsidRPr="007D6368">
        <w:rPr>
          <w:rFonts w:eastAsia="Verdana" w:cs="Verdana"/>
          <w:bCs/>
          <w:lang w:val="es-CO"/>
        </w:rPr>
        <w:t>FR-GAU-014</w:t>
      </w:r>
      <w:r w:rsidR="00A8710E" w:rsidRPr="007D6368">
        <w:rPr>
          <w:rFonts w:eastAsia="Verdana" w:cs="Verdana"/>
          <w:lang w:val="es-CO"/>
        </w:rPr>
        <w:t xml:space="preserve"> como herramienta institucional de identificación y acceso para los familiares autorizados.</w:t>
      </w:r>
    </w:p>
    <w:p w14:paraId="120D484C" w14:textId="77777777" w:rsidR="00A8710E" w:rsidRPr="00A8710E" w:rsidRDefault="00A8710E" w:rsidP="00A8710E">
      <w:pPr>
        <w:widowControl w:val="0"/>
        <w:autoSpaceDE w:val="0"/>
        <w:autoSpaceDN w:val="0"/>
        <w:ind w:left="644"/>
        <w:rPr>
          <w:rFonts w:eastAsia="Verdana" w:cs="Verdana"/>
          <w:b/>
          <w:lang w:val="es-ES"/>
        </w:rPr>
      </w:pPr>
      <w:r w:rsidRPr="00A8710E">
        <w:rPr>
          <w:rFonts w:eastAsia="Verdana" w:cs="Verdana"/>
          <w:lang w:val="es-CO"/>
        </w:rPr>
        <w:t>Esta tarjeta es entregada al familiar designado por el paciente y permite un ingreso controlado a la unidad de hospitalización o al área correspondiente. Su propósito es facilitar el acompañamiento continuo o programado durante el proceso de final de vida, garantizando así una presencia cercana y respetuosa de los seres queridos en estos momentos cruciales.</w:t>
      </w:r>
    </w:p>
    <w:p w14:paraId="602CD93B" w14:textId="756DD83B" w:rsidR="001D4E35" w:rsidRPr="00A8710E" w:rsidRDefault="001D4E35" w:rsidP="00A8710E">
      <w:pPr>
        <w:widowControl w:val="0"/>
        <w:autoSpaceDE w:val="0"/>
        <w:autoSpaceDN w:val="0"/>
        <w:ind w:left="644"/>
        <w:rPr>
          <w:rFonts w:eastAsia="Verdana" w:cs="Verdana"/>
          <w:b/>
          <w:lang w:val="es-ES"/>
        </w:rPr>
      </w:pPr>
      <w:r w:rsidRPr="00A8710E">
        <w:rPr>
          <w:rFonts w:eastAsia="Verdana" w:cs="Verdana"/>
          <w:b/>
          <w:lang w:val="es-ES"/>
        </w:rPr>
        <w:t>Condiciones de uso:</w:t>
      </w:r>
    </w:p>
    <w:p w14:paraId="33969AE1" w14:textId="77777777" w:rsidR="001D4E35" w:rsidRPr="001D4E35" w:rsidRDefault="001D4E35" w:rsidP="001D4E35">
      <w:pPr>
        <w:widowControl w:val="0"/>
        <w:numPr>
          <w:ilvl w:val="0"/>
          <w:numId w:val="30"/>
        </w:numPr>
        <w:autoSpaceDE w:val="0"/>
        <w:autoSpaceDN w:val="0"/>
        <w:rPr>
          <w:rFonts w:eastAsia="Verdana" w:cs="Verdana"/>
          <w:lang w:val="es-CO"/>
        </w:rPr>
      </w:pPr>
      <w:r w:rsidRPr="001D4E35">
        <w:rPr>
          <w:rFonts w:eastAsia="Verdana" w:cs="Verdana"/>
          <w:lang w:val="es-CO"/>
        </w:rPr>
        <w:lastRenderedPageBreak/>
        <w:t>La tarjeta será entregada por el personal designado (trabajador/a social, enfermería o coordinador/a de turno), previa verificación de los datos del familiar autorizado.</w:t>
      </w:r>
    </w:p>
    <w:p w14:paraId="33C0798A" w14:textId="77777777" w:rsidR="001D4E35" w:rsidRPr="001D4E35" w:rsidRDefault="001D4E35" w:rsidP="001D4E35">
      <w:pPr>
        <w:widowControl w:val="0"/>
        <w:numPr>
          <w:ilvl w:val="0"/>
          <w:numId w:val="30"/>
        </w:numPr>
        <w:autoSpaceDE w:val="0"/>
        <w:autoSpaceDN w:val="0"/>
        <w:rPr>
          <w:rFonts w:eastAsia="Verdana" w:cs="Verdana"/>
          <w:lang w:val="es-CO"/>
        </w:rPr>
      </w:pPr>
      <w:r w:rsidRPr="001D4E35">
        <w:rPr>
          <w:rFonts w:eastAsia="Verdana" w:cs="Verdana"/>
          <w:lang w:val="es-CO"/>
        </w:rPr>
        <w:t>Solo podrá portar la tarjeta una persona a la vez, salvo casos excepcionales autorizados por el equipo tratante.</w:t>
      </w:r>
    </w:p>
    <w:p w14:paraId="7A0367C4" w14:textId="77777777" w:rsidR="001D4E35" w:rsidRPr="001D4E35" w:rsidRDefault="001D4E35" w:rsidP="001D4E35">
      <w:pPr>
        <w:widowControl w:val="0"/>
        <w:numPr>
          <w:ilvl w:val="0"/>
          <w:numId w:val="30"/>
        </w:numPr>
        <w:autoSpaceDE w:val="0"/>
        <w:autoSpaceDN w:val="0"/>
        <w:rPr>
          <w:rFonts w:eastAsia="Verdana" w:cs="Verdana"/>
          <w:lang w:val="es-CO"/>
        </w:rPr>
      </w:pPr>
      <w:r w:rsidRPr="001D4E35">
        <w:rPr>
          <w:rFonts w:eastAsia="Verdana" w:cs="Verdana"/>
          <w:lang w:val="es-CO"/>
        </w:rPr>
        <w:t>El familiar deberá portar la tarjeta de forma visible en todo momento dentro del establecimiento.</w:t>
      </w:r>
    </w:p>
    <w:p w14:paraId="6FB0B2BA" w14:textId="77777777" w:rsidR="001D4E35" w:rsidRPr="001D4E35" w:rsidRDefault="001D4E35" w:rsidP="001D4E35">
      <w:pPr>
        <w:widowControl w:val="0"/>
        <w:numPr>
          <w:ilvl w:val="0"/>
          <w:numId w:val="30"/>
        </w:numPr>
        <w:autoSpaceDE w:val="0"/>
        <w:autoSpaceDN w:val="0"/>
        <w:rPr>
          <w:rFonts w:eastAsia="Verdana" w:cs="Verdana"/>
          <w:lang w:val="es-CO"/>
        </w:rPr>
      </w:pPr>
      <w:r w:rsidRPr="001D4E35">
        <w:rPr>
          <w:rFonts w:eastAsia="Verdana" w:cs="Verdana"/>
          <w:lang w:val="es-CO"/>
        </w:rPr>
        <w:t>El uso indebido de la tarjeta o el incumplimiento de las normas de convivencia podrá derivar en la suspensión temporal del acceso, previo aviso y orientación al familiar.</w:t>
      </w:r>
    </w:p>
    <w:p w14:paraId="68C57265" w14:textId="77777777" w:rsidR="001D4E35" w:rsidRPr="001D4E35" w:rsidRDefault="001D4E35" w:rsidP="001D4E35">
      <w:pPr>
        <w:widowControl w:val="0"/>
        <w:numPr>
          <w:ilvl w:val="0"/>
          <w:numId w:val="30"/>
        </w:numPr>
        <w:autoSpaceDE w:val="0"/>
        <w:autoSpaceDN w:val="0"/>
        <w:rPr>
          <w:rFonts w:eastAsia="Verdana" w:cs="Verdana"/>
          <w:lang w:val="es-CO"/>
        </w:rPr>
      </w:pPr>
      <w:r w:rsidRPr="001D4E35">
        <w:rPr>
          <w:rFonts w:eastAsia="Verdana" w:cs="Verdana"/>
          <w:lang w:val="es-CO"/>
        </w:rPr>
        <w:t>La tarjeta debe ser devuelta al finalizar el proceso de acompañamiento o ante el alta o fallecimiento del paciente.</w:t>
      </w:r>
    </w:p>
    <w:p w14:paraId="79C26B06" w14:textId="77777777" w:rsidR="001D4E35" w:rsidRPr="001D4E35" w:rsidRDefault="001D4E35" w:rsidP="001D4E35">
      <w:pPr>
        <w:widowControl w:val="0"/>
        <w:autoSpaceDE w:val="0"/>
        <w:autoSpaceDN w:val="0"/>
        <w:rPr>
          <w:rFonts w:eastAsia="Verdana" w:cs="Verdana"/>
          <w:lang w:val="es-CO"/>
        </w:rPr>
      </w:pPr>
    </w:p>
    <w:p w14:paraId="3290B952" w14:textId="2DBAB15C" w:rsidR="001D4E35" w:rsidRPr="007D6368" w:rsidRDefault="001D4E35" w:rsidP="007D6368">
      <w:pPr>
        <w:pStyle w:val="Prrafodelista"/>
        <w:widowControl w:val="0"/>
        <w:numPr>
          <w:ilvl w:val="0"/>
          <w:numId w:val="36"/>
        </w:numPr>
        <w:autoSpaceDE w:val="0"/>
        <w:autoSpaceDN w:val="0"/>
        <w:rPr>
          <w:rFonts w:eastAsia="Verdana" w:cs="Verdana"/>
          <w:b/>
          <w:lang w:val="es-CO"/>
        </w:rPr>
      </w:pPr>
      <w:r w:rsidRPr="007D6368">
        <w:rPr>
          <w:rFonts w:eastAsia="Verdana" w:cs="Verdana"/>
          <w:b/>
          <w:lang w:val="es-CO"/>
        </w:rPr>
        <w:t xml:space="preserve">Distintivo en la Puerta de la Habitación: </w:t>
      </w:r>
      <w:r w:rsidRPr="007D6368">
        <w:rPr>
          <w:rFonts w:eastAsia="Verdana" w:cs="Verdana"/>
          <w:lang w:val="es-CO"/>
        </w:rPr>
        <w:t>Para garantizar un entorno respetuoso, silencioso y humanizado, se colocará un distintivo visible en la puerta de la habitación del paciente en etapa final de vida. Esta señalización tiene los siguientes objetivos:</w:t>
      </w:r>
    </w:p>
    <w:p w14:paraId="7522473E" w14:textId="77777777" w:rsidR="001D4E35" w:rsidRPr="001D4E35" w:rsidRDefault="001D4E35" w:rsidP="001D4E35">
      <w:pPr>
        <w:widowControl w:val="0"/>
        <w:numPr>
          <w:ilvl w:val="0"/>
          <w:numId w:val="32"/>
        </w:numPr>
        <w:autoSpaceDE w:val="0"/>
        <w:autoSpaceDN w:val="0"/>
        <w:rPr>
          <w:rFonts w:eastAsia="Verdana" w:cs="Verdana"/>
          <w:lang w:val="es-CO"/>
        </w:rPr>
      </w:pPr>
      <w:r w:rsidRPr="001D4E35">
        <w:rPr>
          <w:rFonts w:eastAsia="Verdana" w:cs="Verdana"/>
          <w:lang w:val="es-CO"/>
        </w:rPr>
        <w:t>Indicar al equipo de salud y personal auxiliar que el paciente se encuentra en una situación de cuidados especiales.</w:t>
      </w:r>
    </w:p>
    <w:p w14:paraId="3F14082A" w14:textId="77777777" w:rsidR="001D4E35" w:rsidRPr="001D4E35" w:rsidRDefault="001D4E35" w:rsidP="001D4E35">
      <w:pPr>
        <w:widowControl w:val="0"/>
        <w:numPr>
          <w:ilvl w:val="0"/>
          <w:numId w:val="32"/>
        </w:numPr>
        <w:autoSpaceDE w:val="0"/>
        <w:autoSpaceDN w:val="0"/>
        <w:rPr>
          <w:rFonts w:eastAsia="Verdana" w:cs="Verdana"/>
          <w:lang w:val="es-CO"/>
        </w:rPr>
      </w:pPr>
      <w:r w:rsidRPr="001D4E35">
        <w:rPr>
          <w:rFonts w:eastAsia="Verdana" w:cs="Verdana"/>
          <w:lang w:val="es-CO"/>
        </w:rPr>
        <w:t>Promover un ambiente de silencio, respeto y contención para el paciente y su familia.</w:t>
      </w:r>
    </w:p>
    <w:p w14:paraId="10A6CF73" w14:textId="549788F6" w:rsidR="001D4E35" w:rsidRPr="001D4E35" w:rsidRDefault="001D4E35" w:rsidP="001D4E35">
      <w:pPr>
        <w:widowControl w:val="0"/>
        <w:numPr>
          <w:ilvl w:val="0"/>
          <w:numId w:val="32"/>
        </w:numPr>
        <w:autoSpaceDE w:val="0"/>
        <w:autoSpaceDN w:val="0"/>
        <w:rPr>
          <w:rFonts w:eastAsia="Verdana" w:cs="Verdana"/>
          <w:lang w:val="es-CO"/>
        </w:rPr>
      </w:pPr>
      <w:r w:rsidRPr="001D4E35">
        <w:rPr>
          <w:rFonts w:eastAsia="Verdana" w:cs="Verdana"/>
          <w:lang w:val="es-CO"/>
        </w:rPr>
        <w:t>Prevenir interrupciones innecesarias, manteniendo la intimidad del proceso.</w:t>
      </w:r>
    </w:p>
    <w:p w14:paraId="6A711776" w14:textId="77777777" w:rsidR="001D4E35" w:rsidRPr="001D4E35" w:rsidRDefault="001D4E35" w:rsidP="001D4E35">
      <w:pPr>
        <w:widowControl w:val="0"/>
        <w:autoSpaceDE w:val="0"/>
        <w:autoSpaceDN w:val="0"/>
        <w:rPr>
          <w:rFonts w:eastAsia="Verdana" w:cs="Verdana"/>
          <w:lang w:val="es-CO"/>
        </w:rPr>
      </w:pPr>
    </w:p>
    <w:sdt>
      <w:sdtPr>
        <w:rPr>
          <w:rFonts w:ascii="Century Gothic" w:eastAsiaTheme="minorHAnsi" w:hAnsi="Century Gothic" w:cstheme="minorBidi"/>
          <w:color w:val="auto"/>
          <w:sz w:val="22"/>
          <w:szCs w:val="22"/>
          <w:lang w:val="es-ES"/>
        </w:rPr>
        <w:id w:val="-79379552"/>
        <w:docPartObj>
          <w:docPartGallery w:val="Bibliographies"/>
          <w:docPartUnique/>
        </w:docPartObj>
      </w:sdtPr>
      <w:sdtEndPr>
        <w:rPr>
          <w:lang w:val="es-MX"/>
        </w:rPr>
      </w:sdtEndPr>
      <w:sdtContent>
        <w:p w14:paraId="4B8A3D1D" w14:textId="2958BF24" w:rsidR="00DB7A23" w:rsidRDefault="00DB7A23" w:rsidP="004627DD">
          <w:pPr>
            <w:pStyle w:val="Ttulo1"/>
            <w:numPr>
              <w:ilvl w:val="0"/>
              <w:numId w:val="18"/>
            </w:numPr>
            <w:rPr>
              <w:rFonts w:ascii="Century Gothic" w:hAnsi="Century Gothic"/>
              <w:b/>
              <w:bCs/>
              <w:color w:val="auto"/>
              <w:sz w:val="22"/>
              <w:szCs w:val="22"/>
              <w:lang w:val="es-ES"/>
            </w:rPr>
          </w:pPr>
          <w:r w:rsidRPr="00DB7A23">
            <w:rPr>
              <w:rFonts w:ascii="Century Gothic" w:hAnsi="Century Gothic"/>
              <w:b/>
              <w:bCs/>
              <w:color w:val="auto"/>
              <w:sz w:val="22"/>
              <w:szCs w:val="22"/>
              <w:lang w:val="es-ES"/>
            </w:rPr>
            <w:t xml:space="preserve">REFERENCIAS BIBLIOGRÁFICAS </w:t>
          </w:r>
        </w:p>
        <w:p w14:paraId="4CA97E8D" w14:textId="23CE2D06" w:rsidR="00DB7A23" w:rsidRPr="00DB7A23" w:rsidRDefault="00991004" w:rsidP="00DB7A23">
          <w:pPr>
            <w:pStyle w:val="Prrafodelista"/>
            <w:numPr>
              <w:ilvl w:val="0"/>
              <w:numId w:val="34"/>
            </w:numPr>
            <w:rPr>
              <w:lang w:val="es-ES"/>
            </w:rPr>
          </w:pPr>
          <w:hyperlink r:id="rId8" w:history="1">
            <w:r w:rsidR="00DB7A23" w:rsidRPr="00DB7A23">
              <w:rPr>
                <w:rStyle w:val="Hipervnculo"/>
                <w:color w:val="auto"/>
                <w:lang w:val="es-ES"/>
              </w:rPr>
              <w:t>https://repositorio.unican.es/xmlui/bitstream/handle/10902/2182/BooPuenteMJ.pdf</w:t>
            </w:r>
          </w:hyperlink>
        </w:p>
        <w:p w14:paraId="15B9D937" w14:textId="25E78163" w:rsidR="00DB7A23" w:rsidRPr="00DB7A23" w:rsidRDefault="00991004" w:rsidP="00DB7A23">
          <w:pPr>
            <w:pStyle w:val="Prrafodelista"/>
            <w:numPr>
              <w:ilvl w:val="0"/>
              <w:numId w:val="34"/>
            </w:numPr>
            <w:rPr>
              <w:lang w:val="es-ES"/>
            </w:rPr>
          </w:pPr>
          <w:hyperlink r:id="rId9" w:history="1">
            <w:r w:rsidR="00DB7A23" w:rsidRPr="00DB7A23">
              <w:rPr>
                <w:rStyle w:val="Hipervnculo"/>
                <w:color w:val="auto"/>
                <w:lang w:val="es-ES"/>
              </w:rPr>
              <w:t>https://www.funcionpublica.gov.co/eva/gestornormativo/norma.php?i=59379</w:t>
            </w:r>
          </w:hyperlink>
        </w:p>
        <w:p w14:paraId="64B81900" w14:textId="00B5B99E" w:rsidR="00DB7A23" w:rsidRPr="00DB7A23" w:rsidRDefault="00991004" w:rsidP="00DB7A23">
          <w:pPr>
            <w:pStyle w:val="Prrafodelista"/>
            <w:numPr>
              <w:ilvl w:val="0"/>
              <w:numId w:val="34"/>
            </w:numPr>
            <w:rPr>
              <w:lang w:val="es-ES"/>
            </w:rPr>
          </w:pPr>
          <w:hyperlink r:id="rId10" w:history="1">
            <w:r w:rsidR="00DB7A23" w:rsidRPr="00DB7A23">
              <w:rPr>
                <w:rStyle w:val="Hipervnculo"/>
                <w:color w:val="auto"/>
                <w:lang w:val="es-ES"/>
              </w:rPr>
              <w:t>https://www.cancer.org/es/cancer/como-sobrellevar-el-cancer/atencion-paliativa/que-es-el-cuidado-paliativo.html</w:t>
            </w:r>
          </w:hyperlink>
        </w:p>
      </w:sdtContent>
    </w:sdt>
    <w:p w14:paraId="68FE9D01" w14:textId="065A6B24" w:rsidR="00F95E79" w:rsidRDefault="00F95E79" w:rsidP="00FE635A">
      <w:pPr>
        <w:widowControl w:val="0"/>
        <w:autoSpaceDE w:val="0"/>
        <w:autoSpaceDN w:val="0"/>
        <w:rPr>
          <w:rFonts w:eastAsia="Verdana" w:cs="Verdana"/>
          <w:lang w:val="es-ES"/>
        </w:rPr>
      </w:pPr>
    </w:p>
    <w:p w14:paraId="3B030CBE" w14:textId="7F0CA4D2" w:rsidR="00B14EE0" w:rsidRDefault="00B14EE0" w:rsidP="00B14EE0">
      <w:pPr>
        <w:pStyle w:val="Prrafodelista"/>
        <w:widowControl w:val="0"/>
        <w:autoSpaceDE w:val="0"/>
        <w:autoSpaceDN w:val="0"/>
        <w:ind w:left="360"/>
        <w:rPr>
          <w:rFonts w:eastAsia="Verdana" w:cs="Verdana"/>
          <w:b/>
          <w:bCs/>
          <w:lang w:val="es-ES"/>
        </w:rPr>
      </w:pPr>
    </w:p>
    <w:p w14:paraId="231BF74A" w14:textId="02EA940C" w:rsidR="00B14EE0" w:rsidRDefault="00B14EE0" w:rsidP="00B14EE0">
      <w:pPr>
        <w:pStyle w:val="Prrafodelista"/>
        <w:widowControl w:val="0"/>
        <w:autoSpaceDE w:val="0"/>
        <w:autoSpaceDN w:val="0"/>
        <w:ind w:left="360"/>
        <w:rPr>
          <w:rFonts w:eastAsia="Verdana" w:cs="Verdana"/>
          <w:b/>
          <w:bCs/>
          <w:lang w:val="es-ES"/>
        </w:rPr>
      </w:pPr>
    </w:p>
    <w:p w14:paraId="7C3E52BE" w14:textId="7DF940AD" w:rsidR="00B14EE0" w:rsidRDefault="00B14EE0" w:rsidP="00B14EE0">
      <w:pPr>
        <w:pStyle w:val="Prrafodelista"/>
        <w:widowControl w:val="0"/>
        <w:autoSpaceDE w:val="0"/>
        <w:autoSpaceDN w:val="0"/>
        <w:ind w:left="360"/>
        <w:rPr>
          <w:rFonts w:eastAsia="Verdana" w:cs="Verdana"/>
          <w:b/>
          <w:bCs/>
          <w:lang w:val="es-ES"/>
        </w:rPr>
      </w:pPr>
    </w:p>
    <w:p w14:paraId="5E333524" w14:textId="6D8A8F80" w:rsidR="00B14EE0" w:rsidRDefault="00B14EE0" w:rsidP="00B14EE0">
      <w:pPr>
        <w:pStyle w:val="Prrafodelista"/>
        <w:widowControl w:val="0"/>
        <w:autoSpaceDE w:val="0"/>
        <w:autoSpaceDN w:val="0"/>
        <w:ind w:left="360"/>
        <w:rPr>
          <w:rFonts w:eastAsia="Verdana" w:cs="Verdana"/>
          <w:b/>
          <w:bCs/>
          <w:lang w:val="es-ES"/>
        </w:rPr>
      </w:pPr>
    </w:p>
    <w:p w14:paraId="77B01124" w14:textId="388E84CB" w:rsidR="00B14EE0" w:rsidRDefault="00B14EE0" w:rsidP="00B14EE0">
      <w:pPr>
        <w:pStyle w:val="Prrafodelista"/>
        <w:widowControl w:val="0"/>
        <w:autoSpaceDE w:val="0"/>
        <w:autoSpaceDN w:val="0"/>
        <w:ind w:left="360"/>
        <w:rPr>
          <w:rFonts w:eastAsia="Verdana" w:cs="Verdana"/>
          <w:b/>
          <w:bCs/>
          <w:lang w:val="es-ES"/>
        </w:rPr>
      </w:pPr>
    </w:p>
    <w:p w14:paraId="4E893D2E" w14:textId="01FCFAF6" w:rsidR="00B14EE0" w:rsidRDefault="00B14EE0" w:rsidP="00B14EE0">
      <w:pPr>
        <w:pStyle w:val="Prrafodelista"/>
        <w:widowControl w:val="0"/>
        <w:autoSpaceDE w:val="0"/>
        <w:autoSpaceDN w:val="0"/>
        <w:ind w:left="360"/>
        <w:rPr>
          <w:rFonts w:eastAsia="Verdana" w:cs="Verdana"/>
          <w:b/>
          <w:bCs/>
          <w:lang w:val="es-ES"/>
        </w:rPr>
      </w:pPr>
    </w:p>
    <w:p w14:paraId="61345C66" w14:textId="30C99544" w:rsidR="00B14EE0" w:rsidRDefault="00B14EE0" w:rsidP="00B14EE0">
      <w:pPr>
        <w:pStyle w:val="Prrafodelista"/>
        <w:widowControl w:val="0"/>
        <w:autoSpaceDE w:val="0"/>
        <w:autoSpaceDN w:val="0"/>
        <w:ind w:left="360"/>
        <w:rPr>
          <w:rFonts w:eastAsia="Verdana" w:cs="Verdana"/>
          <w:b/>
          <w:bCs/>
          <w:lang w:val="es-ES"/>
        </w:rPr>
      </w:pPr>
    </w:p>
    <w:p w14:paraId="407024E0" w14:textId="294370AE" w:rsidR="00B14EE0" w:rsidRDefault="00B14EE0" w:rsidP="00B14EE0">
      <w:pPr>
        <w:pStyle w:val="Prrafodelista"/>
        <w:widowControl w:val="0"/>
        <w:autoSpaceDE w:val="0"/>
        <w:autoSpaceDN w:val="0"/>
        <w:ind w:left="360"/>
        <w:rPr>
          <w:rFonts w:eastAsia="Verdana" w:cs="Verdana"/>
          <w:b/>
          <w:bCs/>
          <w:lang w:val="es-ES"/>
        </w:rPr>
      </w:pPr>
    </w:p>
    <w:p w14:paraId="1B468BBE" w14:textId="7C6BCB44" w:rsidR="00B14EE0" w:rsidRDefault="00B14EE0" w:rsidP="00B14EE0">
      <w:pPr>
        <w:pStyle w:val="Prrafodelista"/>
        <w:widowControl w:val="0"/>
        <w:autoSpaceDE w:val="0"/>
        <w:autoSpaceDN w:val="0"/>
        <w:ind w:left="360"/>
        <w:rPr>
          <w:rFonts w:eastAsia="Verdana" w:cs="Verdana"/>
          <w:b/>
          <w:bCs/>
          <w:lang w:val="es-ES"/>
        </w:rPr>
      </w:pPr>
    </w:p>
    <w:p w14:paraId="4E61E856" w14:textId="1D1B162B" w:rsidR="00B14EE0" w:rsidRDefault="00B14EE0" w:rsidP="00B14EE0">
      <w:pPr>
        <w:pStyle w:val="Prrafodelista"/>
        <w:widowControl w:val="0"/>
        <w:autoSpaceDE w:val="0"/>
        <w:autoSpaceDN w:val="0"/>
        <w:ind w:left="360"/>
        <w:rPr>
          <w:rFonts w:eastAsia="Verdana" w:cs="Verdana"/>
          <w:b/>
          <w:bCs/>
          <w:lang w:val="es-ES"/>
        </w:rPr>
      </w:pPr>
    </w:p>
    <w:p w14:paraId="332E2AD1" w14:textId="0D2D5A70" w:rsidR="00B14EE0" w:rsidRDefault="00B14EE0" w:rsidP="00B14EE0">
      <w:pPr>
        <w:pStyle w:val="Prrafodelista"/>
        <w:widowControl w:val="0"/>
        <w:autoSpaceDE w:val="0"/>
        <w:autoSpaceDN w:val="0"/>
        <w:ind w:left="360"/>
        <w:rPr>
          <w:rFonts w:eastAsia="Verdana" w:cs="Verdana"/>
          <w:b/>
          <w:bCs/>
          <w:lang w:val="es-ES"/>
        </w:rPr>
      </w:pPr>
    </w:p>
    <w:p w14:paraId="1FF32B3E" w14:textId="4ECEB7F9" w:rsidR="00B14EE0" w:rsidRDefault="00B14EE0" w:rsidP="00B14EE0">
      <w:pPr>
        <w:pStyle w:val="Prrafodelista"/>
        <w:widowControl w:val="0"/>
        <w:autoSpaceDE w:val="0"/>
        <w:autoSpaceDN w:val="0"/>
        <w:ind w:left="360"/>
        <w:rPr>
          <w:rFonts w:eastAsia="Verdana" w:cs="Verdana"/>
          <w:b/>
          <w:bCs/>
          <w:lang w:val="es-ES"/>
        </w:rPr>
      </w:pPr>
    </w:p>
    <w:p w14:paraId="6B74AC1D" w14:textId="77777777" w:rsidR="00B14EE0" w:rsidRDefault="00B14EE0" w:rsidP="00B14EE0">
      <w:pPr>
        <w:pStyle w:val="Prrafodelista"/>
        <w:widowControl w:val="0"/>
        <w:autoSpaceDE w:val="0"/>
        <w:autoSpaceDN w:val="0"/>
        <w:ind w:left="360"/>
        <w:rPr>
          <w:rFonts w:eastAsia="Verdana" w:cs="Verdana"/>
          <w:b/>
          <w:bCs/>
          <w:lang w:val="es-ES"/>
        </w:rPr>
      </w:pPr>
    </w:p>
    <w:p w14:paraId="6CF87B05" w14:textId="537E9ABC" w:rsidR="00F95E79" w:rsidRDefault="00F95E79" w:rsidP="00F95E79">
      <w:pPr>
        <w:pStyle w:val="Prrafodelista"/>
        <w:widowControl w:val="0"/>
        <w:numPr>
          <w:ilvl w:val="0"/>
          <w:numId w:val="18"/>
        </w:numPr>
        <w:autoSpaceDE w:val="0"/>
        <w:autoSpaceDN w:val="0"/>
        <w:rPr>
          <w:rFonts w:eastAsia="Verdana" w:cs="Verdana"/>
          <w:b/>
          <w:bCs/>
          <w:lang w:val="es-ES"/>
        </w:rPr>
      </w:pPr>
      <w:r w:rsidRPr="00F95E79">
        <w:rPr>
          <w:rFonts w:eastAsia="Verdana" w:cs="Verdana"/>
          <w:b/>
          <w:bCs/>
          <w:lang w:val="es-ES"/>
        </w:rPr>
        <w:t xml:space="preserve">ANEXOS </w:t>
      </w:r>
    </w:p>
    <w:p w14:paraId="6652972F" w14:textId="3843011F" w:rsidR="00F95E79" w:rsidRDefault="00F95E79" w:rsidP="00F95E79">
      <w:pPr>
        <w:widowControl w:val="0"/>
        <w:autoSpaceDE w:val="0"/>
        <w:autoSpaceDN w:val="0"/>
        <w:rPr>
          <w:rFonts w:eastAsia="Verdana" w:cs="Verdana"/>
          <w:b/>
          <w:bCs/>
          <w:lang w:val="es-ES"/>
        </w:rPr>
      </w:pPr>
    </w:p>
    <w:p w14:paraId="2197C9A2" w14:textId="6178AA9C" w:rsidR="00F95E79" w:rsidRPr="00F12537" w:rsidRDefault="00F95E79" w:rsidP="00F95E79">
      <w:pPr>
        <w:pStyle w:val="Descripcin"/>
        <w:keepNext/>
        <w:jc w:val="center"/>
        <w:rPr>
          <w:i w:val="0"/>
          <w:iCs w:val="0"/>
          <w:color w:val="000000" w:themeColor="text1"/>
        </w:rPr>
      </w:pPr>
      <w:r w:rsidRPr="00F12537">
        <w:rPr>
          <w:b/>
          <w:bCs/>
          <w:i w:val="0"/>
          <w:iCs w:val="0"/>
          <w:color w:val="000000" w:themeColor="text1"/>
        </w:rPr>
        <w:t xml:space="preserve">Ilustración </w:t>
      </w:r>
      <w:r w:rsidRPr="00F12537">
        <w:rPr>
          <w:b/>
          <w:bCs/>
          <w:i w:val="0"/>
          <w:iCs w:val="0"/>
          <w:color w:val="000000" w:themeColor="text1"/>
        </w:rPr>
        <w:fldChar w:fldCharType="begin"/>
      </w:r>
      <w:r w:rsidRPr="00F12537">
        <w:rPr>
          <w:b/>
          <w:bCs/>
          <w:i w:val="0"/>
          <w:iCs w:val="0"/>
          <w:color w:val="000000" w:themeColor="text1"/>
        </w:rPr>
        <w:instrText xml:space="preserve"> SEQ Ilustración \* ARABIC </w:instrText>
      </w:r>
      <w:r w:rsidRPr="00F12537">
        <w:rPr>
          <w:b/>
          <w:bCs/>
          <w:i w:val="0"/>
          <w:iCs w:val="0"/>
          <w:color w:val="000000" w:themeColor="text1"/>
        </w:rPr>
        <w:fldChar w:fldCharType="separate"/>
      </w:r>
      <w:r w:rsidR="003224A5">
        <w:rPr>
          <w:b/>
          <w:bCs/>
          <w:i w:val="0"/>
          <w:iCs w:val="0"/>
          <w:noProof/>
          <w:color w:val="000000" w:themeColor="text1"/>
        </w:rPr>
        <w:t>1</w:t>
      </w:r>
      <w:r w:rsidRPr="00F12537">
        <w:rPr>
          <w:b/>
          <w:bCs/>
          <w:i w:val="0"/>
          <w:iCs w:val="0"/>
          <w:color w:val="000000" w:themeColor="text1"/>
        </w:rPr>
        <w:fldChar w:fldCharType="end"/>
      </w:r>
      <w:r w:rsidRPr="00F12537">
        <w:rPr>
          <w:i w:val="0"/>
          <w:iCs w:val="0"/>
          <w:color w:val="000000" w:themeColor="text1"/>
        </w:rPr>
        <w:t xml:space="preserve"> Distintivo de acompañamiento familiar</w:t>
      </w:r>
    </w:p>
    <w:p w14:paraId="62D90E56" w14:textId="77777777" w:rsidR="00F95E79" w:rsidRDefault="00F95E79" w:rsidP="00F95E79">
      <w:pPr>
        <w:keepNext/>
        <w:widowControl w:val="0"/>
        <w:autoSpaceDE w:val="0"/>
        <w:autoSpaceDN w:val="0"/>
        <w:jc w:val="center"/>
      </w:pPr>
      <w:r>
        <w:rPr>
          <w:rFonts w:eastAsia="Verdana" w:cs="Verdana"/>
          <w:b/>
          <w:bCs/>
          <w:noProof/>
          <w:lang w:eastAsia="es-MX"/>
        </w:rPr>
        <w:drawing>
          <wp:inline distT="0" distB="0" distL="0" distR="0" wp14:anchorId="592D7558" wp14:editId="5B4774D3">
            <wp:extent cx="5743575" cy="5105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743575" cy="5105400"/>
                    </a:xfrm>
                    <a:prstGeom prst="rect">
                      <a:avLst/>
                    </a:prstGeom>
                  </pic:spPr>
                </pic:pic>
              </a:graphicData>
            </a:graphic>
          </wp:inline>
        </w:drawing>
      </w:r>
    </w:p>
    <w:p w14:paraId="7D8EDB0C" w14:textId="07BF8097" w:rsidR="00F95E79" w:rsidRPr="00F12537" w:rsidRDefault="00F95E79" w:rsidP="00F95E79">
      <w:pPr>
        <w:pStyle w:val="Descripcin"/>
        <w:jc w:val="center"/>
        <w:rPr>
          <w:rFonts w:eastAsia="Verdana" w:cs="Verdana"/>
          <w:b/>
          <w:bCs/>
          <w:i w:val="0"/>
          <w:iCs w:val="0"/>
          <w:color w:val="000000" w:themeColor="text1"/>
          <w:sz w:val="20"/>
          <w:szCs w:val="20"/>
          <w:lang w:val="es-ES"/>
        </w:rPr>
      </w:pPr>
      <w:r w:rsidRPr="00F12537">
        <w:rPr>
          <w:b/>
          <w:bCs/>
          <w:i w:val="0"/>
          <w:iCs w:val="0"/>
          <w:color w:val="000000" w:themeColor="text1"/>
          <w:sz w:val="20"/>
          <w:szCs w:val="20"/>
        </w:rPr>
        <w:t>Fuente:</w:t>
      </w:r>
      <w:r w:rsidRPr="00F12537">
        <w:rPr>
          <w:i w:val="0"/>
          <w:iCs w:val="0"/>
          <w:color w:val="000000" w:themeColor="text1"/>
          <w:sz w:val="20"/>
          <w:szCs w:val="20"/>
        </w:rPr>
        <w:t xml:space="preserve"> Elaboración propia </w:t>
      </w:r>
    </w:p>
    <w:sectPr w:rsidR="00F95E79" w:rsidRPr="00F12537" w:rsidSect="00523EC6">
      <w:headerReference w:type="default" r:id="rId12"/>
      <w:footerReference w:type="default" r:id="rId13"/>
      <w:pgSz w:w="12240" w:h="15840"/>
      <w:pgMar w:top="1701" w:right="1418" w:bottom="1701" w:left="1418" w:header="850" w:footer="85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A696" w14:textId="77777777" w:rsidR="00991004" w:rsidRDefault="00991004">
      <w:r>
        <w:separator/>
      </w:r>
    </w:p>
  </w:endnote>
  <w:endnote w:type="continuationSeparator" w:id="0">
    <w:p w14:paraId="5F7BA5B4" w14:textId="77777777" w:rsidR="00991004" w:rsidRDefault="0099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57EEAAE3" w:rsidR="00D76E10" w:rsidRDefault="0030394F">
    <w:pPr>
      <w:pStyle w:val="Encabezado"/>
    </w:pPr>
    <w:r>
      <w:rPr>
        <w:noProof/>
        <w:lang w:eastAsia="es-MX"/>
      </w:rPr>
      <w:drawing>
        <wp:anchor distT="0" distB="0" distL="114300" distR="114300" simplePos="0" relativeHeight="251660288" behindDoc="1" locked="0" layoutInCell="1" allowOverlap="1" wp14:anchorId="0B41267A" wp14:editId="3C954F1D">
          <wp:simplePos x="0" y="0"/>
          <wp:positionH relativeFrom="column">
            <wp:posOffset>-5715</wp:posOffset>
          </wp:positionH>
          <wp:positionV relativeFrom="paragraph">
            <wp:posOffset>-22225</wp:posOffset>
          </wp:positionV>
          <wp:extent cx="6315075" cy="48345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483459"/>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61DA" w14:textId="77777777" w:rsidR="00991004" w:rsidRDefault="00991004">
      <w:r>
        <w:separator/>
      </w:r>
    </w:p>
  </w:footnote>
  <w:footnote w:type="continuationSeparator" w:id="0">
    <w:p w14:paraId="1891BDC6" w14:textId="77777777" w:rsidR="00991004" w:rsidRDefault="0099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F12537">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27674B9D" w:rsidR="00A6018A" w:rsidRPr="00F12537" w:rsidRDefault="00A6018A" w:rsidP="00F6595F">
          <w:pPr>
            <w:jc w:val="center"/>
            <w:rPr>
              <w:rFonts w:eastAsia="Century Gothic" w:cs="Century Gothic"/>
              <w:bCs/>
              <w:spacing w:val="12"/>
              <w:sz w:val="22"/>
              <w:szCs w:val="22"/>
            </w:rPr>
          </w:pPr>
          <w:r w:rsidRPr="00F6595F">
            <w:rPr>
              <w:b/>
              <w:sz w:val="22"/>
              <w:szCs w:val="22"/>
            </w:rPr>
            <w:t xml:space="preserve">PROCESO </w:t>
          </w:r>
          <w:r w:rsidR="0030394F" w:rsidRPr="00F6595F">
            <w:rPr>
              <w:b/>
              <w:sz w:val="22"/>
              <w:szCs w:val="22"/>
            </w:rPr>
            <w:t>GESTIÓN ATENCIÓN AL USUARIO</w:t>
          </w:r>
        </w:p>
      </w:tc>
      <w:tc>
        <w:tcPr>
          <w:tcW w:w="2268" w:type="dxa"/>
        </w:tcPr>
        <w:p w14:paraId="6E149CD8" w14:textId="3FAC4E73" w:rsidR="00A6018A" w:rsidRPr="00A6018A" w:rsidRDefault="00A6018A">
          <w:pPr>
            <w:rPr>
              <w:b/>
              <w:sz w:val="18"/>
              <w:szCs w:val="18"/>
            </w:rPr>
          </w:pPr>
          <w:r w:rsidRPr="00A6018A">
            <w:rPr>
              <w:sz w:val="18"/>
              <w:szCs w:val="18"/>
            </w:rPr>
            <w:t xml:space="preserve">Código: </w:t>
          </w:r>
          <w:r w:rsidR="00F12537">
            <w:rPr>
              <w:sz w:val="18"/>
              <w:szCs w:val="18"/>
            </w:rPr>
            <w:t>PT-GAU-</w:t>
          </w:r>
          <w:r w:rsidR="00523EC6">
            <w:rPr>
              <w:sz w:val="18"/>
              <w:szCs w:val="18"/>
            </w:rPr>
            <w:t>002</w:t>
          </w:r>
        </w:p>
      </w:tc>
    </w:tr>
    <w:tr w:rsidR="00A6018A" w14:paraId="2CF73643" w14:textId="77777777" w:rsidTr="00F12537">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vAlign w:val="center"/>
        </w:tcPr>
        <w:p w14:paraId="4D1723E4" w14:textId="77777777" w:rsidR="00A6018A" w:rsidRPr="00020C31" w:rsidRDefault="00A6018A" w:rsidP="00F12537">
          <w:pPr>
            <w:jc w:val="center"/>
            <w:rPr>
              <w:sz w:val="22"/>
            </w:rPr>
          </w:pPr>
        </w:p>
      </w:tc>
      <w:tc>
        <w:tcPr>
          <w:tcW w:w="2268" w:type="dxa"/>
        </w:tcPr>
        <w:p w14:paraId="0BC8AF3C" w14:textId="02ABCBA8" w:rsidR="00A6018A" w:rsidRPr="00A6018A" w:rsidRDefault="00A6018A">
          <w:pPr>
            <w:rPr>
              <w:b/>
              <w:sz w:val="18"/>
              <w:szCs w:val="18"/>
            </w:rPr>
          </w:pPr>
          <w:proofErr w:type="spellStart"/>
          <w:r w:rsidRPr="00A6018A">
            <w:rPr>
              <w:sz w:val="18"/>
              <w:szCs w:val="18"/>
            </w:rPr>
            <w:t>Versión</w:t>
          </w:r>
          <w:proofErr w:type="spellEnd"/>
          <w:r w:rsidRPr="00A6018A">
            <w:rPr>
              <w:sz w:val="18"/>
              <w:szCs w:val="18"/>
            </w:rPr>
            <w:t>:</w:t>
          </w:r>
          <w:r w:rsidRPr="00A6018A">
            <w:rPr>
              <w:spacing w:val="16"/>
              <w:sz w:val="18"/>
              <w:szCs w:val="18"/>
            </w:rPr>
            <w:t xml:space="preserve"> </w:t>
          </w:r>
          <w:r w:rsidR="00523EC6">
            <w:rPr>
              <w:spacing w:val="16"/>
              <w:sz w:val="18"/>
              <w:szCs w:val="18"/>
            </w:rPr>
            <w:t>00</w:t>
          </w:r>
        </w:p>
      </w:tc>
    </w:tr>
    <w:tr w:rsidR="00A6018A" w14:paraId="36EDE3EB" w14:textId="77777777" w:rsidTr="00EB4721">
      <w:trPr>
        <w:trHeight w:val="394"/>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06BC837A" w:rsidR="00A6018A" w:rsidRPr="00F6595F" w:rsidRDefault="0099593A" w:rsidP="00F12537">
          <w:pPr>
            <w:jc w:val="center"/>
            <w:rPr>
              <w:rFonts w:eastAsia="Century Gothic" w:cs="Century Gothic"/>
              <w:b/>
              <w:sz w:val="22"/>
              <w:szCs w:val="22"/>
              <w:lang w:val="es-ES" w:eastAsia="es-ES"/>
            </w:rPr>
          </w:pPr>
          <w:r w:rsidRPr="00F6595F">
            <w:rPr>
              <w:b/>
              <w:sz w:val="22"/>
              <w:szCs w:val="22"/>
            </w:rPr>
            <w:t>PROTOCO</w:t>
          </w:r>
          <w:r w:rsidR="00F12537" w:rsidRPr="00F6595F">
            <w:rPr>
              <w:b/>
              <w:sz w:val="22"/>
              <w:szCs w:val="22"/>
            </w:rPr>
            <w:t xml:space="preserve">LO DE ATENCION CODIGO </w:t>
          </w:r>
          <w:r w:rsidRPr="00F6595F">
            <w:rPr>
              <w:b/>
              <w:sz w:val="22"/>
              <w:szCs w:val="22"/>
            </w:rPr>
            <w:t>LILA</w:t>
          </w:r>
        </w:p>
      </w:tc>
      <w:tc>
        <w:tcPr>
          <w:tcW w:w="2268" w:type="dxa"/>
        </w:tcPr>
        <w:p w14:paraId="416DE697" w14:textId="77777777" w:rsidR="00523EC6" w:rsidRDefault="00A6018A">
          <w:pPr>
            <w:rPr>
              <w:sz w:val="18"/>
              <w:szCs w:val="18"/>
            </w:rPr>
          </w:pPr>
          <w:proofErr w:type="spellStart"/>
          <w:r w:rsidRPr="00A6018A">
            <w:rPr>
              <w:sz w:val="18"/>
              <w:szCs w:val="18"/>
            </w:rPr>
            <w:t>Fecha</w:t>
          </w:r>
          <w:proofErr w:type="spellEnd"/>
          <w:r w:rsidRPr="00A6018A">
            <w:rPr>
              <w:sz w:val="18"/>
              <w:szCs w:val="18"/>
            </w:rPr>
            <w:t xml:space="preserve"> de </w:t>
          </w:r>
          <w:proofErr w:type="spellStart"/>
          <w:r w:rsidRPr="00A6018A">
            <w:rPr>
              <w:sz w:val="18"/>
              <w:szCs w:val="18"/>
            </w:rPr>
            <w:t>aprobación</w:t>
          </w:r>
          <w:proofErr w:type="spellEnd"/>
          <w:r w:rsidRPr="00A6018A">
            <w:rPr>
              <w:sz w:val="18"/>
              <w:szCs w:val="18"/>
            </w:rPr>
            <w:t>:</w:t>
          </w:r>
        </w:p>
        <w:p w14:paraId="094BAB0E" w14:textId="19319F15" w:rsidR="00A6018A" w:rsidRPr="00A6018A" w:rsidRDefault="00523EC6">
          <w:pPr>
            <w:rPr>
              <w:b/>
              <w:sz w:val="18"/>
              <w:szCs w:val="18"/>
            </w:rPr>
          </w:pPr>
          <w:r>
            <w:rPr>
              <w:sz w:val="18"/>
              <w:szCs w:val="18"/>
            </w:rPr>
            <w:t xml:space="preserve">22 de </w:t>
          </w:r>
          <w:proofErr w:type="spellStart"/>
          <w:r>
            <w:rPr>
              <w:sz w:val="18"/>
              <w:szCs w:val="18"/>
            </w:rPr>
            <w:t>julio</w:t>
          </w:r>
          <w:proofErr w:type="spellEnd"/>
          <w:r>
            <w:rPr>
              <w:sz w:val="18"/>
              <w:szCs w:val="18"/>
            </w:rPr>
            <w:t xml:space="preserve"> de 2025</w:t>
          </w:r>
          <w:r w:rsidR="00A6018A" w:rsidRPr="00A6018A">
            <w:rPr>
              <w:sz w:val="18"/>
              <w:szCs w:val="18"/>
            </w:rPr>
            <w:t xml:space="preserve"> </w:t>
          </w:r>
        </w:p>
      </w:tc>
    </w:tr>
    <w:tr w:rsidR="00A6018A" w14:paraId="4842BF9F" w14:textId="77777777" w:rsidTr="00EB4721">
      <w:trPr>
        <w:trHeight w:val="70"/>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133A9337" w:rsidR="00A6018A" w:rsidRPr="00A6018A" w:rsidRDefault="00A6018A">
          <w:pPr>
            <w:rPr>
              <w:b/>
              <w:sz w:val="18"/>
              <w:szCs w:val="18"/>
            </w:rPr>
          </w:pPr>
          <w:proofErr w:type="spellStart"/>
          <w:r w:rsidRPr="00A6018A">
            <w:rPr>
              <w:sz w:val="18"/>
              <w:szCs w:val="18"/>
            </w:rPr>
            <w:t>Página</w:t>
          </w:r>
          <w:proofErr w:type="spellEnd"/>
          <w:r w:rsidRPr="00A6018A">
            <w:rPr>
              <w:sz w:val="18"/>
              <w:szCs w:val="18"/>
            </w:rPr>
            <w:t>:</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523EC6">
            <w:rPr>
              <w:noProof/>
              <w:sz w:val="18"/>
              <w:szCs w:val="18"/>
            </w:rPr>
            <w:t>2</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523EC6">
            <w:rPr>
              <w:noProof/>
              <w:spacing w:val="-5"/>
              <w:sz w:val="18"/>
              <w:szCs w:val="18"/>
            </w:rPr>
            <w:t>6</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4AD"/>
    <w:multiLevelType w:val="hybridMultilevel"/>
    <w:tmpl w:val="C712B7A2"/>
    <w:lvl w:ilvl="0" w:tplc="080A0001">
      <w:start w:val="1"/>
      <w:numFmt w:val="bullet"/>
      <w:lvlText w:val=""/>
      <w:lvlJc w:val="left"/>
      <w:pPr>
        <w:ind w:left="1352"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2" w15:restartNumberingAfterBreak="0">
    <w:nsid w:val="0A4B047D"/>
    <w:multiLevelType w:val="hybridMultilevel"/>
    <w:tmpl w:val="259C2E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C8506D5"/>
    <w:multiLevelType w:val="hybridMultilevel"/>
    <w:tmpl w:val="7B9EBFAE"/>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6"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0DA2A25"/>
    <w:multiLevelType w:val="hybridMultilevel"/>
    <w:tmpl w:val="29A06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9" w15:restartNumberingAfterBreak="0">
    <w:nsid w:val="18577CCA"/>
    <w:multiLevelType w:val="multilevel"/>
    <w:tmpl w:val="AD0643C0"/>
    <w:lvl w:ilvl="0">
      <w:start w:val="1"/>
      <w:numFmt w:val="decimal"/>
      <w:lvlText w:val="%1."/>
      <w:lvlJc w:val="left"/>
      <w:pPr>
        <w:ind w:left="360" w:hanging="36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1B2B6C15"/>
    <w:multiLevelType w:val="hybridMultilevel"/>
    <w:tmpl w:val="D43CA036"/>
    <w:lvl w:ilvl="0" w:tplc="1018DD6A">
      <w:start w:val="1"/>
      <w:numFmt w:val="upperLetter"/>
      <w:lvlText w:val="%1."/>
      <w:lvlJc w:val="left"/>
      <w:pPr>
        <w:ind w:left="1004" w:hanging="360"/>
      </w:pPr>
      <w:rPr>
        <w:rFonts w:hint="default"/>
        <w:b/>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1" w15:restartNumberingAfterBreak="0">
    <w:nsid w:val="1DB1383C"/>
    <w:multiLevelType w:val="hybridMultilevel"/>
    <w:tmpl w:val="04EE5EC0"/>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2"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E2001"/>
    <w:multiLevelType w:val="hybridMultilevel"/>
    <w:tmpl w:val="E94488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5A0595"/>
    <w:multiLevelType w:val="hybridMultilevel"/>
    <w:tmpl w:val="21E0D14A"/>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5" w15:restartNumberingAfterBreak="0">
    <w:nsid w:val="42765C87"/>
    <w:multiLevelType w:val="hybridMultilevel"/>
    <w:tmpl w:val="D00A862A"/>
    <w:lvl w:ilvl="0" w:tplc="D81C4120">
      <w:start w:val="1"/>
      <w:numFmt w:val="upperLetter"/>
      <w:lvlText w:val="%1."/>
      <w:lvlJc w:val="left"/>
      <w:pPr>
        <w:ind w:left="862" w:hanging="360"/>
      </w:pPr>
      <w:rPr>
        <w:rFonts w:hint="default"/>
        <w:b/>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6" w15:restartNumberingAfterBreak="0">
    <w:nsid w:val="47930BBB"/>
    <w:multiLevelType w:val="hybridMultilevel"/>
    <w:tmpl w:val="4D041F36"/>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7"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8"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E986398"/>
    <w:multiLevelType w:val="hybridMultilevel"/>
    <w:tmpl w:val="023C2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19805F1"/>
    <w:multiLevelType w:val="hybridMultilevel"/>
    <w:tmpl w:val="C5F49CB0"/>
    <w:lvl w:ilvl="0" w:tplc="8BCA7104">
      <w:start w:val="1"/>
      <w:numFmt w:val="decimal"/>
      <w:lvlText w:val="%1."/>
      <w:lvlJc w:val="left"/>
      <w:pPr>
        <w:ind w:left="502"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E87AA6"/>
    <w:multiLevelType w:val="hybridMultilevel"/>
    <w:tmpl w:val="89EA6D6C"/>
    <w:lvl w:ilvl="0" w:tplc="7898D994">
      <w:start w:val="1"/>
      <w:numFmt w:val="lowerLetter"/>
      <w:lvlText w:val="%1."/>
      <w:lvlJc w:val="left"/>
      <w:pPr>
        <w:ind w:left="1146" w:hanging="360"/>
      </w:pPr>
      <w:rPr>
        <w:rFonts w:hint="default"/>
        <w:b/>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2" w15:restartNumberingAfterBreak="0">
    <w:nsid w:val="547C62E3"/>
    <w:multiLevelType w:val="hybridMultilevel"/>
    <w:tmpl w:val="A4B641D0"/>
    <w:lvl w:ilvl="0" w:tplc="080A001B">
      <w:start w:val="1"/>
      <w:numFmt w:val="lowerRoman"/>
      <w:lvlText w:val="%1."/>
      <w:lvlJc w:val="righ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3"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5" w15:restartNumberingAfterBreak="0">
    <w:nsid w:val="5D1E1C88"/>
    <w:multiLevelType w:val="hybridMultilevel"/>
    <w:tmpl w:val="CC66FC8E"/>
    <w:lvl w:ilvl="0" w:tplc="A06CED8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7" w15:restartNumberingAfterBreak="0">
    <w:nsid w:val="654719BE"/>
    <w:multiLevelType w:val="hybridMultilevel"/>
    <w:tmpl w:val="160E97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9247DE"/>
    <w:multiLevelType w:val="hybridMultilevel"/>
    <w:tmpl w:val="30B4C398"/>
    <w:lvl w:ilvl="0" w:tplc="41885BB8">
      <w:start w:val="1"/>
      <w:numFmt w:val="decimal"/>
      <w:lvlText w:val="%1."/>
      <w:lvlJc w:val="left"/>
      <w:pPr>
        <w:ind w:left="644"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68070A6"/>
    <w:multiLevelType w:val="hybridMultilevel"/>
    <w:tmpl w:val="BF3019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5" w15:restartNumberingAfterBreak="0">
    <w:nsid w:val="7A8D4BE6"/>
    <w:multiLevelType w:val="hybridMultilevel"/>
    <w:tmpl w:val="A2CE3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AC94F53"/>
    <w:multiLevelType w:val="hybridMultilevel"/>
    <w:tmpl w:val="AFF85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2"/>
  </w:num>
  <w:num w:numId="2">
    <w:abstractNumId w:val="31"/>
  </w:num>
  <w:num w:numId="3">
    <w:abstractNumId w:val="18"/>
  </w:num>
  <w:num w:numId="4">
    <w:abstractNumId w:val="4"/>
  </w:num>
  <w:num w:numId="5">
    <w:abstractNumId w:val="37"/>
  </w:num>
  <w:num w:numId="6">
    <w:abstractNumId w:val="1"/>
  </w:num>
  <w:num w:numId="7">
    <w:abstractNumId w:val="26"/>
  </w:num>
  <w:num w:numId="8">
    <w:abstractNumId w:val="6"/>
  </w:num>
  <w:num w:numId="9">
    <w:abstractNumId w:val="5"/>
  </w:num>
  <w:num w:numId="10">
    <w:abstractNumId w:val="23"/>
  </w:num>
  <w:num w:numId="11">
    <w:abstractNumId w:val="24"/>
  </w:num>
  <w:num w:numId="12">
    <w:abstractNumId w:val="8"/>
  </w:num>
  <w:num w:numId="13">
    <w:abstractNumId w:val="17"/>
  </w:num>
  <w:num w:numId="14">
    <w:abstractNumId w:val="29"/>
  </w:num>
  <w:num w:numId="15">
    <w:abstractNumId w:val="28"/>
  </w:num>
  <w:num w:numId="16">
    <w:abstractNumId w:val="12"/>
  </w:num>
  <w:num w:numId="17">
    <w:abstractNumId w:val="34"/>
  </w:num>
  <w:num w:numId="18">
    <w:abstractNumId w:val="9"/>
  </w:num>
  <w:num w:numId="19">
    <w:abstractNumId w:val="13"/>
  </w:num>
  <w:num w:numId="20">
    <w:abstractNumId w:val="19"/>
  </w:num>
  <w:num w:numId="21">
    <w:abstractNumId w:val="20"/>
  </w:num>
  <w:num w:numId="22">
    <w:abstractNumId w:val="27"/>
  </w:num>
  <w:num w:numId="23">
    <w:abstractNumId w:val="2"/>
  </w:num>
  <w:num w:numId="24">
    <w:abstractNumId w:val="33"/>
  </w:num>
  <w:num w:numId="25">
    <w:abstractNumId w:val="14"/>
  </w:num>
  <w:num w:numId="26">
    <w:abstractNumId w:val="22"/>
  </w:num>
  <w:num w:numId="27">
    <w:abstractNumId w:val="11"/>
  </w:num>
  <w:num w:numId="28">
    <w:abstractNumId w:val="16"/>
  </w:num>
  <w:num w:numId="29">
    <w:abstractNumId w:val="0"/>
  </w:num>
  <w:num w:numId="30">
    <w:abstractNumId w:val="35"/>
  </w:num>
  <w:num w:numId="31">
    <w:abstractNumId w:val="30"/>
  </w:num>
  <w:num w:numId="32">
    <w:abstractNumId w:val="3"/>
  </w:num>
  <w:num w:numId="33">
    <w:abstractNumId w:val="36"/>
  </w:num>
  <w:num w:numId="34">
    <w:abstractNumId w:val="7"/>
  </w:num>
  <w:num w:numId="35">
    <w:abstractNumId w:val="15"/>
  </w:num>
  <w:num w:numId="36">
    <w:abstractNumId w:val="10"/>
  </w:num>
  <w:num w:numId="37">
    <w:abstractNumId w:val="2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47447"/>
    <w:rsid w:val="00053B4B"/>
    <w:rsid w:val="00086ECC"/>
    <w:rsid w:val="0010372D"/>
    <w:rsid w:val="001114B0"/>
    <w:rsid w:val="00196CAB"/>
    <w:rsid w:val="001A3F9B"/>
    <w:rsid w:val="001D37EC"/>
    <w:rsid w:val="001D4E35"/>
    <w:rsid w:val="00217CEF"/>
    <w:rsid w:val="00274ADB"/>
    <w:rsid w:val="0028573C"/>
    <w:rsid w:val="00287110"/>
    <w:rsid w:val="0030394F"/>
    <w:rsid w:val="003224A5"/>
    <w:rsid w:val="00341C51"/>
    <w:rsid w:val="00374584"/>
    <w:rsid w:val="003D5636"/>
    <w:rsid w:val="00426F92"/>
    <w:rsid w:val="00460272"/>
    <w:rsid w:val="004627DD"/>
    <w:rsid w:val="004D3EE5"/>
    <w:rsid w:val="00523EC6"/>
    <w:rsid w:val="005271FB"/>
    <w:rsid w:val="005323BA"/>
    <w:rsid w:val="00543BC0"/>
    <w:rsid w:val="00565858"/>
    <w:rsid w:val="00574C26"/>
    <w:rsid w:val="0057593D"/>
    <w:rsid w:val="005A41E9"/>
    <w:rsid w:val="00624458"/>
    <w:rsid w:val="00630292"/>
    <w:rsid w:val="006D1EF5"/>
    <w:rsid w:val="00704265"/>
    <w:rsid w:val="00770D06"/>
    <w:rsid w:val="007B5CDB"/>
    <w:rsid w:val="007D6368"/>
    <w:rsid w:val="00804FEF"/>
    <w:rsid w:val="00813E4B"/>
    <w:rsid w:val="008943F5"/>
    <w:rsid w:val="008D315B"/>
    <w:rsid w:val="008F1FE0"/>
    <w:rsid w:val="009148A4"/>
    <w:rsid w:val="00975223"/>
    <w:rsid w:val="00991004"/>
    <w:rsid w:val="0099593A"/>
    <w:rsid w:val="009F1D97"/>
    <w:rsid w:val="00A5390F"/>
    <w:rsid w:val="00A6018A"/>
    <w:rsid w:val="00A61D11"/>
    <w:rsid w:val="00A8710E"/>
    <w:rsid w:val="00AB67C9"/>
    <w:rsid w:val="00B14EE0"/>
    <w:rsid w:val="00B37D22"/>
    <w:rsid w:val="00B72960"/>
    <w:rsid w:val="00B904A3"/>
    <w:rsid w:val="00BF1ECE"/>
    <w:rsid w:val="00C058C7"/>
    <w:rsid w:val="00C646B8"/>
    <w:rsid w:val="00CD513A"/>
    <w:rsid w:val="00CD7D59"/>
    <w:rsid w:val="00D0207E"/>
    <w:rsid w:val="00D25C58"/>
    <w:rsid w:val="00D43A11"/>
    <w:rsid w:val="00D76E10"/>
    <w:rsid w:val="00D8046B"/>
    <w:rsid w:val="00DB0D1B"/>
    <w:rsid w:val="00DB7A23"/>
    <w:rsid w:val="00DF0399"/>
    <w:rsid w:val="00E24063"/>
    <w:rsid w:val="00EB4721"/>
    <w:rsid w:val="00F117E8"/>
    <w:rsid w:val="00F12537"/>
    <w:rsid w:val="00F6595F"/>
    <w:rsid w:val="00F95E79"/>
    <w:rsid w:val="00FD7C34"/>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6D9623C3-7646-42F9-9749-7112D7F4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customStyle="1" w:styleId="Mencinsinresolver1">
    <w:name w:val="Mención sin resolver1"/>
    <w:basedOn w:val="Fuentedeprrafopredeter"/>
    <w:uiPriority w:val="99"/>
    <w:semiHidden/>
    <w:unhideWhenUsed/>
    <w:rsid w:val="00DB7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70775789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ican.es/xmlui/bitstream/handle/10902/2182/BooPuenteMJ.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ncer.org/es/cancer/como-sobrellevar-el-cancer/atencion-paliativa/que-es-el-cuidado-paliativo.html" TargetMode="External"/><Relationship Id="rId4" Type="http://schemas.openxmlformats.org/officeDocument/2006/relationships/settings" Target="settings.xml"/><Relationship Id="rId9" Type="http://schemas.openxmlformats.org/officeDocument/2006/relationships/hyperlink" Target="https://www.funcionpublica.gov.co/eva/gestornormativo/norma.php?i=59379"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A7AD2-C8E6-4914-98DC-588801BA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4294896750</TotalTime>
  <Pages>6</Pages>
  <Words>1548</Words>
  <Characters>8518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4</cp:revision>
  <cp:lastPrinted>2025-07-22T15:50:00Z</cp:lastPrinted>
  <dcterms:created xsi:type="dcterms:W3CDTF">2025-07-22T17:02:00Z</dcterms:created>
  <dcterms:modified xsi:type="dcterms:W3CDTF">2025-07-22T15:53:00Z</dcterms:modified>
</cp:coreProperties>
</file>