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text" w:horzAnchor="margin" w:tblpY="9763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05"/>
        <w:gridCol w:w="2552"/>
        <w:gridCol w:w="2409"/>
        <w:gridCol w:w="2557"/>
      </w:tblGrid>
      <w:tr w:rsidR="00803790" w:rsidRPr="00FE635A" w14:paraId="69B6B0D1" w14:textId="77777777" w:rsidTr="009876D0">
        <w:trPr>
          <w:trHeight w:val="776"/>
        </w:trPr>
        <w:tc>
          <w:tcPr>
            <w:tcW w:w="2405" w:type="dxa"/>
            <w:tcBorders>
              <w:bottom w:val="nil"/>
            </w:tcBorders>
          </w:tcPr>
          <w:p w14:paraId="32408230" w14:textId="77777777" w:rsidR="00803790" w:rsidRPr="00FE635A" w:rsidRDefault="00803790" w:rsidP="00803790">
            <w:pPr>
              <w:jc w:val="left"/>
              <w:rPr>
                <w:sz w:val="20"/>
                <w:szCs w:val="20"/>
              </w:rPr>
            </w:pPr>
          </w:p>
          <w:p w14:paraId="6FCF39E3" w14:textId="77777777" w:rsidR="00803790" w:rsidRPr="00FE635A" w:rsidRDefault="00803790" w:rsidP="00803790">
            <w:pPr>
              <w:jc w:val="left"/>
              <w:rPr>
                <w:sz w:val="20"/>
                <w:szCs w:val="20"/>
              </w:rPr>
            </w:pPr>
            <w:r w:rsidRPr="00FE635A">
              <w:rPr>
                <w:sz w:val="20"/>
                <w:szCs w:val="20"/>
              </w:rPr>
              <w:t xml:space="preserve"> Elaboración:</w:t>
            </w:r>
          </w:p>
          <w:p w14:paraId="7BEC9A1E" w14:textId="77777777" w:rsidR="00803790" w:rsidRPr="00FE635A" w:rsidRDefault="00803790" w:rsidP="00803790">
            <w:pPr>
              <w:jc w:val="left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MX"/>
              </w:rPr>
              <w:drawing>
                <wp:anchor distT="0" distB="0" distL="114300" distR="114300" simplePos="0" relativeHeight="251663360" behindDoc="1" locked="0" layoutInCell="1" allowOverlap="1" wp14:anchorId="35094DC0" wp14:editId="40F8893B">
                  <wp:simplePos x="0" y="0"/>
                  <wp:positionH relativeFrom="column">
                    <wp:posOffset>-73842</wp:posOffset>
                  </wp:positionH>
                  <wp:positionV relativeFrom="paragraph">
                    <wp:posOffset>164737</wp:posOffset>
                  </wp:positionV>
                  <wp:extent cx="1475105" cy="438785"/>
                  <wp:effectExtent l="0" t="0" r="0" b="0"/>
                  <wp:wrapNone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5105" cy="4387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552" w:type="dxa"/>
            <w:tcBorders>
              <w:bottom w:val="nil"/>
            </w:tcBorders>
          </w:tcPr>
          <w:p w14:paraId="3EE17D64" w14:textId="77777777" w:rsidR="00803790" w:rsidRPr="00FE635A" w:rsidRDefault="00803790" w:rsidP="00803790">
            <w:pPr>
              <w:jc w:val="left"/>
              <w:rPr>
                <w:sz w:val="20"/>
                <w:szCs w:val="20"/>
              </w:rPr>
            </w:pPr>
            <w:r w:rsidRPr="00FE635A">
              <w:rPr>
                <w:sz w:val="20"/>
                <w:szCs w:val="20"/>
              </w:rPr>
              <w:t xml:space="preserve"> Revisión </w:t>
            </w:r>
          </w:p>
          <w:p w14:paraId="6B942EFB" w14:textId="77777777" w:rsidR="00803790" w:rsidRPr="00FE635A" w:rsidRDefault="00803790" w:rsidP="00803790">
            <w:pPr>
              <w:jc w:val="left"/>
              <w:rPr>
                <w:sz w:val="20"/>
                <w:szCs w:val="20"/>
              </w:rPr>
            </w:pPr>
            <w:r w:rsidRPr="00FE635A">
              <w:rPr>
                <w:noProof/>
                <w:sz w:val="20"/>
                <w:szCs w:val="20"/>
                <w:lang w:eastAsia="es-MX"/>
              </w:rPr>
              <w:drawing>
                <wp:anchor distT="0" distB="0" distL="114300" distR="114300" simplePos="0" relativeHeight="251662336" behindDoc="1" locked="0" layoutInCell="1" allowOverlap="1" wp14:anchorId="19B5650B" wp14:editId="5EF20AD8">
                  <wp:simplePos x="0" y="0"/>
                  <wp:positionH relativeFrom="column">
                    <wp:posOffset>9525</wp:posOffset>
                  </wp:positionH>
                  <wp:positionV relativeFrom="paragraph">
                    <wp:posOffset>119380</wp:posOffset>
                  </wp:positionV>
                  <wp:extent cx="1532121" cy="583894"/>
                  <wp:effectExtent l="0" t="0" r="0" b="6985"/>
                  <wp:wrapNone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2121" cy="58389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E635A">
              <w:rPr>
                <w:sz w:val="20"/>
                <w:szCs w:val="20"/>
              </w:rPr>
              <w:t xml:space="preserve"> Técnico/Científica:</w:t>
            </w:r>
          </w:p>
          <w:p w14:paraId="2EDB423B" w14:textId="77777777" w:rsidR="00803790" w:rsidRPr="00FE635A" w:rsidRDefault="00803790" w:rsidP="00803790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2409" w:type="dxa"/>
            <w:tcBorders>
              <w:bottom w:val="nil"/>
            </w:tcBorders>
          </w:tcPr>
          <w:p w14:paraId="0CEF87DB" w14:textId="77777777" w:rsidR="00803790" w:rsidRPr="00803790" w:rsidRDefault="00803790" w:rsidP="00803790">
            <w:pPr>
              <w:jc w:val="left"/>
              <w:rPr>
                <w:sz w:val="20"/>
                <w:szCs w:val="20"/>
              </w:rPr>
            </w:pPr>
          </w:p>
          <w:p w14:paraId="0D7F2363" w14:textId="5C3BA3D0" w:rsidR="00803790" w:rsidRPr="00803790" w:rsidRDefault="00803790" w:rsidP="00803790">
            <w:pPr>
              <w:jc w:val="left"/>
              <w:rPr>
                <w:sz w:val="20"/>
                <w:szCs w:val="20"/>
              </w:rPr>
            </w:pPr>
            <w:r w:rsidRPr="00803790">
              <w:rPr>
                <w:sz w:val="20"/>
                <w:szCs w:val="20"/>
              </w:rPr>
              <w:t xml:space="preserve"> Revisión Calidad:</w:t>
            </w:r>
          </w:p>
        </w:tc>
        <w:tc>
          <w:tcPr>
            <w:tcW w:w="2557" w:type="dxa"/>
            <w:tcBorders>
              <w:bottom w:val="nil"/>
            </w:tcBorders>
          </w:tcPr>
          <w:p w14:paraId="16437C14" w14:textId="77777777" w:rsidR="00803790" w:rsidRPr="00803790" w:rsidRDefault="00803790" w:rsidP="00803790">
            <w:pPr>
              <w:jc w:val="left"/>
              <w:rPr>
                <w:sz w:val="20"/>
                <w:szCs w:val="20"/>
              </w:rPr>
            </w:pPr>
          </w:p>
          <w:p w14:paraId="1E88306E" w14:textId="35FBC962" w:rsidR="00803790" w:rsidRPr="00803790" w:rsidRDefault="00803790" w:rsidP="00803790">
            <w:pPr>
              <w:jc w:val="left"/>
              <w:rPr>
                <w:sz w:val="20"/>
                <w:szCs w:val="20"/>
              </w:rPr>
            </w:pPr>
            <w:r w:rsidRPr="00803790">
              <w:rPr>
                <w:sz w:val="20"/>
                <w:szCs w:val="20"/>
              </w:rPr>
              <w:t xml:space="preserve">  Aprobación:</w:t>
            </w:r>
          </w:p>
        </w:tc>
      </w:tr>
      <w:tr w:rsidR="00803790" w:rsidRPr="00FE635A" w14:paraId="3EB939E6" w14:textId="77777777" w:rsidTr="009876D0">
        <w:tblPrEx>
          <w:tblCellMar>
            <w:left w:w="70" w:type="dxa"/>
            <w:right w:w="70" w:type="dxa"/>
          </w:tblCellMar>
        </w:tblPrEx>
        <w:trPr>
          <w:trHeight w:val="999"/>
        </w:trPr>
        <w:tc>
          <w:tcPr>
            <w:tcW w:w="2405" w:type="dxa"/>
            <w:tcBorders>
              <w:top w:val="nil"/>
            </w:tcBorders>
          </w:tcPr>
          <w:p w14:paraId="20AA3F5C" w14:textId="77777777" w:rsidR="00803790" w:rsidRPr="00FE635A" w:rsidRDefault="00803790" w:rsidP="00803790">
            <w:pPr>
              <w:tabs>
                <w:tab w:val="left" w:pos="538"/>
              </w:tabs>
              <w:rPr>
                <w:noProof/>
                <w:sz w:val="20"/>
                <w:szCs w:val="20"/>
                <w:lang w:eastAsia="es-MX"/>
              </w:rPr>
            </w:pPr>
          </w:p>
          <w:p w14:paraId="3E4D6272" w14:textId="77777777" w:rsidR="00803790" w:rsidRPr="00FE635A" w:rsidRDefault="00803790" w:rsidP="00803790">
            <w:pPr>
              <w:tabs>
                <w:tab w:val="left" w:pos="538"/>
              </w:tabs>
              <w:rPr>
                <w:sz w:val="20"/>
                <w:szCs w:val="20"/>
              </w:rPr>
            </w:pPr>
          </w:p>
          <w:p w14:paraId="39C687D5" w14:textId="77777777" w:rsidR="00803790" w:rsidRPr="00D43A11" w:rsidRDefault="00803790" w:rsidP="00803790">
            <w:pPr>
              <w:jc w:val="center"/>
              <w:rPr>
                <w:bCs/>
                <w:sz w:val="20"/>
                <w:szCs w:val="20"/>
              </w:rPr>
            </w:pPr>
            <w:r w:rsidRPr="009876D0">
              <w:rPr>
                <w:b/>
                <w:sz w:val="20"/>
                <w:szCs w:val="20"/>
              </w:rPr>
              <w:t xml:space="preserve">KAREN LASSO HACHE </w:t>
            </w:r>
            <w:r>
              <w:t xml:space="preserve"> </w:t>
            </w:r>
            <w:r w:rsidRPr="009876D0">
              <w:rPr>
                <w:bCs/>
                <w:sz w:val="20"/>
                <w:szCs w:val="20"/>
              </w:rPr>
              <w:t>Pro</w:t>
            </w:r>
            <w:r>
              <w:rPr>
                <w:bCs/>
                <w:sz w:val="20"/>
                <w:szCs w:val="20"/>
              </w:rPr>
              <w:t>fesional seguridad del paciente</w:t>
            </w:r>
          </w:p>
        </w:tc>
        <w:tc>
          <w:tcPr>
            <w:tcW w:w="2552" w:type="dxa"/>
            <w:tcBorders>
              <w:top w:val="nil"/>
            </w:tcBorders>
          </w:tcPr>
          <w:p w14:paraId="1055B6BF" w14:textId="77777777" w:rsidR="00803790" w:rsidRPr="00FE635A" w:rsidRDefault="00803790" w:rsidP="00803790">
            <w:pPr>
              <w:rPr>
                <w:sz w:val="20"/>
                <w:szCs w:val="20"/>
              </w:rPr>
            </w:pPr>
          </w:p>
          <w:p w14:paraId="435071FD" w14:textId="77777777" w:rsidR="00803790" w:rsidRPr="00FE635A" w:rsidRDefault="00803790" w:rsidP="00803790">
            <w:pPr>
              <w:jc w:val="center"/>
              <w:rPr>
                <w:sz w:val="20"/>
                <w:szCs w:val="20"/>
              </w:rPr>
            </w:pPr>
          </w:p>
          <w:p w14:paraId="0031BE05" w14:textId="77777777" w:rsidR="00803790" w:rsidRPr="00FE635A" w:rsidRDefault="00803790" w:rsidP="00803790">
            <w:pPr>
              <w:jc w:val="center"/>
              <w:rPr>
                <w:b/>
                <w:sz w:val="20"/>
                <w:szCs w:val="20"/>
              </w:rPr>
            </w:pPr>
            <w:r w:rsidRPr="00FE635A">
              <w:rPr>
                <w:b/>
                <w:sz w:val="20"/>
                <w:szCs w:val="20"/>
              </w:rPr>
              <w:t>SANDRA FIGUEROA</w:t>
            </w:r>
          </w:p>
          <w:p w14:paraId="0F5387C2" w14:textId="77777777" w:rsidR="00803790" w:rsidRPr="00FE635A" w:rsidRDefault="00803790" w:rsidP="00803790">
            <w:pPr>
              <w:jc w:val="center"/>
              <w:rPr>
                <w:sz w:val="20"/>
                <w:szCs w:val="20"/>
              </w:rPr>
            </w:pPr>
            <w:r w:rsidRPr="00FE635A">
              <w:rPr>
                <w:sz w:val="20"/>
                <w:szCs w:val="20"/>
              </w:rPr>
              <w:t>Coordina</w:t>
            </w:r>
            <w:r>
              <w:rPr>
                <w:sz w:val="20"/>
                <w:szCs w:val="20"/>
              </w:rPr>
              <w:t xml:space="preserve">dora </w:t>
            </w:r>
            <w:r w:rsidRPr="00FE635A">
              <w:rPr>
                <w:sz w:val="20"/>
                <w:szCs w:val="20"/>
              </w:rPr>
              <w:t>de Calidad y servicios de apoyo</w:t>
            </w:r>
          </w:p>
        </w:tc>
        <w:tc>
          <w:tcPr>
            <w:tcW w:w="2409" w:type="dxa"/>
            <w:tcBorders>
              <w:top w:val="nil"/>
            </w:tcBorders>
          </w:tcPr>
          <w:p w14:paraId="45205287" w14:textId="77777777" w:rsidR="00803790" w:rsidRPr="00803790" w:rsidRDefault="00803790" w:rsidP="00803790">
            <w:pPr>
              <w:jc w:val="center"/>
              <w:rPr>
                <w:sz w:val="20"/>
                <w:szCs w:val="20"/>
              </w:rPr>
            </w:pPr>
          </w:p>
          <w:p w14:paraId="040AE21C" w14:textId="77777777" w:rsidR="00803790" w:rsidRPr="00803790" w:rsidRDefault="00803790" w:rsidP="00803790">
            <w:pPr>
              <w:jc w:val="center"/>
              <w:rPr>
                <w:b/>
                <w:sz w:val="20"/>
                <w:szCs w:val="20"/>
              </w:rPr>
            </w:pPr>
          </w:p>
          <w:p w14:paraId="3090F037" w14:textId="5915BE4D" w:rsidR="00803790" w:rsidRPr="00803790" w:rsidRDefault="00803790" w:rsidP="00803790">
            <w:pPr>
              <w:jc w:val="center"/>
              <w:rPr>
                <w:b/>
                <w:bCs/>
                <w:sz w:val="20"/>
                <w:szCs w:val="20"/>
              </w:rPr>
            </w:pPr>
            <w:r w:rsidRPr="00803790">
              <w:rPr>
                <w:b/>
                <w:bCs/>
                <w:sz w:val="20"/>
                <w:szCs w:val="20"/>
              </w:rPr>
              <w:t>CRISTIAN JIMENEZ</w:t>
            </w:r>
            <w:r>
              <w:rPr>
                <w:b/>
                <w:bCs/>
                <w:sz w:val="20"/>
                <w:szCs w:val="20"/>
              </w:rPr>
              <w:t xml:space="preserve"> QUINTERO</w:t>
            </w:r>
          </w:p>
          <w:p w14:paraId="28A7B0AE" w14:textId="435C2F9E" w:rsidR="00803790" w:rsidRPr="00803790" w:rsidRDefault="00803790" w:rsidP="00803790">
            <w:pPr>
              <w:jc w:val="center"/>
              <w:rPr>
                <w:b/>
                <w:sz w:val="20"/>
                <w:szCs w:val="20"/>
              </w:rPr>
            </w:pPr>
            <w:r w:rsidRPr="00803790">
              <w:rPr>
                <w:sz w:val="20"/>
                <w:szCs w:val="20"/>
              </w:rPr>
              <w:t>Profesional de Calidad y Riesgos</w:t>
            </w:r>
          </w:p>
        </w:tc>
        <w:tc>
          <w:tcPr>
            <w:tcW w:w="2557" w:type="dxa"/>
            <w:tcBorders>
              <w:top w:val="nil"/>
            </w:tcBorders>
          </w:tcPr>
          <w:p w14:paraId="67256012" w14:textId="77777777" w:rsidR="00803790" w:rsidRPr="00803790" w:rsidRDefault="00803790" w:rsidP="00803790">
            <w:pPr>
              <w:jc w:val="center"/>
              <w:rPr>
                <w:sz w:val="20"/>
                <w:szCs w:val="20"/>
              </w:rPr>
            </w:pPr>
          </w:p>
          <w:p w14:paraId="1FE38136" w14:textId="77777777" w:rsidR="00803790" w:rsidRPr="00803790" w:rsidRDefault="00803790" w:rsidP="00803790">
            <w:pPr>
              <w:jc w:val="center"/>
              <w:rPr>
                <w:b/>
                <w:sz w:val="20"/>
                <w:szCs w:val="20"/>
              </w:rPr>
            </w:pPr>
          </w:p>
          <w:p w14:paraId="75E0B2F4" w14:textId="195256A7" w:rsidR="00803790" w:rsidRPr="00803790" w:rsidRDefault="00803790" w:rsidP="00803790">
            <w:pPr>
              <w:jc w:val="center"/>
              <w:rPr>
                <w:b/>
                <w:bCs/>
                <w:sz w:val="20"/>
                <w:szCs w:val="20"/>
              </w:rPr>
            </w:pPr>
            <w:r w:rsidRPr="00803790">
              <w:rPr>
                <w:b/>
                <w:bCs/>
                <w:sz w:val="20"/>
                <w:szCs w:val="20"/>
              </w:rPr>
              <w:t>MAURICIO ENR</w:t>
            </w:r>
            <w:r>
              <w:rPr>
                <w:b/>
                <w:bCs/>
                <w:sz w:val="20"/>
                <w:szCs w:val="20"/>
              </w:rPr>
              <w:t>Í</w:t>
            </w:r>
            <w:r w:rsidRPr="00803790">
              <w:rPr>
                <w:b/>
                <w:bCs/>
                <w:sz w:val="20"/>
                <w:szCs w:val="20"/>
              </w:rPr>
              <w:t>QUEZ</w:t>
            </w:r>
            <w:r>
              <w:rPr>
                <w:b/>
                <w:bCs/>
                <w:sz w:val="20"/>
                <w:szCs w:val="20"/>
              </w:rPr>
              <w:t xml:space="preserve"> VELÁSQUEZ</w:t>
            </w:r>
          </w:p>
          <w:p w14:paraId="6F9B953D" w14:textId="483E3FA3" w:rsidR="00803790" w:rsidRPr="00803790" w:rsidRDefault="00803790" w:rsidP="00803790">
            <w:pPr>
              <w:jc w:val="center"/>
              <w:rPr>
                <w:b/>
                <w:sz w:val="20"/>
                <w:szCs w:val="20"/>
              </w:rPr>
            </w:pPr>
            <w:r w:rsidRPr="00803790">
              <w:rPr>
                <w:sz w:val="20"/>
                <w:szCs w:val="20"/>
              </w:rPr>
              <w:t>Director Ejecutivo</w:t>
            </w:r>
          </w:p>
        </w:tc>
      </w:tr>
    </w:tbl>
    <w:p w14:paraId="62EF0664" w14:textId="77777777" w:rsidR="00B27E66" w:rsidRPr="0017363F" w:rsidRDefault="00B27E66"/>
    <w:p w14:paraId="06D5225E" w14:textId="77777777" w:rsidR="00A1505A" w:rsidRPr="0017363F" w:rsidRDefault="00A1505A"/>
    <w:p w14:paraId="3994232D" w14:textId="77777777" w:rsidR="00A1505A" w:rsidRPr="0017363F" w:rsidRDefault="00A1505A"/>
    <w:p w14:paraId="03164394" w14:textId="77777777" w:rsidR="00A1505A" w:rsidRPr="0017363F" w:rsidRDefault="00A1505A"/>
    <w:p w14:paraId="082B2A29" w14:textId="77777777" w:rsidR="00A1505A" w:rsidRPr="0017363F" w:rsidRDefault="00A1505A"/>
    <w:p w14:paraId="7AFD0C82" w14:textId="77777777" w:rsidR="00A1505A" w:rsidRPr="0017363F" w:rsidRDefault="00A1505A"/>
    <w:p w14:paraId="58D5CF1A" w14:textId="77777777" w:rsidR="00A1505A" w:rsidRPr="0017363F" w:rsidRDefault="00A1505A"/>
    <w:p w14:paraId="1D76FB21" w14:textId="77777777" w:rsidR="00A1505A" w:rsidRPr="0017363F" w:rsidRDefault="00A1505A"/>
    <w:p w14:paraId="788CDCEE" w14:textId="77777777" w:rsidR="00A1505A" w:rsidRPr="0017363F" w:rsidRDefault="00A1505A"/>
    <w:p w14:paraId="4F047C4A" w14:textId="77777777" w:rsidR="00A1505A" w:rsidRPr="0017363F" w:rsidRDefault="00A1505A"/>
    <w:p w14:paraId="7A20F706" w14:textId="77777777" w:rsidR="00A1505A" w:rsidRPr="0017363F" w:rsidRDefault="00A1505A"/>
    <w:p w14:paraId="5DB1A0B5" w14:textId="77777777" w:rsidR="00A1505A" w:rsidRPr="0017363F" w:rsidRDefault="00A1505A"/>
    <w:p w14:paraId="026F1F97" w14:textId="77777777" w:rsidR="00A1505A" w:rsidRPr="0017363F" w:rsidRDefault="00A1505A"/>
    <w:p w14:paraId="7C1BA38B" w14:textId="77777777" w:rsidR="00A1505A" w:rsidRPr="0017363F" w:rsidRDefault="00A1505A"/>
    <w:p w14:paraId="4B5DF479" w14:textId="77777777" w:rsidR="00A1505A" w:rsidRPr="0017363F" w:rsidRDefault="00A1505A"/>
    <w:p w14:paraId="6E78A2CA" w14:textId="77777777" w:rsidR="00A1505A" w:rsidRPr="0017363F" w:rsidRDefault="00A1505A"/>
    <w:p w14:paraId="250A219C" w14:textId="77777777" w:rsidR="00D5491D" w:rsidRPr="0017363F" w:rsidRDefault="00D5491D"/>
    <w:p w14:paraId="10B82BD3" w14:textId="77777777" w:rsidR="00A1505A" w:rsidRPr="0017363F" w:rsidRDefault="00A1505A" w:rsidP="00A1505A">
      <w:pPr>
        <w:pStyle w:val="Ttulo1"/>
        <w:rPr>
          <w:szCs w:val="22"/>
        </w:rPr>
      </w:pPr>
    </w:p>
    <w:p w14:paraId="04760271" w14:textId="77777777" w:rsidR="00A1505A" w:rsidRPr="0017363F" w:rsidRDefault="00A1505A" w:rsidP="00A1505A"/>
    <w:p w14:paraId="3E4852C9" w14:textId="77777777" w:rsidR="00A1505A" w:rsidRPr="0017363F" w:rsidRDefault="00A1505A" w:rsidP="00A1505A"/>
    <w:p w14:paraId="779CC986" w14:textId="77777777" w:rsidR="00A1505A" w:rsidRPr="0017363F" w:rsidRDefault="00A1505A" w:rsidP="00D34DAE">
      <w:pPr>
        <w:pStyle w:val="Ttulo1"/>
        <w:ind w:left="720"/>
        <w:rPr>
          <w:b/>
          <w:szCs w:val="22"/>
        </w:rPr>
      </w:pPr>
    </w:p>
    <w:p w14:paraId="54EC1815" w14:textId="77777777" w:rsidR="00D5491D" w:rsidRPr="0017363F" w:rsidRDefault="00D5491D" w:rsidP="009876D0"/>
    <w:p w14:paraId="0064C7F5" w14:textId="309B24DC" w:rsidR="00D5491D" w:rsidRPr="0017363F" w:rsidRDefault="00D5491D" w:rsidP="009876D0">
      <w:pPr>
        <w:rPr>
          <w:b/>
        </w:rPr>
      </w:pPr>
    </w:p>
    <w:p w14:paraId="3557ABD1" w14:textId="77777777" w:rsidR="00D5491D" w:rsidRPr="0017363F" w:rsidRDefault="00D5491D" w:rsidP="009876D0"/>
    <w:p w14:paraId="7F673209" w14:textId="77777777" w:rsidR="00D5491D" w:rsidRPr="0017363F" w:rsidRDefault="00D5491D" w:rsidP="009876D0"/>
    <w:p w14:paraId="34F78BF1" w14:textId="77777777" w:rsidR="00D5491D" w:rsidRPr="0017363F" w:rsidRDefault="00D5491D" w:rsidP="009876D0"/>
    <w:p w14:paraId="533BA1A4" w14:textId="77777777" w:rsidR="009876D0" w:rsidRDefault="009876D0" w:rsidP="00A1505A"/>
    <w:p w14:paraId="31B4FAAE" w14:textId="77777777" w:rsidR="009876D0" w:rsidRPr="0017363F" w:rsidRDefault="009876D0" w:rsidP="00A1505A"/>
    <w:p w14:paraId="0701ABF2" w14:textId="77777777" w:rsidR="009876D0" w:rsidRDefault="00D5491D" w:rsidP="009876D0">
      <w:pPr>
        <w:pStyle w:val="Ttulo1"/>
        <w:numPr>
          <w:ilvl w:val="0"/>
          <w:numId w:val="2"/>
        </w:numPr>
        <w:rPr>
          <w:b/>
          <w:szCs w:val="22"/>
        </w:rPr>
      </w:pPr>
      <w:r w:rsidRPr="0017363F">
        <w:rPr>
          <w:b/>
          <w:szCs w:val="22"/>
        </w:rPr>
        <w:lastRenderedPageBreak/>
        <w:t>OBJETIVO</w:t>
      </w:r>
      <w:r w:rsidR="009D30E7" w:rsidRPr="0017363F">
        <w:rPr>
          <w:b/>
          <w:szCs w:val="22"/>
        </w:rPr>
        <w:t>:</w:t>
      </w:r>
    </w:p>
    <w:p w14:paraId="662E285F" w14:textId="77777777" w:rsidR="00D5491D" w:rsidRPr="009876D0" w:rsidRDefault="009D30E7" w:rsidP="009876D0">
      <w:pPr>
        <w:pStyle w:val="Ttulo1"/>
        <w:rPr>
          <w:b/>
          <w:szCs w:val="22"/>
        </w:rPr>
      </w:pPr>
      <w:r w:rsidRPr="009876D0">
        <w:t xml:space="preserve">Estandarizar </w:t>
      </w:r>
      <w:r w:rsidR="0017363F" w:rsidRPr="009876D0">
        <w:t>protocolo que</w:t>
      </w:r>
      <w:r w:rsidRPr="009876D0">
        <w:t xml:space="preserve"> fortalezcan la comunicación de malas noticias en </w:t>
      </w:r>
      <w:r w:rsidR="0017363F" w:rsidRPr="009876D0">
        <w:t>los profesionales</w:t>
      </w:r>
      <w:r w:rsidRPr="009876D0">
        <w:t xml:space="preserve"> de la salud de </w:t>
      </w:r>
      <w:r w:rsidR="00342A3E" w:rsidRPr="009876D0">
        <w:t xml:space="preserve">Red Medicron IPS - </w:t>
      </w:r>
      <w:r w:rsidR="0017363F" w:rsidRPr="009876D0">
        <w:t>Hospital</w:t>
      </w:r>
      <w:r w:rsidRPr="009876D0">
        <w:t xml:space="preserve"> San José con el fin de garantizar la atención integral y humanizada de los pacientes y sus familiares</w:t>
      </w:r>
    </w:p>
    <w:p w14:paraId="13CFACF7" w14:textId="77777777" w:rsidR="00D5491D" w:rsidRPr="0017363F" w:rsidRDefault="009D30E7" w:rsidP="00E11101">
      <w:pPr>
        <w:pStyle w:val="Ttulo1"/>
        <w:numPr>
          <w:ilvl w:val="0"/>
          <w:numId w:val="2"/>
        </w:numPr>
        <w:rPr>
          <w:b/>
          <w:szCs w:val="22"/>
        </w:rPr>
      </w:pPr>
      <w:r w:rsidRPr="0017363F">
        <w:rPr>
          <w:b/>
          <w:szCs w:val="22"/>
        </w:rPr>
        <w:t>ALCANCE:</w:t>
      </w:r>
    </w:p>
    <w:p w14:paraId="212B3B27" w14:textId="77777777" w:rsidR="009D30E7" w:rsidRPr="0017363F" w:rsidRDefault="009D30E7" w:rsidP="00E11101">
      <w:r w:rsidRPr="0017363F">
        <w:t xml:space="preserve">El protocolo de información de </w:t>
      </w:r>
      <w:r w:rsidR="0017363F" w:rsidRPr="0017363F">
        <w:t>malas noticias</w:t>
      </w:r>
      <w:r w:rsidRPr="0017363F">
        <w:t xml:space="preserve"> está dirigido a </w:t>
      </w:r>
      <w:r w:rsidR="00342A3E">
        <w:t>personal asistencial de Red M</w:t>
      </w:r>
      <w:r w:rsidRPr="0017363F">
        <w:t xml:space="preserve">edicron </w:t>
      </w:r>
      <w:r w:rsidR="00342A3E">
        <w:t xml:space="preserve">IPS </w:t>
      </w:r>
      <w:r w:rsidRPr="0017363F">
        <w:t>Hospital San José, sin distinción del tipo de vinculación con la empresa.</w:t>
      </w:r>
    </w:p>
    <w:p w14:paraId="1288FC38" w14:textId="77777777" w:rsidR="009D30E7" w:rsidRPr="0017363F" w:rsidRDefault="007A1767" w:rsidP="00E11101">
      <w:pPr>
        <w:pStyle w:val="Ttulo1"/>
        <w:numPr>
          <w:ilvl w:val="0"/>
          <w:numId w:val="2"/>
        </w:numPr>
        <w:rPr>
          <w:b/>
          <w:szCs w:val="22"/>
        </w:rPr>
      </w:pPr>
      <w:r w:rsidRPr="0017363F">
        <w:rPr>
          <w:b/>
          <w:szCs w:val="22"/>
        </w:rPr>
        <w:t>MATERIALES, EQUIPOS E INSUMOS</w:t>
      </w:r>
      <w:r w:rsidR="009D30E7" w:rsidRPr="0017363F">
        <w:rPr>
          <w:b/>
          <w:szCs w:val="22"/>
        </w:rPr>
        <w:t>:</w:t>
      </w:r>
    </w:p>
    <w:p w14:paraId="2C40BAE6" w14:textId="77777777" w:rsidR="00D34DAE" w:rsidRPr="009876D0" w:rsidRDefault="009D30E7" w:rsidP="00E11101">
      <w:pPr>
        <w:pStyle w:val="Ttulo1"/>
        <w:numPr>
          <w:ilvl w:val="0"/>
          <w:numId w:val="3"/>
        </w:numPr>
        <w:rPr>
          <w:szCs w:val="22"/>
        </w:rPr>
      </w:pPr>
      <w:r w:rsidRPr="0017363F">
        <w:rPr>
          <w:szCs w:val="22"/>
        </w:rPr>
        <w:t xml:space="preserve">Historia clínica </w:t>
      </w:r>
      <w:r w:rsidR="007A1767" w:rsidRPr="0017363F">
        <w:rPr>
          <w:szCs w:val="22"/>
        </w:rPr>
        <w:t xml:space="preserve"> </w:t>
      </w:r>
    </w:p>
    <w:p w14:paraId="4A4ED921" w14:textId="77777777" w:rsidR="009D30E7" w:rsidRPr="0017363F" w:rsidRDefault="00D34DAE" w:rsidP="00E11101">
      <w:pPr>
        <w:pStyle w:val="Ttulo1"/>
        <w:numPr>
          <w:ilvl w:val="0"/>
          <w:numId w:val="2"/>
        </w:numPr>
        <w:rPr>
          <w:b/>
          <w:szCs w:val="22"/>
        </w:rPr>
      </w:pPr>
      <w:r w:rsidRPr="0017363F">
        <w:rPr>
          <w:b/>
          <w:szCs w:val="22"/>
        </w:rPr>
        <w:t>RIESGOS Y COMPLICACIONES</w:t>
      </w:r>
      <w:r w:rsidR="009D30E7" w:rsidRPr="0017363F">
        <w:rPr>
          <w:b/>
          <w:szCs w:val="22"/>
        </w:rPr>
        <w:t>:</w:t>
      </w:r>
    </w:p>
    <w:p w14:paraId="4DEC9D15" w14:textId="77777777" w:rsidR="009D30E7" w:rsidRPr="0017363F" w:rsidRDefault="009D30E7" w:rsidP="009876D0">
      <w:pPr>
        <w:pStyle w:val="Prrafodelista"/>
        <w:numPr>
          <w:ilvl w:val="0"/>
          <w:numId w:val="16"/>
        </w:numPr>
      </w:pPr>
      <w:r w:rsidRPr="0017363F">
        <w:t xml:space="preserve">Comunicación no clara </w:t>
      </w:r>
    </w:p>
    <w:p w14:paraId="0952FD28" w14:textId="77777777" w:rsidR="00960641" w:rsidRPr="0017363F" w:rsidRDefault="009D30E7" w:rsidP="00E11101">
      <w:pPr>
        <w:pStyle w:val="Prrafodelista"/>
        <w:numPr>
          <w:ilvl w:val="0"/>
          <w:numId w:val="16"/>
        </w:numPr>
      </w:pPr>
      <w:r w:rsidRPr="0017363F">
        <w:t>Desinformación</w:t>
      </w:r>
    </w:p>
    <w:p w14:paraId="4FC6A8CB" w14:textId="77777777" w:rsidR="00D5491D" w:rsidRPr="0017363F" w:rsidRDefault="00D5491D" w:rsidP="00E11101">
      <w:pPr>
        <w:pStyle w:val="Ttulo1"/>
        <w:numPr>
          <w:ilvl w:val="0"/>
          <w:numId w:val="2"/>
        </w:numPr>
        <w:rPr>
          <w:b/>
          <w:szCs w:val="22"/>
        </w:rPr>
      </w:pPr>
      <w:r w:rsidRPr="0017363F">
        <w:rPr>
          <w:b/>
          <w:szCs w:val="22"/>
        </w:rPr>
        <w:t>DEFINICIONES</w:t>
      </w:r>
      <w:r w:rsidR="009D30E7" w:rsidRPr="0017363F">
        <w:rPr>
          <w:b/>
          <w:szCs w:val="22"/>
        </w:rPr>
        <w:t>:</w:t>
      </w:r>
    </w:p>
    <w:p w14:paraId="1346559B" w14:textId="77777777" w:rsidR="0017363F" w:rsidRPr="0017363F" w:rsidRDefault="0017363F" w:rsidP="00E11101">
      <w:r w:rsidRPr="0017363F">
        <w:t>Mala noticia se entiende Como la información qué afecta negativamente las expectativas que tiene el paciente de sí mismo y de su futuro; la consecuencia de esta mala noticia, puede ser el desajuste emocional y conductual que persiste en el paciente incluso mucho después de que se haya comunicado, está puede ser desde el resultado de un examen, un diagnóstico de mal pronóstico y eventos adversos o incidentes ocurridos durante la atención en salud.</w:t>
      </w:r>
    </w:p>
    <w:p w14:paraId="0C4ED754" w14:textId="77777777" w:rsidR="0017363F" w:rsidRPr="0017363F" w:rsidRDefault="0017363F" w:rsidP="00E11101">
      <w:r w:rsidRPr="0017363F">
        <w:t>Es importante mencionar que la buena comunicación de una mala noticia a los pacientes y su familia dependerá de la personalidad de los actores, de sus creencias religiosas de su contexto sociocultural, del apoyo familiar y de la naturaleza de la noticia.</w:t>
      </w:r>
    </w:p>
    <w:p w14:paraId="47A777F3" w14:textId="77777777" w:rsidR="0017363F" w:rsidRPr="0017363F" w:rsidRDefault="0017363F" w:rsidP="00E11101">
      <w:r w:rsidRPr="0017363F">
        <w:t>Las malas noticias pueden presentarse en el siguiente ámbito:</w:t>
      </w:r>
    </w:p>
    <w:p w14:paraId="7EB17539" w14:textId="77777777" w:rsidR="009D30E7" w:rsidRPr="0017363F" w:rsidRDefault="0017363F" w:rsidP="00E11101">
      <w:r w:rsidRPr="0017363F">
        <w:t>Enfermedades Cómo VIH, enfermedades de transmisión sexual, enfermedades autoinmunes, enfermedades neurodegenerativas, eventos adversos ocurridos durante la atención en salud y complicaciones del paciente.</w:t>
      </w:r>
    </w:p>
    <w:p w14:paraId="78EB04A3" w14:textId="77777777" w:rsidR="00D5491D" w:rsidRDefault="00D5491D" w:rsidP="00E11101">
      <w:pPr>
        <w:pStyle w:val="Ttulo1"/>
        <w:numPr>
          <w:ilvl w:val="0"/>
          <w:numId w:val="2"/>
        </w:numPr>
        <w:rPr>
          <w:b/>
          <w:szCs w:val="22"/>
        </w:rPr>
      </w:pPr>
      <w:r w:rsidRPr="0017363F">
        <w:rPr>
          <w:b/>
          <w:szCs w:val="22"/>
        </w:rPr>
        <w:t xml:space="preserve">MARCO LEGAL </w:t>
      </w:r>
    </w:p>
    <w:p w14:paraId="6B1DE802" w14:textId="77777777" w:rsidR="00E11101" w:rsidRPr="00E11101" w:rsidRDefault="00E11101" w:rsidP="00E11101"/>
    <w:p w14:paraId="755A8C3C" w14:textId="77777777" w:rsidR="0017363F" w:rsidRPr="00D7426C" w:rsidRDefault="0017363F" w:rsidP="00D7426C">
      <w:pPr>
        <w:pStyle w:val="Prrafodelista"/>
        <w:numPr>
          <w:ilvl w:val="0"/>
          <w:numId w:val="4"/>
        </w:numPr>
      </w:pPr>
      <w:r w:rsidRPr="00D7426C">
        <w:t>Decreto 1011 de 2006 por el cual se establece el sistema obligatorio de garantía de calidad de la atención en salud el sistema general de seguridad social en salud.</w:t>
      </w:r>
    </w:p>
    <w:p w14:paraId="2DC2CF36" w14:textId="77777777" w:rsidR="0017363F" w:rsidRPr="00D7426C" w:rsidRDefault="0017363F" w:rsidP="00D7426C">
      <w:pPr>
        <w:pStyle w:val="Prrafodelista"/>
        <w:numPr>
          <w:ilvl w:val="0"/>
          <w:numId w:val="4"/>
        </w:numPr>
      </w:pPr>
      <w:r w:rsidRPr="00D7426C">
        <w:t>Ley 23 de 1981 ética médica.</w:t>
      </w:r>
    </w:p>
    <w:p w14:paraId="2594165F" w14:textId="77777777" w:rsidR="0017363F" w:rsidRPr="00D7426C" w:rsidRDefault="00D7426C" w:rsidP="00D7426C">
      <w:pPr>
        <w:pStyle w:val="Prrafodelista"/>
        <w:numPr>
          <w:ilvl w:val="0"/>
          <w:numId w:val="4"/>
        </w:numPr>
      </w:pPr>
      <w:r w:rsidRPr="00D7426C">
        <w:t>L</w:t>
      </w:r>
      <w:r w:rsidR="0017363F" w:rsidRPr="00D7426C">
        <w:t>ey 266 de 1996 reglamenta las acciones de Los profesionales de enfermería.</w:t>
      </w:r>
    </w:p>
    <w:p w14:paraId="3D2B067D" w14:textId="77777777" w:rsidR="00D7426C" w:rsidRDefault="0017363F" w:rsidP="00D7426C">
      <w:pPr>
        <w:pStyle w:val="Prrafodelista"/>
        <w:numPr>
          <w:ilvl w:val="0"/>
          <w:numId w:val="4"/>
        </w:numPr>
      </w:pPr>
      <w:r w:rsidRPr="00D7426C">
        <w:t>Resolución 3100 del 2019 establece estándares de habilitación.</w:t>
      </w:r>
    </w:p>
    <w:p w14:paraId="36A4CA4B" w14:textId="77777777" w:rsidR="0017363F" w:rsidRPr="00D7426C" w:rsidRDefault="0017363F" w:rsidP="00D7426C">
      <w:pPr>
        <w:pStyle w:val="Prrafodelista"/>
        <w:numPr>
          <w:ilvl w:val="0"/>
          <w:numId w:val="4"/>
        </w:numPr>
      </w:pPr>
      <w:r w:rsidRPr="00D7426C">
        <w:t xml:space="preserve">Resolución 9095 del 2018 por la cual se adopta el nuevo manual de acreditación en salud ambulatorio y hospitalario en Colombia. </w:t>
      </w:r>
    </w:p>
    <w:p w14:paraId="6AF173C3" w14:textId="77777777" w:rsidR="0017363F" w:rsidRPr="00D7426C" w:rsidRDefault="0017363F" w:rsidP="00D7426C">
      <w:pPr>
        <w:pStyle w:val="Prrafodelista"/>
        <w:numPr>
          <w:ilvl w:val="0"/>
          <w:numId w:val="4"/>
        </w:numPr>
      </w:pPr>
      <w:r w:rsidRPr="00D7426C">
        <w:t>Resolución 1328 de 2021, por el cual se modifica el artículo 1 de la resolución 5095 del 2018, en el sentido de adoptar los estándares de acreditación para instituciones prestadoras de servicio de salud con enfoque en servicios de baja complejidad.</w:t>
      </w:r>
    </w:p>
    <w:p w14:paraId="4BF2FBD9" w14:textId="77777777" w:rsidR="0017363F" w:rsidRPr="0017363F" w:rsidRDefault="00D5491D" w:rsidP="00E11101">
      <w:pPr>
        <w:pStyle w:val="Ttulo1"/>
        <w:numPr>
          <w:ilvl w:val="0"/>
          <w:numId w:val="2"/>
        </w:numPr>
        <w:rPr>
          <w:szCs w:val="22"/>
        </w:rPr>
      </w:pPr>
      <w:r w:rsidRPr="0017363F">
        <w:rPr>
          <w:b/>
          <w:szCs w:val="22"/>
        </w:rPr>
        <w:lastRenderedPageBreak/>
        <w:t>DESC</w:t>
      </w:r>
      <w:r w:rsidR="00D34DAE" w:rsidRPr="0017363F">
        <w:rPr>
          <w:b/>
          <w:szCs w:val="22"/>
        </w:rPr>
        <w:t>R</w:t>
      </w:r>
      <w:r w:rsidR="0017363F" w:rsidRPr="0017363F">
        <w:rPr>
          <w:b/>
          <w:szCs w:val="22"/>
        </w:rPr>
        <w:t>IPCIÓN DE ACTIVIDADES:</w:t>
      </w:r>
    </w:p>
    <w:p w14:paraId="43B47EFC" w14:textId="77777777" w:rsidR="0017363F" w:rsidRPr="0017363F" w:rsidRDefault="0017363F" w:rsidP="00E11101">
      <w:r w:rsidRPr="0017363F">
        <w:t>Dentro del barrido de la información se realizó para crear este instructivo el protocolo Skipe (según Walter F baile, R</w:t>
      </w:r>
      <w:r>
        <w:t>obert B</w:t>
      </w:r>
      <w:r w:rsidRPr="0017363F">
        <w:t>eckham) es el que mejor fundamenta la comunicación de las malas noticias y nos invita cumplir con las siguientes recomendaciones:</w:t>
      </w:r>
    </w:p>
    <w:p w14:paraId="7E786A80" w14:textId="77777777" w:rsidR="0017363F" w:rsidRPr="00D7426C" w:rsidRDefault="0017363F" w:rsidP="00D7426C">
      <w:pPr>
        <w:pStyle w:val="Prrafodelista"/>
        <w:numPr>
          <w:ilvl w:val="0"/>
          <w:numId w:val="5"/>
        </w:numPr>
      </w:pPr>
      <w:r w:rsidRPr="00D7426C">
        <w:rPr>
          <w:b/>
        </w:rPr>
        <w:t>ETAPA 1 preparación del entorno</w:t>
      </w:r>
      <w:r w:rsidRPr="00D7426C">
        <w:t>: en esta etapa se requiere la certeza del diagnóstico por parte del profesional y tomar en cuenta el entorno, lugar, hora, circunstancia, apoyo de compañeros o familiares del paciente para dar la comunicación de la mala noticia.</w:t>
      </w:r>
    </w:p>
    <w:p w14:paraId="6C9AB259" w14:textId="77777777" w:rsidR="0017363F" w:rsidRPr="00D7426C" w:rsidRDefault="0017363F" w:rsidP="00D7426C">
      <w:pPr>
        <w:pStyle w:val="Prrafodelista"/>
        <w:numPr>
          <w:ilvl w:val="0"/>
          <w:numId w:val="5"/>
        </w:numPr>
      </w:pPr>
      <w:r w:rsidRPr="00D7426C">
        <w:rPr>
          <w:b/>
        </w:rPr>
        <w:t>ETAPA 2. averiguar cuánto sabe el paciente</w:t>
      </w:r>
      <w:r w:rsidRPr="00D7426C">
        <w:t>: lo más adecuado que puede hacer el profesional de salud en esta etapa, es investigar qué sabe el paciente de la enfermedad a través de preguntas abiertas y con apoyo narrativo profundizar este conocimiento, ejemplos</w:t>
      </w:r>
    </w:p>
    <w:p w14:paraId="05B8F84C" w14:textId="77777777" w:rsidR="0017363F" w:rsidRPr="0017363F" w:rsidRDefault="0017363F" w:rsidP="00EF2810">
      <w:pPr>
        <w:pStyle w:val="Prrafodelista"/>
        <w:numPr>
          <w:ilvl w:val="0"/>
          <w:numId w:val="13"/>
        </w:numPr>
      </w:pPr>
      <w:r w:rsidRPr="0017363F">
        <w:t>¿Qué e han dicho en el hospital?</w:t>
      </w:r>
    </w:p>
    <w:p w14:paraId="241A27BF" w14:textId="77777777" w:rsidR="0017363F" w:rsidRPr="0017363F" w:rsidRDefault="0017363F" w:rsidP="00EF2810">
      <w:pPr>
        <w:pStyle w:val="Prrafodelista"/>
        <w:numPr>
          <w:ilvl w:val="0"/>
          <w:numId w:val="13"/>
        </w:numPr>
      </w:pPr>
      <w:r w:rsidRPr="0017363F">
        <w:t>¿Está preocupado por su enfermedad?</w:t>
      </w:r>
    </w:p>
    <w:p w14:paraId="1A737D57" w14:textId="77777777" w:rsidR="0017363F" w:rsidRPr="0017363F" w:rsidRDefault="0017363F" w:rsidP="00EF2810">
      <w:pPr>
        <w:pStyle w:val="Prrafodelista"/>
        <w:numPr>
          <w:ilvl w:val="0"/>
          <w:numId w:val="13"/>
        </w:numPr>
      </w:pPr>
      <w:r w:rsidRPr="0017363F">
        <w:t>¿Qué piensa de su enfermedad?</w:t>
      </w:r>
    </w:p>
    <w:p w14:paraId="5B9C39DC" w14:textId="77777777" w:rsidR="0017363F" w:rsidRPr="00D7426C" w:rsidRDefault="0017363F" w:rsidP="00D7426C">
      <w:pPr>
        <w:pStyle w:val="Prrafodelista"/>
        <w:numPr>
          <w:ilvl w:val="0"/>
          <w:numId w:val="6"/>
        </w:numPr>
      </w:pPr>
      <w:r w:rsidRPr="00D7426C">
        <w:rPr>
          <w:b/>
        </w:rPr>
        <w:t>ETAPA 3 qué se quiere saber</w:t>
      </w:r>
      <w:r w:rsidRPr="00D7426C">
        <w:t>: darle la posibilidad al paciente y/o familiares de obtener mayor información de la enfermedad si ellos desean, respetando sus silencios, evasivas o negativas, dando la posibilidad de continuar la explicación En un momento más apropiado, por ejemplo</w:t>
      </w:r>
    </w:p>
    <w:p w14:paraId="1364A329" w14:textId="77777777" w:rsidR="0017363F" w:rsidRPr="0017363F" w:rsidRDefault="0017363F" w:rsidP="00EF2810">
      <w:pPr>
        <w:pStyle w:val="Prrafodelista"/>
        <w:numPr>
          <w:ilvl w:val="0"/>
          <w:numId w:val="14"/>
        </w:numPr>
      </w:pPr>
      <w:r w:rsidRPr="0017363F">
        <w:t>¿Le gustaría que le expliqué más de su enfermedad?</w:t>
      </w:r>
    </w:p>
    <w:p w14:paraId="16D42780" w14:textId="77777777" w:rsidR="0017363F" w:rsidRPr="0017363F" w:rsidRDefault="0017363F" w:rsidP="00EF2810">
      <w:pPr>
        <w:pStyle w:val="Prrafodelista"/>
        <w:numPr>
          <w:ilvl w:val="0"/>
          <w:numId w:val="14"/>
        </w:numPr>
      </w:pPr>
      <w:r w:rsidRPr="0017363F">
        <w:t>¿Quiere que le comenté algo más de la enfermedad que padece su familiar?</w:t>
      </w:r>
    </w:p>
    <w:p w14:paraId="63FC178A" w14:textId="77777777" w:rsidR="0017363F" w:rsidRPr="00D7426C" w:rsidRDefault="0017363F" w:rsidP="00D7426C">
      <w:pPr>
        <w:pStyle w:val="Prrafodelista"/>
        <w:numPr>
          <w:ilvl w:val="0"/>
          <w:numId w:val="6"/>
        </w:numPr>
      </w:pPr>
      <w:r w:rsidRPr="00D7426C">
        <w:rPr>
          <w:b/>
        </w:rPr>
        <w:t>ETAPA 4 compartiendo la información</w:t>
      </w:r>
      <w:r w:rsidRPr="00D7426C">
        <w:t>: Una vez que se tiene claro que sabe y que desea saber el paciente, la información se debe brindar de un modo gradual, que el paciente y sus familiares vayan asimilando la gravedad de la enfermedad, sobre todo si se tiene expectativas infundadas de mejoría clínica.</w:t>
      </w:r>
    </w:p>
    <w:p w14:paraId="591FF242" w14:textId="77777777" w:rsidR="00D7426C" w:rsidRDefault="0017363F" w:rsidP="00E11101">
      <w:pPr>
        <w:pStyle w:val="Prrafodelista"/>
        <w:numPr>
          <w:ilvl w:val="0"/>
          <w:numId w:val="6"/>
        </w:numPr>
      </w:pPr>
      <w:r w:rsidRPr="00D7426C">
        <w:rPr>
          <w:b/>
        </w:rPr>
        <w:t>ETAPA 5 responder adecuadamente a los sentimientos del paciente</w:t>
      </w:r>
      <w:r w:rsidRPr="00D7426C">
        <w:t>: es importante que el profesional que vaya a dar la mala noticia, esté dispuesto y comprometido en apoyar al paciente y familiares emocionalmente, que le permita identificar la emoción del paciente, reconocerla y verbalizar expresando empáticamente</w:t>
      </w:r>
      <w:r w:rsidR="00D7426C">
        <w:t xml:space="preserve"> la comprensión del sentimiento.</w:t>
      </w:r>
    </w:p>
    <w:p w14:paraId="399DA1BF" w14:textId="77777777" w:rsidR="0017363F" w:rsidRPr="00D7426C" w:rsidRDefault="0017363F" w:rsidP="00EF2810">
      <w:pPr>
        <w:pStyle w:val="Prrafodelista"/>
        <w:ind w:left="360"/>
      </w:pPr>
      <w:r w:rsidRPr="00D7426C">
        <w:t>El rango de reacciones emocionales del paciente es amplio y variable en el tiempo. Sin embargo, los estudios sobre duelo y de comunicación médica nos permiten tener un panorama general sobre el proceso emocional de aceptación de una realidad dolorosa. frecuentemente ante una mala noticia espera una primera reacción de shock e incertidumbre. Sí reconocemos la naturaleza protectora de la negación inicial y sabemos que el bloqueo post información impide que la persona retenga lo que se le informa, podremos evitar forzar al paciente o a su familia a asumir prematuramente su situación y daremos información tantas veces como sea necesario. Muchas veces el impacto inicial de una mala noticia se acompaña de una mezcla de terror, angustia y sensación de irrealidad</w:t>
      </w:r>
    </w:p>
    <w:p w14:paraId="6F52F912" w14:textId="77777777" w:rsidR="0017363F" w:rsidRPr="00D7426C" w:rsidRDefault="0017363F" w:rsidP="00D7426C">
      <w:pPr>
        <w:pStyle w:val="Prrafodelista"/>
        <w:numPr>
          <w:ilvl w:val="0"/>
          <w:numId w:val="6"/>
        </w:numPr>
      </w:pPr>
      <w:r w:rsidRPr="00D7426C">
        <w:rPr>
          <w:b/>
        </w:rPr>
        <w:t>Etapa 6 Estableciendo un plan conjunto de cuidados</w:t>
      </w:r>
      <w:r w:rsidRPr="00D7426C">
        <w:t xml:space="preserve">: la función de esta etapa es transmitir al paciente apoyo por parte del profesional, hacer sentir al paciente que no se queda solo y que tiene algún grado de control sobre lo que vaya ocurriendo en el futuro. Sin embargo, Cómo se ha indicado, si no se identifica y responde a las emociones del paciente, difícilmente el contribuirá o escuchará el plan de tratamiento. Buckman sugiere proponer una estrategia médica que reconozca la emoción del paciente y los hechos, procurando no derribar toda esperanza, dónde se planifiquen los pasos a seguir, plan de tratamiento, </w:t>
      </w:r>
      <w:r w:rsidRPr="00D7426C">
        <w:lastRenderedPageBreak/>
        <w:t>retroalimentar para verificar comprensión de la información, de ser necesario repetir lo acordado</w:t>
      </w:r>
    </w:p>
    <w:p w14:paraId="5D2A1BD4" w14:textId="77777777" w:rsidR="0017363F" w:rsidRPr="0017363F" w:rsidRDefault="0017363F" w:rsidP="0017363F">
      <w:r w:rsidRPr="0017363F">
        <w:rPr>
          <w:noProof/>
          <w:lang w:eastAsia="es-MX"/>
        </w:rPr>
        <w:drawing>
          <wp:inline distT="0" distB="0" distL="0" distR="0" wp14:anchorId="0696F4FC" wp14:editId="68412C54">
            <wp:extent cx="6363335" cy="40862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7604" cy="408896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37A6A42" w14:textId="77777777" w:rsidR="0017363F" w:rsidRPr="0017363F" w:rsidRDefault="0017363F" w:rsidP="0017363F"/>
    <w:tbl>
      <w:tblPr>
        <w:tblStyle w:val="Tablaconcuadrcula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749"/>
        <w:gridCol w:w="1919"/>
        <w:gridCol w:w="3415"/>
        <w:gridCol w:w="1922"/>
        <w:gridCol w:w="1957"/>
      </w:tblGrid>
      <w:tr w:rsidR="0017363F" w:rsidRPr="00B50174" w14:paraId="3238FB6C" w14:textId="77777777" w:rsidTr="00467EA9">
        <w:tc>
          <w:tcPr>
            <w:tcW w:w="704" w:type="dxa"/>
          </w:tcPr>
          <w:p w14:paraId="7A4B426F" w14:textId="77777777" w:rsidR="0017363F" w:rsidRPr="00B50174" w:rsidRDefault="00B50174" w:rsidP="00B5017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PASO</w:t>
            </w:r>
          </w:p>
        </w:tc>
        <w:tc>
          <w:tcPr>
            <w:tcW w:w="1559" w:type="dxa"/>
          </w:tcPr>
          <w:p w14:paraId="3440A212" w14:textId="77777777" w:rsidR="0017363F" w:rsidRPr="00B50174" w:rsidRDefault="0017363F" w:rsidP="00B50174">
            <w:pPr>
              <w:jc w:val="center"/>
              <w:rPr>
                <w:b/>
                <w:sz w:val="20"/>
                <w:szCs w:val="20"/>
              </w:rPr>
            </w:pPr>
            <w:r w:rsidRPr="00B50174">
              <w:rPr>
                <w:b/>
                <w:sz w:val="20"/>
                <w:szCs w:val="20"/>
              </w:rPr>
              <w:t>ACTIVIDAD</w:t>
            </w:r>
          </w:p>
        </w:tc>
        <w:tc>
          <w:tcPr>
            <w:tcW w:w="3713" w:type="dxa"/>
          </w:tcPr>
          <w:p w14:paraId="2E966F39" w14:textId="77777777" w:rsidR="0017363F" w:rsidRPr="00B50174" w:rsidRDefault="0017363F" w:rsidP="00B50174">
            <w:pPr>
              <w:jc w:val="center"/>
              <w:rPr>
                <w:b/>
                <w:sz w:val="20"/>
                <w:szCs w:val="20"/>
              </w:rPr>
            </w:pPr>
            <w:r w:rsidRPr="00B50174">
              <w:rPr>
                <w:b/>
                <w:sz w:val="20"/>
                <w:szCs w:val="20"/>
              </w:rPr>
              <w:t>DESCRIPCION</w:t>
            </w:r>
          </w:p>
        </w:tc>
        <w:tc>
          <w:tcPr>
            <w:tcW w:w="1993" w:type="dxa"/>
          </w:tcPr>
          <w:p w14:paraId="5C3599A6" w14:textId="77777777" w:rsidR="0017363F" w:rsidRPr="00B50174" w:rsidRDefault="0017363F" w:rsidP="00B50174">
            <w:pPr>
              <w:jc w:val="center"/>
              <w:rPr>
                <w:b/>
                <w:sz w:val="20"/>
                <w:szCs w:val="20"/>
              </w:rPr>
            </w:pPr>
            <w:r w:rsidRPr="00B50174">
              <w:rPr>
                <w:b/>
                <w:sz w:val="20"/>
                <w:szCs w:val="20"/>
              </w:rPr>
              <w:t>RESPONSABLE</w:t>
            </w:r>
          </w:p>
        </w:tc>
        <w:tc>
          <w:tcPr>
            <w:tcW w:w="1993" w:type="dxa"/>
          </w:tcPr>
          <w:p w14:paraId="0F545B23" w14:textId="77777777" w:rsidR="0017363F" w:rsidRPr="00B50174" w:rsidRDefault="00B50174" w:rsidP="00B5017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DOCUMENTOS RELACIONADOS</w:t>
            </w:r>
          </w:p>
        </w:tc>
      </w:tr>
      <w:tr w:rsidR="0017363F" w:rsidRPr="00B50174" w14:paraId="09932A24" w14:textId="77777777" w:rsidTr="00467EA9">
        <w:tc>
          <w:tcPr>
            <w:tcW w:w="704" w:type="dxa"/>
          </w:tcPr>
          <w:p w14:paraId="4F12306E" w14:textId="77777777" w:rsidR="0017363F" w:rsidRPr="00B50174" w:rsidRDefault="0017363F" w:rsidP="00B50174">
            <w:pPr>
              <w:jc w:val="center"/>
              <w:rPr>
                <w:sz w:val="20"/>
                <w:szCs w:val="20"/>
              </w:rPr>
            </w:pPr>
            <w:r w:rsidRPr="00B50174">
              <w:rPr>
                <w:sz w:val="20"/>
                <w:szCs w:val="20"/>
              </w:rPr>
              <w:t>1</w:t>
            </w:r>
          </w:p>
        </w:tc>
        <w:tc>
          <w:tcPr>
            <w:tcW w:w="1559" w:type="dxa"/>
          </w:tcPr>
          <w:p w14:paraId="07D8CFC5" w14:textId="77777777" w:rsidR="0017363F" w:rsidRPr="00B50174" w:rsidRDefault="0017363F" w:rsidP="00B50174">
            <w:pPr>
              <w:jc w:val="center"/>
              <w:rPr>
                <w:sz w:val="20"/>
                <w:szCs w:val="20"/>
              </w:rPr>
            </w:pPr>
            <w:r w:rsidRPr="00B50174">
              <w:rPr>
                <w:sz w:val="20"/>
                <w:szCs w:val="20"/>
              </w:rPr>
              <w:t>Preparación del personal</w:t>
            </w:r>
          </w:p>
        </w:tc>
        <w:tc>
          <w:tcPr>
            <w:tcW w:w="3713" w:type="dxa"/>
          </w:tcPr>
          <w:p w14:paraId="23A769F2" w14:textId="77777777" w:rsidR="0017363F" w:rsidRPr="00B50174" w:rsidRDefault="0017363F" w:rsidP="00467EA9">
            <w:pPr>
              <w:rPr>
                <w:sz w:val="20"/>
                <w:szCs w:val="20"/>
              </w:rPr>
            </w:pPr>
            <w:r w:rsidRPr="00B50174">
              <w:rPr>
                <w:sz w:val="20"/>
                <w:szCs w:val="20"/>
              </w:rPr>
              <w:t>Tiempo y Claridad para por parte del médico respecto a la información que debe ser abordada, se sugiere saludar al paciente por su nombre, establecer contacto físico si se considera pertinente (dándole la mano),  tomar asiento junto a él (a una distancia próxima y donde los ojos estén a un mismo nivel) y asumir una postura corporal relajada y segura (evitar brazos piernas cruzadas)</w:t>
            </w:r>
          </w:p>
        </w:tc>
        <w:tc>
          <w:tcPr>
            <w:tcW w:w="1993" w:type="dxa"/>
          </w:tcPr>
          <w:p w14:paraId="68983749" w14:textId="77777777" w:rsidR="0017363F" w:rsidRPr="00B50174" w:rsidRDefault="0017363F" w:rsidP="00B50174">
            <w:pPr>
              <w:jc w:val="center"/>
              <w:rPr>
                <w:sz w:val="20"/>
                <w:szCs w:val="20"/>
              </w:rPr>
            </w:pPr>
            <w:r w:rsidRPr="00B50174">
              <w:rPr>
                <w:sz w:val="20"/>
                <w:szCs w:val="20"/>
              </w:rPr>
              <w:t>Médico tratante</w:t>
            </w:r>
          </w:p>
        </w:tc>
        <w:tc>
          <w:tcPr>
            <w:tcW w:w="1993" w:type="dxa"/>
          </w:tcPr>
          <w:p w14:paraId="328DEB93" w14:textId="77777777" w:rsidR="0017363F" w:rsidRPr="00B50174" w:rsidRDefault="0017363F" w:rsidP="00B50174">
            <w:pPr>
              <w:jc w:val="center"/>
              <w:rPr>
                <w:sz w:val="20"/>
                <w:szCs w:val="20"/>
              </w:rPr>
            </w:pPr>
            <w:r w:rsidRPr="00B50174">
              <w:rPr>
                <w:sz w:val="20"/>
                <w:szCs w:val="20"/>
              </w:rPr>
              <w:t>Registro en historia clínica</w:t>
            </w:r>
          </w:p>
        </w:tc>
      </w:tr>
      <w:tr w:rsidR="0017363F" w:rsidRPr="00B50174" w14:paraId="394BE124" w14:textId="77777777" w:rsidTr="00467EA9">
        <w:tc>
          <w:tcPr>
            <w:tcW w:w="704" w:type="dxa"/>
          </w:tcPr>
          <w:p w14:paraId="6DC46258" w14:textId="77777777" w:rsidR="0017363F" w:rsidRPr="00B50174" w:rsidRDefault="0017363F" w:rsidP="00B50174">
            <w:pPr>
              <w:jc w:val="center"/>
              <w:rPr>
                <w:sz w:val="20"/>
                <w:szCs w:val="20"/>
              </w:rPr>
            </w:pPr>
            <w:r w:rsidRPr="00B50174">
              <w:rPr>
                <w:sz w:val="20"/>
                <w:szCs w:val="20"/>
              </w:rPr>
              <w:t>2</w:t>
            </w:r>
          </w:p>
        </w:tc>
        <w:tc>
          <w:tcPr>
            <w:tcW w:w="1559" w:type="dxa"/>
          </w:tcPr>
          <w:p w14:paraId="21FDBDCF" w14:textId="77777777" w:rsidR="0017363F" w:rsidRPr="00B50174" w:rsidRDefault="0017363F" w:rsidP="00B50174">
            <w:pPr>
              <w:jc w:val="center"/>
              <w:rPr>
                <w:sz w:val="20"/>
                <w:szCs w:val="20"/>
              </w:rPr>
            </w:pPr>
            <w:r w:rsidRPr="00B50174">
              <w:rPr>
                <w:sz w:val="20"/>
                <w:szCs w:val="20"/>
              </w:rPr>
              <w:t>Preparación del entorno</w:t>
            </w:r>
          </w:p>
        </w:tc>
        <w:tc>
          <w:tcPr>
            <w:tcW w:w="3713" w:type="dxa"/>
          </w:tcPr>
          <w:p w14:paraId="1E678126" w14:textId="77777777" w:rsidR="0017363F" w:rsidRPr="00B50174" w:rsidRDefault="0017363F" w:rsidP="00467EA9">
            <w:pPr>
              <w:rPr>
                <w:sz w:val="20"/>
                <w:szCs w:val="20"/>
              </w:rPr>
            </w:pPr>
            <w:r w:rsidRPr="00B50174">
              <w:rPr>
                <w:sz w:val="20"/>
                <w:szCs w:val="20"/>
              </w:rPr>
              <w:t xml:space="preserve">Establecimiento de un lugar físico en el que pueda estar tranquilo con el paciente y donde luego  Él pueda procesar la información </w:t>
            </w:r>
            <w:r w:rsidRPr="00B50174">
              <w:rPr>
                <w:sz w:val="20"/>
                <w:szCs w:val="20"/>
              </w:rPr>
              <w:lastRenderedPageBreak/>
              <w:t xml:space="preserve">de ser posible junto a sus familiares </w:t>
            </w:r>
          </w:p>
        </w:tc>
        <w:tc>
          <w:tcPr>
            <w:tcW w:w="1993" w:type="dxa"/>
          </w:tcPr>
          <w:p w14:paraId="03D24535" w14:textId="77777777" w:rsidR="0017363F" w:rsidRPr="00B50174" w:rsidRDefault="0017363F" w:rsidP="00B50174">
            <w:pPr>
              <w:jc w:val="center"/>
              <w:rPr>
                <w:sz w:val="20"/>
                <w:szCs w:val="20"/>
              </w:rPr>
            </w:pPr>
            <w:r w:rsidRPr="00B50174">
              <w:rPr>
                <w:sz w:val="20"/>
                <w:szCs w:val="20"/>
              </w:rPr>
              <w:lastRenderedPageBreak/>
              <w:t>Médico tratante</w:t>
            </w:r>
          </w:p>
        </w:tc>
        <w:tc>
          <w:tcPr>
            <w:tcW w:w="1993" w:type="dxa"/>
          </w:tcPr>
          <w:p w14:paraId="34B5B0C9" w14:textId="77777777" w:rsidR="0017363F" w:rsidRPr="00B50174" w:rsidRDefault="0017363F" w:rsidP="00B50174">
            <w:pPr>
              <w:jc w:val="center"/>
              <w:rPr>
                <w:sz w:val="20"/>
                <w:szCs w:val="20"/>
              </w:rPr>
            </w:pPr>
            <w:r w:rsidRPr="00B50174">
              <w:rPr>
                <w:sz w:val="20"/>
                <w:szCs w:val="20"/>
              </w:rPr>
              <w:t>Registro en historia clínica</w:t>
            </w:r>
          </w:p>
        </w:tc>
      </w:tr>
      <w:tr w:rsidR="0017363F" w:rsidRPr="00B50174" w14:paraId="70BA783E" w14:textId="77777777" w:rsidTr="00467EA9">
        <w:tc>
          <w:tcPr>
            <w:tcW w:w="704" w:type="dxa"/>
          </w:tcPr>
          <w:p w14:paraId="2F08FEEA" w14:textId="77777777" w:rsidR="0017363F" w:rsidRPr="00B50174" w:rsidRDefault="0017363F" w:rsidP="00B50174">
            <w:pPr>
              <w:jc w:val="center"/>
              <w:rPr>
                <w:sz w:val="20"/>
                <w:szCs w:val="20"/>
              </w:rPr>
            </w:pPr>
            <w:r w:rsidRPr="00B50174">
              <w:rPr>
                <w:sz w:val="20"/>
                <w:szCs w:val="20"/>
              </w:rPr>
              <w:t>3</w:t>
            </w:r>
          </w:p>
        </w:tc>
        <w:tc>
          <w:tcPr>
            <w:tcW w:w="1559" w:type="dxa"/>
          </w:tcPr>
          <w:p w14:paraId="072832E0" w14:textId="77777777" w:rsidR="0017363F" w:rsidRPr="00B50174" w:rsidRDefault="0017363F" w:rsidP="00B50174">
            <w:pPr>
              <w:jc w:val="center"/>
              <w:rPr>
                <w:sz w:val="20"/>
                <w:szCs w:val="20"/>
              </w:rPr>
            </w:pPr>
            <w:r w:rsidRPr="00B50174">
              <w:rPr>
                <w:sz w:val="20"/>
                <w:szCs w:val="20"/>
              </w:rPr>
              <w:t>Qué o cuanto sabe el paciente</w:t>
            </w:r>
          </w:p>
        </w:tc>
        <w:tc>
          <w:tcPr>
            <w:tcW w:w="3713" w:type="dxa"/>
          </w:tcPr>
          <w:p w14:paraId="2C346303" w14:textId="77777777" w:rsidR="0017363F" w:rsidRPr="00B50174" w:rsidRDefault="0017363F" w:rsidP="00467EA9">
            <w:pPr>
              <w:rPr>
                <w:sz w:val="20"/>
                <w:szCs w:val="20"/>
              </w:rPr>
            </w:pPr>
            <w:r w:rsidRPr="00B50174">
              <w:rPr>
                <w:sz w:val="20"/>
                <w:szCs w:val="20"/>
              </w:rPr>
              <w:t>Indagar respecto a lo que sabe el paciente, Cómo entiende lo sucedido, cuan realista es su impresión Cuáles son sus expectativas, fantasías y temores</w:t>
            </w:r>
          </w:p>
          <w:p w14:paraId="70C7474C" w14:textId="77777777" w:rsidR="0017363F" w:rsidRPr="00B50174" w:rsidRDefault="0017363F" w:rsidP="00467EA9">
            <w:pPr>
              <w:rPr>
                <w:sz w:val="20"/>
                <w:szCs w:val="20"/>
              </w:rPr>
            </w:pPr>
          </w:p>
        </w:tc>
        <w:tc>
          <w:tcPr>
            <w:tcW w:w="1993" w:type="dxa"/>
          </w:tcPr>
          <w:p w14:paraId="28072D51" w14:textId="77777777" w:rsidR="0017363F" w:rsidRPr="00B50174" w:rsidRDefault="0017363F" w:rsidP="00B50174">
            <w:pPr>
              <w:jc w:val="center"/>
              <w:rPr>
                <w:sz w:val="20"/>
                <w:szCs w:val="20"/>
              </w:rPr>
            </w:pPr>
            <w:r w:rsidRPr="00B50174">
              <w:rPr>
                <w:sz w:val="20"/>
                <w:szCs w:val="20"/>
              </w:rPr>
              <w:t>Médico tratante</w:t>
            </w:r>
          </w:p>
        </w:tc>
        <w:tc>
          <w:tcPr>
            <w:tcW w:w="1993" w:type="dxa"/>
          </w:tcPr>
          <w:p w14:paraId="366235E6" w14:textId="77777777" w:rsidR="0017363F" w:rsidRPr="00B50174" w:rsidRDefault="0017363F" w:rsidP="00B50174">
            <w:pPr>
              <w:jc w:val="center"/>
              <w:rPr>
                <w:sz w:val="20"/>
                <w:szCs w:val="20"/>
              </w:rPr>
            </w:pPr>
            <w:r w:rsidRPr="00B50174">
              <w:rPr>
                <w:sz w:val="20"/>
                <w:szCs w:val="20"/>
              </w:rPr>
              <w:t>Registro en historia clínica</w:t>
            </w:r>
          </w:p>
        </w:tc>
      </w:tr>
      <w:tr w:rsidR="0017363F" w:rsidRPr="00B50174" w14:paraId="0ACD4593" w14:textId="77777777" w:rsidTr="00467EA9">
        <w:tc>
          <w:tcPr>
            <w:tcW w:w="704" w:type="dxa"/>
          </w:tcPr>
          <w:p w14:paraId="3CA3CB80" w14:textId="77777777" w:rsidR="0017363F" w:rsidRPr="00B50174" w:rsidRDefault="0017363F" w:rsidP="00B50174">
            <w:pPr>
              <w:jc w:val="center"/>
              <w:rPr>
                <w:sz w:val="20"/>
                <w:szCs w:val="20"/>
              </w:rPr>
            </w:pPr>
            <w:r w:rsidRPr="00B50174">
              <w:rPr>
                <w:sz w:val="20"/>
                <w:szCs w:val="20"/>
              </w:rPr>
              <w:t>4</w:t>
            </w:r>
          </w:p>
        </w:tc>
        <w:tc>
          <w:tcPr>
            <w:tcW w:w="1559" w:type="dxa"/>
          </w:tcPr>
          <w:p w14:paraId="72C2B368" w14:textId="77777777" w:rsidR="0017363F" w:rsidRPr="00B50174" w:rsidRDefault="0017363F" w:rsidP="00B50174">
            <w:pPr>
              <w:jc w:val="center"/>
              <w:rPr>
                <w:sz w:val="20"/>
                <w:szCs w:val="20"/>
              </w:rPr>
            </w:pPr>
            <w:r w:rsidRPr="00B50174">
              <w:rPr>
                <w:sz w:val="20"/>
                <w:szCs w:val="20"/>
              </w:rPr>
              <w:t>Compartiendo la información</w:t>
            </w:r>
          </w:p>
        </w:tc>
        <w:tc>
          <w:tcPr>
            <w:tcW w:w="3713" w:type="dxa"/>
          </w:tcPr>
          <w:p w14:paraId="326988AE" w14:textId="77777777" w:rsidR="0017363F" w:rsidRPr="00B50174" w:rsidRDefault="0017363F" w:rsidP="00467EA9">
            <w:pPr>
              <w:rPr>
                <w:sz w:val="20"/>
                <w:szCs w:val="20"/>
              </w:rPr>
            </w:pPr>
            <w:r w:rsidRPr="00B50174">
              <w:rPr>
                <w:sz w:val="20"/>
                <w:szCs w:val="20"/>
              </w:rPr>
              <w:t>Utilizar términos que el paciente comprenda, indagar y retroalimentar lo manifestado por el paciente. Preguntar qué tanto desea saber el paciente y enfocar la información pertinente</w:t>
            </w:r>
          </w:p>
        </w:tc>
        <w:tc>
          <w:tcPr>
            <w:tcW w:w="1993" w:type="dxa"/>
          </w:tcPr>
          <w:p w14:paraId="15AD4445" w14:textId="77777777" w:rsidR="0017363F" w:rsidRPr="00B50174" w:rsidRDefault="0017363F" w:rsidP="00B50174">
            <w:pPr>
              <w:jc w:val="center"/>
              <w:rPr>
                <w:sz w:val="20"/>
                <w:szCs w:val="20"/>
              </w:rPr>
            </w:pPr>
            <w:r w:rsidRPr="00B50174">
              <w:rPr>
                <w:sz w:val="20"/>
                <w:szCs w:val="20"/>
              </w:rPr>
              <w:t>Médico tratante</w:t>
            </w:r>
          </w:p>
        </w:tc>
        <w:tc>
          <w:tcPr>
            <w:tcW w:w="1993" w:type="dxa"/>
          </w:tcPr>
          <w:p w14:paraId="3320C25D" w14:textId="77777777" w:rsidR="0017363F" w:rsidRPr="00B50174" w:rsidRDefault="0017363F" w:rsidP="00B50174">
            <w:pPr>
              <w:jc w:val="center"/>
              <w:rPr>
                <w:sz w:val="20"/>
                <w:szCs w:val="20"/>
              </w:rPr>
            </w:pPr>
            <w:r w:rsidRPr="00B50174">
              <w:rPr>
                <w:sz w:val="20"/>
                <w:szCs w:val="20"/>
              </w:rPr>
              <w:t>Registro en historia clínica</w:t>
            </w:r>
          </w:p>
        </w:tc>
      </w:tr>
      <w:tr w:rsidR="0017363F" w:rsidRPr="00B50174" w14:paraId="076D34A2" w14:textId="77777777" w:rsidTr="00467EA9">
        <w:tc>
          <w:tcPr>
            <w:tcW w:w="704" w:type="dxa"/>
          </w:tcPr>
          <w:p w14:paraId="7FF2DF6E" w14:textId="77777777" w:rsidR="0017363F" w:rsidRPr="00B50174" w:rsidRDefault="0017363F" w:rsidP="00B50174">
            <w:pPr>
              <w:jc w:val="center"/>
              <w:rPr>
                <w:sz w:val="20"/>
                <w:szCs w:val="20"/>
              </w:rPr>
            </w:pPr>
            <w:r w:rsidRPr="00B50174">
              <w:rPr>
                <w:sz w:val="20"/>
                <w:szCs w:val="20"/>
              </w:rPr>
              <w:t>5</w:t>
            </w:r>
          </w:p>
        </w:tc>
        <w:tc>
          <w:tcPr>
            <w:tcW w:w="1559" w:type="dxa"/>
          </w:tcPr>
          <w:p w14:paraId="237286A8" w14:textId="77777777" w:rsidR="0017363F" w:rsidRPr="00B50174" w:rsidRDefault="0017363F" w:rsidP="00B50174">
            <w:pPr>
              <w:jc w:val="center"/>
              <w:rPr>
                <w:sz w:val="20"/>
                <w:szCs w:val="20"/>
              </w:rPr>
            </w:pPr>
            <w:r w:rsidRPr="00B50174">
              <w:rPr>
                <w:sz w:val="20"/>
                <w:szCs w:val="20"/>
              </w:rPr>
              <w:t>Responder adecuadamente a los sentimientos del paciente</w:t>
            </w:r>
          </w:p>
        </w:tc>
        <w:tc>
          <w:tcPr>
            <w:tcW w:w="3713" w:type="dxa"/>
          </w:tcPr>
          <w:p w14:paraId="7BA4B312" w14:textId="77777777" w:rsidR="0017363F" w:rsidRPr="00B50174" w:rsidRDefault="0017363F" w:rsidP="00467EA9">
            <w:pPr>
              <w:rPr>
                <w:sz w:val="20"/>
                <w:szCs w:val="20"/>
              </w:rPr>
            </w:pPr>
          </w:p>
          <w:p w14:paraId="7876A3C9" w14:textId="77777777" w:rsidR="0017363F" w:rsidRPr="00B50174" w:rsidRDefault="0017363F" w:rsidP="00467EA9">
            <w:pPr>
              <w:rPr>
                <w:sz w:val="20"/>
                <w:szCs w:val="20"/>
              </w:rPr>
            </w:pPr>
            <w:r w:rsidRPr="00B50174">
              <w:rPr>
                <w:sz w:val="20"/>
                <w:szCs w:val="20"/>
              </w:rPr>
              <w:t>Evaluar las emociones del paciente, indagar, verbalizarlas, permitir  la manifestación de la misma evitar juicios al respecto</w:t>
            </w:r>
          </w:p>
        </w:tc>
        <w:tc>
          <w:tcPr>
            <w:tcW w:w="1993" w:type="dxa"/>
          </w:tcPr>
          <w:p w14:paraId="7A7645BC" w14:textId="77777777" w:rsidR="0017363F" w:rsidRPr="00B50174" w:rsidRDefault="0017363F" w:rsidP="00B50174">
            <w:pPr>
              <w:jc w:val="center"/>
              <w:rPr>
                <w:sz w:val="20"/>
                <w:szCs w:val="20"/>
              </w:rPr>
            </w:pPr>
            <w:r w:rsidRPr="00B50174">
              <w:rPr>
                <w:sz w:val="20"/>
                <w:szCs w:val="20"/>
              </w:rPr>
              <w:t>Médico tratante</w:t>
            </w:r>
          </w:p>
        </w:tc>
        <w:tc>
          <w:tcPr>
            <w:tcW w:w="1993" w:type="dxa"/>
          </w:tcPr>
          <w:p w14:paraId="265E36E8" w14:textId="77777777" w:rsidR="0017363F" w:rsidRPr="00B50174" w:rsidRDefault="0017363F" w:rsidP="00B50174">
            <w:pPr>
              <w:jc w:val="center"/>
              <w:rPr>
                <w:sz w:val="20"/>
                <w:szCs w:val="20"/>
              </w:rPr>
            </w:pPr>
            <w:r w:rsidRPr="00B50174">
              <w:rPr>
                <w:sz w:val="20"/>
                <w:szCs w:val="20"/>
              </w:rPr>
              <w:t>Registro en historia clínica</w:t>
            </w:r>
          </w:p>
        </w:tc>
      </w:tr>
      <w:tr w:rsidR="0017363F" w:rsidRPr="00B50174" w14:paraId="5FD420A3" w14:textId="77777777" w:rsidTr="00467EA9">
        <w:tc>
          <w:tcPr>
            <w:tcW w:w="704" w:type="dxa"/>
          </w:tcPr>
          <w:p w14:paraId="0388CFDF" w14:textId="77777777" w:rsidR="0017363F" w:rsidRPr="00B50174" w:rsidRDefault="0017363F" w:rsidP="00B50174">
            <w:pPr>
              <w:jc w:val="center"/>
              <w:rPr>
                <w:sz w:val="20"/>
                <w:szCs w:val="20"/>
              </w:rPr>
            </w:pPr>
            <w:r w:rsidRPr="00B50174">
              <w:rPr>
                <w:sz w:val="20"/>
                <w:szCs w:val="20"/>
              </w:rPr>
              <w:t>6</w:t>
            </w:r>
          </w:p>
        </w:tc>
        <w:tc>
          <w:tcPr>
            <w:tcW w:w="1559" w:type="dxa"/>
          </w:tcPr>
          <w:p w14:paraId="329B4726" w14:textId="77777777" w:rsidR="0017363F" w:rsidRPr="00B50174" w:rsidRDefault="0017363F" w:rsidP="00B50174">
            <w:pPr>
              <w:jc w:val="center"/>
              <w:rPr>
                <w:sz w:val="20"/>
                <w:szCs w:val="20"/>
              </w:rPr>
            </w:pPr>
            <w:r w:rsidRPr="00B50174">
              <w:rPr>
                <w:sz w:val="20"/>
                <w:szCs w:val="20"/>
              </w:rPr>
              <w:t>Establecer un plan conjunto de cuidados</w:t>
            </w:r>
          </w:p>
        </w:tc>
        <w:tc>
          <w:tcPr>
            <w:tcW w:w="3713" w:type="dxa"/>
          </w:tcPr>
          <w:p w14:paraId="0A054BEF" w14:textId="77777777" w:rsidR="0017363F" w:rsidRPr="00B50174" w:rsidRDefault="0017363F" w:rsidP="00467EA9">
            <w:pPr>
              <w:rPr>
                <w:sz w:val="20"/>
                <w:szCs w:val="20"/>
              </w:rPr>
            </w:pPr>
          </w:p>
          <w:p w14:paraId="083EBC1C" w14:textId="77777777" w:rsidR="0017363F" w:rsidRPr="00B50174" w:rsidRDefault="0017363F" w:rsidP="00467EA9">
            <w:pPr>
              <w:rPr>
                <w:sz w:val="20"/>
                <w:szCs w:val="20"/>
              </w:rPr>
            </w:pPr>
            <w:r w:rsidRPr="00B50174">
              <w:rPr>
                <w:sz w:val="20"/>
                <w:szCs w:val="20"/>
              </w:rPr>
              <w:t>Definición de una estrategia conjunta dónde se planifiquen los pasos a seguir, plan de tratamiento retroalimentar para verificar la comprensión de la información, de ser necesario repetir lo informado</w:t>
            </w:r>
          </w:p>
        </w:tc>
        <w:tc>
          <w:tcPr>
            <w:tcW w:w="1993" w:type="dxa"/>
          </w:tcPr>
          <w:p w14:paraId="69C33F0F" w14:textId="77777777" w:rsidR="0017363F" w:rsidRPr="00B50174" w:rsidRDefault="0017363F" w:rsidP="00B50174">
            <w:pPr>
              <w:jc w:val="center"/>
              <w:rPr>
                <w:sz w:val="20"/>
                <w:szCs w:val="20"/>
              </w:rPr>
            </w:pPr>
            <w:r w:rsidRPr="00B50174">
              <w:rPr>
                <w:sz w:val="20"/>
                <w:szCs w:val="20"/>
              </w:rPr>
              <w:t>Médico tratante</w:t>
            </w:r>
          </w:p>
        </w:tc>
        <w:tc>
          <w:tcPr>
            <w:tcW w:w="1993" w:type="dxa"/>
          </w:tcPr>
          <w:p w14:paraId="025707D5" w14:textId="77777777" w:rsidR="0017363F" w:rsidRPr="00B50174" w:rsidRDefault="0017363F" w:rsidP="00B50174">
            <w:pPr>
              <w:jc w:val="center"/>
              <w:rPr>
                <w:sz w:val="20"/>
                <w:szCs w:val="20"/>
              </w:rPr>
            </w:pPr>
            <w:r w:rsidRPr="00B50174">
              <w:rPr>
                <w:sz w:val="20"/>
                <w:szCs w:val="20"/>
              </w:rPr>
              <w:t>Registro en historia clínica</w:t>
            </w:r>
          </w:p>
        </w:tc>
      </w:tr>
    </w:tbl>
    <w:p w14:paraId="67F4F823" w14:textId="77777777" w:rsidR="0017363F" w:rsidRDefault="0017363F" w:rsidP="00D5491D"/>
    <w:p w14:paraId="3BE04F46" w14:textId="77777777" w:rsidR="0017363F" w:rsidRPr="0017363F" w:rsidRDefault="0017363F" w:rsidP="00D5491D"/>
    <w:sdt>
      <w:sdtPr>
        <w:rPr>
          <w:lang w:val="es-ES"/>
        </w:rPr>
        <w:id w:val="-1157693702"/>
        <w:docPartObj>
          <w:docPartGallery w:val="Bibliographies"/>
          <w:docPartUnique/>
        </w:docPartObj>
      </w:sdtPr>
      <w:sdtEndPr>
        <w:rPr>
          <w:lang w:val="es-MX"/>
        </w:rPr>
      </w:sdtEndPr>
      <w:sdtContent>
        <w:p w14:paraId="274E143C" w14:textId="77777777" w:rsidR="00D7426C" w:rsidRPr="00D7426C" w:rsidRDefault="00D7426C" w:rsidP="00D7426C">
          <w:pPr>
            <w:pStyle w:val="Prrafodelista"/>
            <w:numPr>
              <w:ilvl w:val="0"/>
              <w:numId w:val="2"/>
            </w:numPr>
            <w:rPr>
              <w:b/>
              <w:lang w:val="es-ES"/>
            </w:rPr>
          </w:pPr>
          <w:r w:rsidRPr="00D7426C">
            <w:rPr>
              <w:b/>
              <w:lang w:val="es-ES"/>
            </w:rPr>
            <w:t>REFERENCIAS BIBLIOGRÁFICAS:</w:t>
          </w:r>
        </w:p>
        <w:p w14:paraId="796B1989" w14:textId="77777777" w:rsidR="00D7426C" w:rsidRDefault="00E448FB" w:rsidP="00D7426C">
          <w:pPr>
            <w:pStyle w:val="Prrafodelista"/>
            <w:numPr>
              <w:ilvl w:val="0"/>
              <w:numId w:val="12"/>
            </w:numPr>
          </w:pPr>
          <w:sdt>
            <w:sdtPr>
              <w:id w:val="111145805"/>
              <w:showingPlcHdr/>
              <w:bibliography/>
            </w:sdtPr>
            <w:sdtEndPr/>
            <w:sdtContent>
              <w:r w:rsidR="00D7426C">
                <w:t xml:space="preserve">     </w:t>
              </w:r>
            </w:sdtContent>
          </w:sdt>
          <w:r w:rsidR="00D7426C">
            <w:t>chrome-extension://efaidnbmnnnibpcajpcglclefindmkaj/https://paliativossinfronteras.org/wp-content/uploads/02-LA-COMUNICACION-DE-LAS-MALAS-NOTICIAS-Rodriguez-Salvador_1.pdf</w:t>
          </w:r>
        </w:p>
        <w:p w14:paraId="1CBF9183" w14:textId="77777777" w:rsidR="00D7426C" w:rsidRDefault="00E448FB" w:rsidP="00D7426C">
          <w:pPr>
            <w:pStyle w:val="Prrafodelista"/>
            <w:numPr>
              <w:ilvl w:val="0"/>
              <w:numId w:val="12"/>
            </w:numPr>
          </w:pPr>
          <w:hyperlink r:id="rId11" w:history="1">
            <w:r w:rsidR="00D7426C" w:rsidRPr="00804D18">
              <w:rPr>
                <w:rStyle w:val="Hipervnculo"/>
              </w:rPr>
              <w:t>https://www.inesem.es/revistadigital/biosanitario/malas-noticias-salud</w:t>
            </w:r>
          </w:hyperlink>
          <w:r w:rsidR="00D7426C">
            <w:t>.</w:t>
          </w:r>
        </w:p>
        <w:p w14:paraId="7C3E0210" w14:textId="77777777" w:rsidR="00D7426C" w:rsidRDefault="00E448FB" w:rsidP="00D7426C">
          <w:pPr>
            <w:pStyle w:val="Prrafodelista"/>
            <w:numPr>
              <w:ilvl w:val="0"/>
              <w:numId w:val="12"/>
            </w:numPr>
          </w:pPr>
          <w:hyperlink r:id="rId12" w:history="1">
            <w:r w:rsidR="00D7426C" w:rsidRPr="00804D18">
              <w:rPr>
                <w:rStyle w:val="Hipervnculo"/>
              </w:rPr>
              <w:t>https://proyectohuci.com/es/comunicar-malas-noticias-el-protocolo/</w:t>
            </w:r>
          </w:hyperlink>
        </w:p>
        <w:p w14:paraId="71E217D8" w14:textId="77777777" w:rsidR="00D7426C" w:rsidRDefault="00E448FB" w:rsidP="00D7426C">
          <w:pPr>
            <w:pStyle w:val="Prrafodelista"/>
            <w:numPr>
              <w:ilvl w:val="0"/>
              <w:numId w:val="12"/>
            </w:numPr>
          </w:pPr>
          <w:hyperlink r:id="rId13" w:history="1">
            <w:r w:rsidR="00D7426C" w:rsidRPr="00804D18">
              <w:rPr>
                <w:rStyle w:val="Hipervnculo"/>
              </w:rPr>
              <w:t>https://eunip.es/como-dar-malas-noticias-protocolo-buckman/</w:t>
            </w:r>
          </w:hyperlink>
        </w:p>
        <w:p w14:paraId="09B9B960" w14:textId="77777777" w:rsidR="00D5491D" w:rsidRPr="0017363F" w:rsidRDefault="00D7426C" w:rsidP="00A1505A">
          <w:pPr>
            <w:pStyle w:val="Prrafodelista"/>
            <w:numPr>
              <w:ilvl w:val="0"/>
              <w:numId w:val="12"/>
            </w:numPr>
          </w:pPr>
          <w:r w:rsidRPr="00D7426C">
            <w:t>https://scielo.isciii.es/scielo.php?script=sci_arttext&amp;pid=S0210-56912006000900006</w:t>
          </w:r>
        </w:p>
      </w:sdtContent>
    </w:sdt>
    <w:sectPr w:rsidR="00D5491D" w:rsidRPr="0017363F" w:rsidSect="001E52BE">
      <w:headerReference w:type="default" r:id="rId14"/>
      <w:footerReference w:type="default" r:id="rId15"/>
      <w:pgSz w:w="12240" w:h="15840" w:code="1"/>
      <w:pgMar w:top="1134" w:right="1134" w:bottom="1134" w:left="1134" w:header="850" w:footer="8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9CA6AC" w14:textId="77777777" w:rsidR="00E448FB" w:rsidRDefault="00E448FB" w:rsidP="00A1505A">
      <w:r>
        <w:separator/>
      </w:r>
    </w:p>
  </w:endnote>
  <w:endnote w:type="continuationSeparator" w:id="0">
    <w:p w14:paraId="5D12EC88" w14:textId="77777777" w:rsidR="00E448FB" w:rsidRDefault="00E448FB" w:rsidP="00A150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4B4C68" w14:textId="77777777" w:rsidR="00D34DAE" w:rsidRDefault="00A65B43">
    <w:pPr>
      <w:pStyle w:val="Piedepgina"/>
    </w:pPr>
    <w:r w:rsidRPr="00A65B43">
      <w:rPr>
        <w:rFonts w:ascii="Tahoma" w:eastAsia="Verdana" w:hAnsi="Verdana" w:cs="Verdana"/>
        <w:noProof/>
        <w:sz w:val="20"/>
        <w:lang w:eastAsia="es-MX"/>
      </w:rPr>
      <w:drawing>
        <wp:anchor distT="0" distB="0" distL="114300" distR="114300" simplePos="0" relativeHeight="251661312" behindDoc="1" locked="0" layoutInCell="1" allowOverlap="1" wp14:anchorId="6549480B" wp14:editId="475DC043">
          <wp:simplePos x="0" y="0"/>
          <wp:positionH relativeFrom="margin">
            <wp:posOffset>-1270</wp:posOffset>
          </wp:positionH>
          <wp:positionV relativeFrom="paragraph">
            <wp:posOffset>-33020</wp:posOffset>
          </wp:positionV>
          <wp:extent cx="6332220" cy="483235"/>
          <wp:effectExtent l="0" t="0" r="0" b="0"/>
          <wp:wrapNone/>
          <wp:docPr id="7" name="Image 87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7" name="Image 87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332220" cy="4832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AB9421" w14:textId="77777777" w:rsidR="00E448FB" w:rsidRDefault="00E448FB" w:rsidP="00A1505A">
      <w:r>
        <w:separator/>
      </w:r>
    </w:p>
  </w:footnote>
  <w:footnote w:type="continuationSeparator" w:id="0">
    <w:p w14:paraId="65A3F67D" w14:textId="77777777" w:rsidR="00E448FB" w:rsidRDefault="00E448FB" w:rsidP="00A150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1"/>
      <w:tblW w:w="10201" w:type="dxa"/>
      <w:jc w:val="center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1980"/>
      <w:gridCol w:w="5953"/>
      <w:gridCol w:w="2268"/>
    </w:tblGrid>
    <w:tr w:rsidR="00A1505A" w14:paraId="44FA64B3" w14:textId="77777777" w:rsidTr="00B02DD0">
      <w:trPr>
        <w:trHeight w:val="285"/>
        <w:jc w:val="center"/>
      </w:trPr>
      <w:tc>
        <w:tcPr>
          <w:tcW w:w="1980" w:type="dxa"/>
          <w:vMerge w:val="restart"/>
          <w:shd w:val="clear" w:color="auto" w:fill="auto"/>
          <w:vAlign w:val="center"/>
        </w:tcPr>
        <w:p w14:paraId="5D0B986D" w14:textId="77777777" w:rsidR="00A1505A" w:rsidRDefault="00A1505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eastAsia="Century Gothic" w:cs="Century Gothic"/>
              <w:b/>
              <w:sz w:val="20"/>
              <w:szCs w:val="20"/>
            </w:rPr>
          </w:pPr>
          <w:r>
            <w:rPr>
              <w:rFonts w:eastAsia="Century Gothic" w:cs="Century Gothic"/>
              <w:b/>
              <w:noProof/>
              <w:sz w:val="20"/>
              <w:szCs w:val="20"/>
            </w:rPr>
            <w:drawing>
              <wp:anchor distT="0" distB="0" distL="114300" distR="114300" simplePos="0" relativeHeight="251659264" behindDoc="0" locked="0" layoutInCell="1" allowOverlap="1" wp14:anchorId="2D22E67B" wp14:editId="2EF0C1D8">
                <wp:simplePos x="0" y="0"/>
                <wp:positionH relativeFrom="column">
                  <wp:posOffset>-45720</wp:posOffset>
                </wp:positionH>
                <wp:positionV relativeFrom="paragraph">
                  <wp:posOffset>-13335</wp:posOffset>
                </wp:positionV>
                <wp:extent cx="1162050" cy="361950"/>
                <wp:effectExtent l="0" t="0" r="0" b="0"/>
                <wp:wrapNone/>
                <wp:docPr id="3" name="image5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62050" cy="36195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5953" w:type="dxa"/>
          <w:vMerge w:val="restart"/>
          <w:shd w:val="clear" w:color="auto" w:fill="auto"/>
          <w:vAlign w:val="center"/>
        </w:tcPr>
        <w:p w14:paraId="20E362B8" w14:textId="77777777" w:rsidR="00A1505A" w:rsidRPr="00A65B43" w:rsidRDefault="0017363F" w:rsidP="0017363F">
          <w:pPr>
            <w:jc w:val="center"/>
            <w:rPr>
              <w:rFonts w:eastAsia="Century Gothic" w:cs="Century Gothic"/>
              <w:sz w:val="22"/>
              <w:szCs w:val="22"/>
            </w:rPr>
          </w:pPr>
          <w:r w:rsidRPr="00A65B43">
            <w:rPr>
              <w:rFonts w:eastAsia="Century Gothic" w:cs="Century Gothic"/>
              <w:b/>
              <w:sz w:val="22"/>
              <w:szCs w:val="22"/>
            </w:rPr>
            <w:t xml:space="preserve">PROCESO </w:t>
          </w:r>
          <w:r w:rsidR="00A65B43" w:rsidRPr="00A65B43">
            <w:rPr>
              <w:rFonts w:eastAsia="Century Gothic" w:cs="Century Gothic"/>
              <w:b/>
              <w:sz w:val="22"/>
              <w:szCs w:val="22"/>
            </w:rPr>
            <w:t>GESTIÓN ATENCIÓN AL USUARIO</w:t>
          </w:r>
        </w:p>
      </w:tc>
      <w:tc>
        <w:tcPr>
          <w:tcW w:w="2268" w:type="dxa"/>
          <w:shd w:val="clear" w:color="auto" w:fill="auto"/>
          <w:vAlign w:val="center"/>
        </w:tcPr>
        <w:p w14:paraId="4E4EED82" w14:textId="15765C38" w:rsidR="00A1505A" w:rsidRPr="00DB0AF6" w:rsidRDefault="00A1505A" w:rsidP="00467EA9">
          <w:pPr>
            <w:jc w:val="left"/>
            <w:rPr>
              <w:rFonts w:eastAsia="Century Gothic" w:cs="Century Gothic"/>
              <w:sz w:val="16"/>
              <w:szCs w:val="16"/>
            </w:rPr>
          </w:pPr>
          <w:r w:rsidRPr="00DB0AF6">
            <w:rPr>
              <w:rFonts w:eastAsia="Century Gothic" w:cs="Century Gothic"/>
              <w:sz w:val="16"/>
              <w:szCs w:val="16"/>
            </w:rPr>
            <w:t xml:space="preserve">Código: </w:t>
          </w:r>
          <w:r w:rsidR="00413F13">
            <w:rPr>
              <w:rFonts w:eastAsia="Century Gothic" w:cs="Century Gothic"/>
              <w:sz w:val="16"/>
              <w:szCs w:val="16"/>
            </w:rPr>
            <w:t>PT</w:t>
          </w:r>
          <w:r w:rsidR="00B02DD0">
            <w:rPr>
              <w:rFonts w:eastAsia="Century Gothic" w:cs="Century Gothic"/>
              <w:sz w:val="16"/>
              <w:szCs w:val="16"/>
            </w:rPr>
            <w:t>-GAU-0</w:t>
          </w:r>
          <w:r w:rsidR="00AD5EA8">
            <w:rPr>
              <w:rFonts w:eastAsia="Century Gothic" w:cs="Century Gothic"/>
              <w:sz w:val="16"/>
              <w:szCs w:val="16"/>
            </w:rPr>
            <w:t>03</w:t>
          </w:r>
        </w:p>
      </w:tc>
    </w:tr>
    <w:tr w:rsidR="00A1505A" w14:paraId="5927D887" w14:textId="77777777" w:rsidTr="00B02DD0">
      <w:trPr>
        <w:trHeight w:val="285"/>
        <w:jc w:val="center"/>
      </w:trPr>
      <w:tc>
        <w:tcPr>
          <w:tcW w:w="1980" w:type="dxa"/>
          <w:vMerge/>
          <w:shd w:val="clear" w:color="auto" w:fill="auto"/>
          <w:vAlign w:val="center"/>
        </w:tcPr>
        <w:p w14:paraId="54F60403" w14:textId="77777777" w:rsidR="00A1505A" w:rsidRDefault="00A1505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eastAsia="Century Gothic" w:cs="Century Gothic"/>
              <w:b/>
              <w:noProof/>
              <w:sz w:val="20"/>
              <w:szCs w:val="20"/>
              <w:lang w:val="es-MX"/>
            </w:rPr>
          </w:pPr>
        </w:p>
      </w:tc>
      <w:tc>
        <w:tcPr>
          <w:tcW w:w="5953" w:type="dxa"/>
          <w:vMerge/>
          <w:shd w:val="clear" w:color="auto" w:fill="auto"/>
          <w:vAlign w:val="center"/>
        </w:tcPr>
        <w:p w14:paraId="7D04D0E3" w14:textId="77777777" w:rsidR="00A1505A" w:rsidRPr="00A65B43" w:rsidRDefault="00A1505A" w:rsidP="006B0A4D">
          <w:pPr>
            <w:jc w:val="center"/>
            <w:rPr>
              <w:rFonts w:eastAsia="Century Gothic" w:cs="Century Gothic"/>
              <w:b/>
              <w:sz w:val="22"/>
              <w:szCs w:val="22"/>
            </w:rPr>
          </w:pPr>
        </w:p>
      </w:tc>
      <w:tc>
        <w:tcPr>
          <w:tcW w:w="2268" w:type="dxa"/>
          <w:shd w:val="clear" w:color="auto" w:fill="auto"/>
          <w:vAlign w:val="center"/>
        </w:tcPr>
        <w:p w14:paraId="3CCE8096" w14:textId="4C089BBD" w:rsidR="00A1505A" w:rsidRPr="00DB0AF6" w:rsidRDefault="00A1505A" w:rsidP="00467EA9">
          <w:pPr>
            <w:jc w:val="left"/>
            <w:rPr>
              <w:rFonts w:eastAsia="Century Gothic" w:cs="Century Gothic"/>
              <w:sz w:val="16"/>
              <w:szCs w:val="16"/>
            </w:rPr>
          </w:pPr>
          <w:r>
            <w:rPr>
              <w:rFonts w:eastAsia="Century Gothic" w:cs="Century Gothic"/>
              <w:sz w:val="16"/>
              <w:szCs w:val="16"/>
            </w:rPr>
            <w:t xml:space="preserve">Versión: </w:t>
          </w:r>
          <w:r w:rsidR="00B02DD0">
            <w:rPr>
              <w:rFonts w:eastAsia="Century Gothic" w:cs="Century Gothic"/>
              <w:sz w:val="16"/>
              <w:szCs w:val="16"/>
            </w:rPr>
            <w:t>00</w:t>
          </w:r>
        </w:p>
      </w:tc>
    </w:tr>
    <w:tr w:rsidR="00A1505A" w14:paraId="1095F7C2" w14:textId="77777777" w:rsidTr="00B02DD0">
      <w:trPr>
        <w:trHeight w:val="285"/>
        <w:jc w:val="center"/>
      </w:trPr>
      <w:tc>
        <w:tcPr>
          <w:tcW w:w="1980" w:type="dxa"/>
          <w:vMerge/>
          <w:shd w:val="clear" w:color="auto" w:fill="auto"/>
          <w:vAlign w:val="center"/>
        </w:tcPr>
        <w:p w14:paraId="68AA8B4E" w14:textId="77777777" w:rsidR="00A1505A" w:rsidRDefault="00A1505A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eastAsia="Century Gothic" w:cs="Century Gothic"/>
              <w:sz w:val="18"/>
              <w:szCs w:val="18"/>
            </w:rPr>
          </w:pPr>
        </w:p>
      </w:tc>
      <w:tc>
        <w:tcPr>
          <w:tcW w:w="5953" w:type="dxa"/>
          <w:vMerge w:val="restart"/>
          <w:shd w:val="clear" w:color="auto" w:fill="auto"/>
          <w:vAlign w:val="center"/>
        </w:tcPr>
        <w:p w14:paraId="71AF2E7D" w14:textId="77777777" w:rsidR="00A1505A" w:rsidRPr="00A65B43" w:rsidRDefault="009D30E7" w:rsidP="006B0A4D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jc w:val="center"/>
            <w:rPr>
              <w:rFonts w:eastAsia="Century Gothic" w:cs="Century Gothic"/>
              <w:sz w:val="22"/>
              <w:szCs w:val="22"/>
            </w:rPr>
          </w:pPr>
          <w:r w:rsidRPr="00A65B43">
            <w:rPr>
              <w:rFonts w:eastAsia="Century Gothic" w:cs="Century Gothic"/>
              <w:b/>
              <w:sz w:val="22"/>
              <w:szCs w:val="22"/>
            </w:rPr>
            <w:t xml:space="preserve">PROTOCOLO PARA INFORMAR MALAS NOTICIAS </w:t>
          </w:r>
        </w:p>
      </w:tc>
      <w:tc>
        <w:tcPr>
          <w:tcW w:w="2268" w:type="dxa"/>
          <w:shd w:val="clear" w:color="auto" w:fill="auto"/>
          <w:vAlign w:val="center"/>
        </w:tcPr>
        <w:p w14:paraId="6897549D" w14:textId="134D9CF4" w:rsidR="00A1505A" w:rsidRPr="00DB0AF6" w:rsidRDefault="00467EA9" w:rsidP="00467EA9">
          <w:pPr>
            <w:jc w:val="left"/>
            <w:rPr>
              <w:rFonts w:eastAsia="Century Gothic" w:cs="Century Gothic"/>
              <w:sz w:val="16"/>
              <w:szCs w:val="16"/>
            </w:rPr>
          </w:pPr>
          <w:r>
            <w:rPr>
              <w:rFonts w:eastAsia="Century Gothic" w:cs="Century Gothic"/>
              <w:sz w:val="16"/>
              <w:szCs w:val="16"/>
            </w:rPr>
            <w:t>Fecha de aprobación:</w:t>
          </w:r>
          <w:r w:rsidR="00A1505A" w:rsidRPr="00DB0AF6">
            <w:rPr>
              <w:rFonts w:eastAsia="Century Gothic" w:cs="Century Gothic"/>
              <w:sz w:val="16"/>
              <w:szCs w:val="16"/>
            </w:rPr>
            <w:t xml:space="preserve"> </w:t>
          </w:r>
          <w:r w:rsidR="00A1505A" w:rsidRPr="00DB0AF6">
            <w:rPr>
              <w:rFonts w:eastAsia="Century Gothic" w:cs="Century Gothic"/>
              <w:sz w:val="16"/>
              <w:szCs w:val="16"/>
            </w:rPr>
            <w:br/>
          </w:r>
          <w:r w:rsidR="00B02DD0">
            <w:rPr>
              <w:rFonts w:eastAsia="Century Gothic" w:cs="Century Gothic"/>
              <w:sz w:val="16"/>
              <w:szCs w:val="16"/>
            </w:rPr>
            <w:t>9 de septiembre de 2025</w:t>
          </w:r>
        </w:p>
      </w:tc>
    </w:tr>
    <w:tr w:rsidR="00A1505A" w14:paraId="0C1E4A90" w14:textId="77777777" w:rsidTr="00B02DD0">
      <w:trPr>
        <w:trHeight w:val="285"/>
        <w:jc w:val="center"/>
      </w:trPr>
      <w:tc>
        <w:tcPr>
          <w:tcW w:w="1980" w:type="dxa"/>
          <w:vMerge/>
          <w:shd w:val="clear" w:color="auto" w:fill="auto"/>
          <w:vAlign w:val="center"/>
        </w:tcPr>
        <w:p w14:paraId="644E9674" w14:textId="77777777" w:rsidR="00A1505A" w:rsidRDefault="00A1505A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eastAsia="Century Gothic" w:cs="Century Gothic"/>
              <w:sz w:val="18"/>
              <w:szCs w:val="18"/>
            </w:rPr>
          </w:pPr>
        </w:p>
      </w:tc>
      <w:tc>
        <w:tcPr>
          <w:tcW w:w="5953" w:type="dxa"/>
          <w:vMerge/>
          <w:shd w:val="clear" w:color="auto" w:fill="auto"/>
          <w:vAlign w:val="center"/>
        </w:tcPr>
        <w:p w14:paraId="35EEDD32" w14:textId="77777777" w:rsidR="00A1505A" w:rsidRDefault="00A1505A" w:rsidP="006B0A4D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jc w:val="center"/>
            <w:rPr>
              <w:rFonts w:eastAsia="Century Gothic" w:cs="Century Gothic"/>
              <w:b/>
              <w:sz w:val="20"/>
              <w:szCs w:val="20"/>
            </w:rPr>
          </w:pPr>
        </w:p>
      </w:tc>
      <w:tc>
        <w:tcPr>
          <w:tcW w:w="2268" w:type="dxa"/>
          <w:shd w:val="clear" w:color="auto" w:fill="auto"/>
          <w:vAlign w:val="center"/>
        </w:tcPr>
        <w:p w14:paraId="27A8A713" w14:textId="77777777" w:rsidR="00A1505A" w:rsidRPr="00DB0AF6" w:rsidRDefault="00A1505A" w:rsidP="00467EA9">
          <w:pPr>
            <w:jc w:val="left"/>
            <w:rPr>
              <w:rFonts w:eastAsia="Century Gothic" w:cs="Century Gothic"/>
              <w:sz w:val="16"/>
              <w:szCs w:val="16"/>
            </w:rPr>
          </w:pPr>
          <w:r w:rsidRPr="00DB0AF6">
            <w:rPr>
              <w:rFonts w:eastAsia="Century Gothic" w:cs="Century Gothic"/>
              <w:sz w:val="16"/>
              <w:szCs w:val="16"/>
            </w:rPr>
            <w:t xml:space="preserve">Página: </w:t>
          </w:r>
          <w:r w:rsidRPr="00DB0AF6">
            <w:rPr>
              <w:rFonts w:eastAsia="Century Gothic" w:cs="Century Gothic"/>
              <w:sz w:val="16"/>
              <w:szCs w:val="16"/>
            </w:rPr>
            <w:fldChar w:fldCharType="begin"/>
          </w:r>
          <w:r w:rsidRPr="00DB0AF6">
            <w:rPr>
              <w:rFonts w:eastAsia="Century Gothic" w:cs="Century Gothic"/>
              <w:sz w:val="16"/>
              <w:szCs w:val="16"/>
            </w:rPr>
            <w:instrText>PAGE</w:instrText>
          </w:r>
          <w:r w:rsidRPr="00DB0AF6">
            <w:rPr>
              <w:rFonts w:eastAsia="Century Gothic" w:cs="Century Gothic"/>
              <w:sz w:val="16"/>
              <w:szCs w:val="16"/>
            </w:rPr>
            <w:fldChar w:fldCharType="separate"/>
          </w:r>
          <w:r w:rsidR="00FB13C8">
            <w:rPr>
              <w:rFonts w:eastAsia="Century Gothic" w:cs="Century Gothic"/>
              <w:noProof/>
              <w:sz w:val="16"/>
              <w:szCs w:val="16"/>
            </w:rPr>
            <w:t>2</w:t>
          </w:r>
          <w:r w:rsidRPr="00DB0AF6">
            <w:rPr>
              <w:rFonts w:eastAsia="Century Gothic" w:cs="Century Gothic"/>
              <w:sz w:val="16"/>
              <w:szCs w:val="16"/>
            </w:rPr>
            <w:fldChar w:fldCharType="end"/>
          </w:r>
          <w:r w:rsidRPr="00DB0AF6">
            <w:rPr>
              <w:rFonts w:eastAsia="Century Gothic" w:cs="Century Gothic"/>
              <w:sz w:val="16"/>
              <w:szCs w:val="16"/>
            </w:rPr>
            <w:t xml:space="preserve"> de </w:t>
          </w:r>
          <w:r w:rsidRPr="00DB0AF6">
            <w:rPr>
              <w:rFonts w:eastAsia="Century Gothic" w:cs="Century Gothic"/>
              <w:sz w:val="16"/>
              <w:szCs w:val="16"/>
            </w:rPr>
            <w:fldChar w:fldCharType="begin"/>
          </w:r>
          <w:r w:rsidRPr="00DB0AF6">
            <w:rPr>
              <w:rFonts w:eastAsia="Century Gothic" w:cs="Century Gothic"/>
              <w:sz w:val="16"/>
              <w:szCs w:val="16"/>
            </w:rPr>
            <w:instrText>NUMPAGES</w:instrText>
          </w:r>
          <w:r w:rsidRPr="00DB0AF6">
            <w:rPr>
              <w:rFonts w:eastAsia="Century Gothic" w:cs="Century Gothic"/>
              <w:sz w:val="16"/>
              <w:szCs w:val="16"/>
            </w:rPr>
            <w:fldChar w:fldCharType="separate"/>
          </w:r>
          <w:r w:rsidR="00FB13C8">
            <w:rPr>
              <w:rFonts w:eastAsia="Century Gothic" w:cs="Century Gothic"/>
              <w:noProof/>
              <w:sz w:val="16"/>
              <w:szCs w:val="16"/>
            </w:rPr>
            <w:t>5</w:t>
          </w:r>
          <w:r w:rsidRPr="00DB0AF6">
            <w:rPr>
              <w:rFonts w:eastAsia="Century Gothic" w:cs="Century Gothic"/>
              <w:sz w:val="16"/>
              <w:szCs w:val="16"/>
            </w:rPr>
            <w:fldChar w:fldCharType="end"/>
          </w:r>
        </w:p>
      </w:tc>
    </w:tr>
  </w:tbl>
  <w:p w14:paraId="011F34CF" w14:textId="77777777" w:rsidR="00A1505A" w:rsidRDefault="00A1505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A1C6E"/>
    <w:multiLevelType w:val="multilevel"/>
    <w:tmpl w:val="AF7C93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11FB70EA"/>
    <w:multiLevelType w:val="hybridMultilevel"/>
    <w:tmpl w:val="0F267BD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E44992"/>
    <w:multiLevelType w:val="multilevel"/>
    <w:tmpl w:val="998633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25D91FEB"/>
    <w:multiLevelType w:val="hybridMultilevel"/>
    <w:tmpl w:val="417E0AF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515C90"/>
    <w:multiLevelType w:val="hybridMultilevel"/>
    <w:tmpl w:val="3AB0E48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AF6711"/>
    <w:multiLevelType w:val="multilevel"/>
    <w:tmpl w:val="998633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39855B6A"/>
    <w:multiLevelType w:val="hybridMultilevel"/>
    <w:tmpl w:val="94CA9BE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241C44"/>
    <w:multiLevelType w:val="hybridMultilevel"/>
    <w:tmpl w:val="24AC57D2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9328D6"/>
    <w:multiLevelType w:val="hybridMultilevel"/>
    <w:tmpl w:val="ABA098A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9A4D7F"/>
    <w:multiLevelType w:val="hybridMultilevel"/>
    <w:tmpl w:val="A636EF1A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E6457B"/>
    <w:multiLevelType w:val="hybridMultilevel"/>
    <w:tmpl w:val="901C2FB2"/>
    <w:lvl w:ilvl="0" w:tplc="08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1" w15:restartNumberingAfterBreak="0">
    <w:nsid w:val="5BF47370"/>
    <w:multiLevelType w:val="hybridMultilevel"/>
    <w:tmpl w:val="AC18A1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393DDE"/>
    <w:multiLevelType w:val="multilevel"/>
    <w:tmpl w:val="6D0CD4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bullet"/>
      <w:lvlText w:val=""/>
      <w:lvlJc w:val="left"/>
      <w:pPr>
        <w:ind w:left="1080" w:hanging="720"/>
      </w:pPr>
      <w:rPr>
        <w:rFonts w:ascii="Wingdings" w:hAnsi="Wingdings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763D566D"/>
    <w:multiLevelType w:val="hybridMultilevel"/>
    <w:tmpl w:val="95EE794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034C4E"/>
    <w:multiLevelType w:val="hybridMultilevel"/>
    <w:tmpl w:val="96E07D9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435D60"/>
    <w:multiLevelType w:val="hybridMultilevel"/>
    <w:tmpl w:val="E30CE2AE"/>
    <w:lvl w:ilvl="0" w:tplc="08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4"/>
  </w:num>
  <w:num w:numId="4">
    <w:abstractNumId w:val="11"/>
  </w:num>
  <w:num w:numId="5">
    <w:abstractNumId w:val="10"/>
  </w:num>
  <w:num w:numId="6">
    <w:abstractNumId w:val="15"/>
  </w:num>
  <w:num w:numId="7">
    <w:abstractNumId w:val="12"/>
  </w:num>
  <w:num w:numId="8">
    <w:abstractNumId w:val="5"/>
  </w:num>
  <w:num w:numId="9">
    <w:abstractNumId w:val="2"/>
  </w:num>
  <w:num w:numId="10">
    <w:abstractNumId w:val="13"/>
  </w:num>
  <w:num w:numId="11">
    <w:abstractNumId w:val="6"/>
  </w:num>
  <w:num w:numId="12">
    <w:abstractNumId w:val="8"/>
  </w:num>
  <w:num w:numId="13">
    <w:abstractNumId w:val="1"/>
  </w:num>
  <w:num w:numId="14">
    <w:abstractNumId w:val="7"/>
  </w:num>
  <w:num w:numId="15">
    <w:abstractNumId w:val="9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505A"/>
    <w:rsid w:val="000048D0"/>
    <w:rsid w:val="00082B3B"/>
    <w:rsid w:val="00147313"/>
    <w:rsid w:val="0017363F"/>
    <w:rsid w:val="001E52BE"/>
    <w:rsid w:val="00205039"/>
    <w:rsid w:val="00256D37"/>
    <w:rsid w:val="00342A3E"/>
    <w:rsid w:val="00382CA2"/>
    <w:rsid w:val="003A64E7"/>
    <w:rsid w:val="00413F13"/>
    <w:rsid w:val="00467EA9"/>
    <w:rsid w:val="005F5B84"/>
    <w:rsid w:val="00724014"/>
    <w:rsid w:val="00783760"/>
    <w:rsid w:val="007A1767"/>
    <w:rsid w:val="00803790"/>
    <w:rsid w:val="00960641"/>
    <w:rsid w:val="009876D0"/>
    <w:rsid w:val="009B3D32"/>
    <w:rsid w:val="009D30E7"/>
    <w:rsid w:val="00A1505A"/>
    <w:rsid w:val="00A31AA3"/>
    <w:rsid w:val="00A65B43"/>
    <w:rsid w:val="00A73728"/>
    <w:rsid w:val="00AB47FE"/>
    <w:rsid w:val="00AD5EA8"/>
    <w:rsid w:val="00B02DD0"/>
    <w:rsid w:val="00B27E66"/>
    <w:rsid w:val="00B50174"/>
    <w:rsid w:val="00B55A4C"/>
    <w:rsid w:val="00BB1806"/>
    <w:rsid w:val="00D34DAE"/>
    <w:rsid w:val="00D5491D"/>
    <w:rsid w:val="00D7426C"/>
    <w:rsid w:val="00E11101"/>
    <w:rsid w:val="00E448FB"/>
    <w:rsid w:val="00EC1388"/>
    <w:rsid w:val="00EC2DC4"/>
    <w:rsid w:val="00EE3B19"/>
    <w:rsid w:val="00EF2810"/>
    <w:rsid w:val="00FB1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9B2A41"/>
  <w15:chartTrackingRefBased/>
  <w15:docId w15:val="{3FBEDC55-0BF7-4C93-8D11-F798903E4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426C"/>
    <w:pPr>
      <w:spacing w:after="0" w:line="240" w:lineRule="auto"/>
      <w:jc w:val="both"/>
    </w:pPr>
    <w:rPr>
      <w:rFonts w:ascii="Century Gothic" w:hAnsi="Century Gothic"/>
    </w:rPr>
  </w:style>
  <w:style w:type="paragraph" w:styleId="Ttulo1">
    <w:name w:val="heading 1"/>
    <w:basedOn w:val="Normal"/>
    <w:next w:val="Normal"/>
    <w:link w:val="Ttulo1Car"/>
    <w:uiPriority w:val="9"/>
    <w:qFormat/>
    <w:rsid w:val="00A1505A"/>
    <w:pPr>
      <w:keepNext/>
      <w:keepLines/>
      <w:spacing w:before="240"/>
      <w:outlineLvl w:val="0"/>
    </w:pPr>
    <w:rPr>
      <w:rFonts w:eastAsiaTheme="majorEastAsia" w:cstheme="majorBidi"/>
      <w:color w:val="000000" w:themeColor="text1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1505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1505A"/>
  </w:style>
  <w:style w:type="paragraph" w:styleId="Piedepgina">
    <w:name w:val="footer"/>
    <w:basedOn w:val="Normal"/>
    <w:link w:val="PiedepginaCar"/>
    <w:uiPriority w:val="99"/>
    <w:unhideWhenUsed/>
    <w:rsid w:val="00A1505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1505A"/>
  </w:style>
  <w:style w:type="table" w:customStyle="1" w:styleId="1">
    <w:name w:val="1"/>
    <w:basedOn w:val="Tablanormal"/>
    <w:rsid w:val="00A1505A"/>
    <w:pPr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s-MX"/>
    </w:rPr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  <w:tcPr>
      <w:shd w:val="clear" w:color="auto" w:fill="E8E8E8"/>
    </w:tcPr>
  </w:style>
  <w:style w:type="paragraph" w:styleId="Sinespaciado">
    <w:name w:val="No Spacing"/>
    <w:uiPriority w:val="1"/>
    <w:qFormat/>
    <w:rsid w:val="00A1505A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A1505A"/>
    <w:rPr>
      <w:rFonts w:ascii="Century Gothic" w:eastAsiaTheme="majorEastAsia" w:hAnsi="Century Gothic" w:cstheme="majorBidi"/>
      <w:color w:val="000000" w:themeColor="text1"/>
      <w:szCs w:val="32"/>
    </w:rPr>
  </w:style>
  <w:style w:type="table" w:customStyle="1" w:styleId="10">
    <w:name w:val="10"/>
    <w:basedOn w:val="Tablanormal"/>
    <w:rsid w:val="00A1505A"/>
    <w:pPr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s-MX"/>
    </w:rPr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  <w:tcPr>
      <w:shd w:val="clear" w:color="auto" w:fill="E8E8E8"/>
    </w:tcPr>
  </w:style>
  <w:style w:type="paragraph" w:styleId="Prrafodelista">
    <w:name w:val="List Paragraph"/>
    <w:basedOn w:val="Normal"/>
    <w:uiPriority w:val="34"/>
    <w:qFormat/>
    <w:rsid w:val="00D5491D"/>
    <w:pPr>
      <w:ind w:left="720"/>
      <w:contextualSpacing/>
    </w:pPr>
  </w:style>
  <w:style w:type="table" w:customStyle="1" w:styleId="9">
    <w:name w:val="9"/>
    <w:basedOn w:val="Tablanormal"/>
    <w:rsid w:val="00D5491D"/>
    <w:pPr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s-MX"/>
    </w:rPr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  <w:tcPr>
      <w:shd w:val="clear" w:color="auto" w:fill="E8E8E8"/>
    </w:tcPr>
  </w:style>
  <w:style w:type="table" w:styleId="Tablaconcuadrcula">
    <w:name w:val="Table Grid"/>
    <w:basedOn w:val="Tablanormal"/>
    <w:uiPriority w:val="39"/>
    <w:rsid w:val="001736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17363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eunip.es/como-dar-malas-noticias-protocolo-buckman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proyectohuci.com/es/comunicar-malas-noticias-el-protocolo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inesem.es/revistadigital/biosanitario/malas-noticias-salud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E1D29E-5269-45A7-9C68-059F094191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1316</Words>
  <Characters>7240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IPS OBRERO</dc:creator>
  <cp:keywords/>
  <dc:description/>
  <cp:lastModifiedBy>IPS OBRERO</cp:lastModifiedBy>
  <cp:revision>5</cp:revision>
  <cp:lastPrinted>2025-09-09T22:25:00Z</cp:lastPrinted>
  <dcterms:created xsi:type="dcterms:W3CDTF">2025-09-09T17:21:00Z</dcterms:created>
  <dcterms:modified xsi:type="dcterms:W3CDTF">2025-09-09T22:25:00Z</dcterms:modified>
</cp:coreProperties>
</file>