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3B41C" w14:textId="0E7F2D15" w:rsidR="00525113" w:rsidRDefault="00525113" w:rsidP="00872A40">
      <w:pPr>
        <w:spacing w:line="360" w:lineRule="auto"/>
        <w:jc w:val="center"/>
        <w:rPr>
          <w:rFonts w:ascii="Times New Roman" w:hAnsi="Times New Roman" w:cs="Times New Roman"/>
          <w:b/>
          <w:bCs/>
        </w:rPr>
      </w:pPr>
      <w:r w:rsidRPr="00525113">
        <w:rPr>
          <w:rFonts w:ascii="Times New Roman" w:hAnsi="Times New Roman" w:cs="Times New Roman"/>
          <w:b/>
          <w:bCs/>
        </w:rPr>
        <w:t xml:space="preserve">Automatic Generation of Learner-Oriented </w:t>
      </w:r>
      <w:r w:rsidR="000A3D0A">
        <w:rPr>
          <w:rFonts w:ascii="Times New Roman" w:hAnsi="Times New Roman" w:cs="Times New Roman"/>
          <w:b/>
          <w:bCs/>
        </w:rPr>
        <w:t xml:space="preserve">Frame Semantics based Lexicon </w:t>
      </w:r>
      <w:r w:rsidRPr="00525113">
        <w:rPr>
          <w:rFonts w:ascii="Times New Roman" w:hAnsi="Times New Roman" w:cs="Times New Roman"/>
          <w:b/>
          <w:bCs/>
        </w:rPr>
        <w:t>Using ChatGPT</w:t>
      </w:r>
    </w:p>
    <w:p w14:paraId="5B3A1268" w14:textId="1B4D26C1" w:rsidR="00D42B41" w:rsidRDefault="00ED7641" w:rsidP="00872A40">
      <w:pPr>
        <w:spacing w:line="360" w:lineRule="auto"/>
        <w:rPr>
          <w:rFonts w:ascii="Times New Roman" w:hAnsi="Times New Roman" w:cs="Times New Roman"/>
        </w:rPr>
      </w:pPr>
      <w:r>
        <w:rPr>
          <w:rFonts w:ascii="Times New Roman" w:hAnsi="Times New Roman" w:cs="Times New Roman"/>
        </w:rPr>
        <w:t>In the last</w:t>
      </w:r>
      <w:r w:rsidR="00397ECD">
        <w:rPr>
          <w:rFonts w:ascii="Times New Roman" w:hAnsi="Times New Roman" w:cs="Times New Roman"/>
        </w:rPr>
        <w:t xml:space="preserve"> few</w:t>
      </w:r>
      <w:r>
        <w:rPr>
          <w:rFonts w:ascii="Times New Roman" w:hAnsi="Times New Roman" w:cs="Times New Roman"/>
        </w:rPr>
        <w:t xml:space="preserve"> years there has been a huge surge in works </w:t>
      </w:r>
      <w:r w:rsidR="00215D11">
        <w:rPr>
          <w:rFonts w:ascii="Times New Roman" w:hAnsi="Times New Roman" w:cs="Times New Roman"/>
        </w:rPr>
        <w:t xml:space="preserve">not only </w:t>
      </w:r>
      <w:r>
        <w:rPr>
          <w:rFonts w:ascii="Times New Roman" w:hAnsi="Times New Roman" w:cs="Times New Roman"/>
        </w:rPr>
        <w:t>exploring the capabilities of generative AI tools like ChatGPT to produce good quality lexicographic content (</w:t>
      </w:r>
      <w:r w:rsidRPr="00ED7641">
        <w:rPr>
          <w:rFonts w:ascii="Times New Roman" w:hAnsi="Times New Roman" w:cs="Times New Roman"/>
        </w:rPr>
        <w:t>de Schryver</w:t>
      </w:r>
      <w:r>
        <w:rPr>
          <w:rFonts w:ascii="Times New Roman" w:hAnsi="Times New Roman" w:cs="Times New Roman"/>
        </w:rPr>
        <w:t xml:space="preserve">, 2023; Lew, 2023; Chow et. al., 2024; </w:t>
      </w:r>
      <w:r>
        <w:rPr>
          <w:rFonts w:ascii="Times New Roman" w:hAnsi="Times New Roman" w:cs="Times New Roman"/>
        </w:rPr>
        <w:t>Rees &amp; Lew, 2024</w:t>
      </w:r>
      <w:r>
        <w:rPr>
          <w:rFonts w:ascii="Times New Roman" w:hAnsi="Times New Roman" w:cs="Times New Roman"/>
        </w:rPr>
        <w:t>)</w:t>
      </w:r>
      <w:r w:rsidR="00397ECD">
        <w:rPr>
          <w:rFonts w:ascii="Times New Roman" w:hAnsi="Times New Roman" w:cs="Times New Roman"/>
        </w:rPr>
        <w:t>, but also how can these tools be employed in the context of frame semantics and construction grammar (</w:t>
      </w:r>
      <w:proofErr w:type="spellStart"/>
      <w:r w:rsidR="0039157D" w:rsidRPr="0039157D">
        <w:rPr>
          <w:rFonts w:ascii="Times New Roman" w:hAnsi="Times New Roman" w:cs="Times New Roman"/>
        </w:rPr>
        <w:t>Weissweiler</w:t>
      </w:r>
      <w:proofErr w:type="spellEnd"/>
      <w:r w:rsidR="0039157D">
        <w:rPr>
          <w:rFonts w:ascii="Times New Roman" w:hAnsi="Times New Roman" w:cs="Times New Roman"/>
        </w:rPr>
        <w:t xml:space="preserve">, et. al., 2023; </w:t>
      </w:r>
      <w:r w:rsidR="00397ECD">
        <w:rPr>
          <w:rFonts w:ascii="Times New Roman" w:hAnsi="Times New Roman" w:cs="Times New Roman"/>
        </w:rPr>
        <w:t>Goldberg, 2024; Torrent et. al., 2024, pp. 55)</w:t>
      </w:r>
      <w:r>
        <w:rPr>
          <w:rFonts w:ascii="Times New Roman" w:hAnsi="Times New Roman" w:cs="Times New Roman"/>
        </w:rPr>
        <w:t xml:space="preserve">. </w:t>
      </w:r>
      <w:r w:rsidR="00215D11">
        <w:rPr>
          <w:rFonts w:ascii="Times New Roman" w:hAnsi="Times New Roman" w:cs="Times New Roman"/>
        </w:rPr>
        <w:t>In the same milieu, t</w:t>
      </w:r>
      <w:r w:rsidR="00D42B41" w:rsidRPr="00BB1FE2">
        <w:rPr>
          <w:rFonts w:ascii="Times New Roman" w:hAnsi="Times New Roman" w:cs="Times New Roman"/>
        </w:rPr>
        <w:t xml:space="preserve">his paper </w:t>
      </w:r>
      <w:r w:rsidR="00D42B41">
        <w:rPr>
          <w:rFonts w:ascii="Times New Roman" w:hAnsi="Times New Roman" w:cs="Times New Roman"/>
        </w:rPr>
        <w:t>explore</w:t>
      </w:r>
      <w:r w:rsidR="00215D11">
        <w:rPr>
          <w:rFonts w:ascii="Times New Roman" w:hAnsi="Times New Roman" w:cs="Times New Roman"/>
        </w:rPr>
        <w:t>s</w:t>
      </w:r>
      <w:r w:rsidR="00D42B41">
        <w:rPr>
          <w:rFonts w:ascii="Times New Roman" w:hAnsi="Times New Roman" w:cs="Times New Roman"/>
        </w:rPr>
        <w:t xml:space="preserve"> the possibility </w:t>
      </w:r>
      <w:r w:rsidR="00215D11">
        <w:rPr>
          <w:rFonts w:ascii="Times New Roman" w:hAnsi="Times New Roman" w:cs="Times New Roman"/>
        </w:rPr>
        <w:t>of</w:t>
      </w:r>
      <w:r w:rsidR="00D42B41">
        <w:rPr>
          <w:rFonts w:ascii="Times New Roman" w:hAnsi="Times New Roman" w:cs="Times New Roman"/>
        </w:rPr>
        <w:t xml:space="preserve"> us</w:t>
      </w:r>
      <w:r w:rsidR="00215D11">
        <w:rPr>
          <w:rFonts w:ascii="Times New Roman" w:hAnsi="Times New Roman" w:cs="Times New Roman"/>
        </w:rPr>
        <w:t>ing</w:t>
      </w:r>
      <w:r w:rsidR="00D42B41">
        <w:rPr>
          <w:rFonts w:ascii="Times New Roman" w:hAnsi="Times New Roman" w:cs="Times New Roman"/>
        </w:rPr>
        <w:t xml:space="preserve"> G-FOL as a base to generate a similar Construction Grammar and Frame Semantics based pedagogical lexicographic resources for other languages using ChatGPT. </w:t>
      </w:r>
      <w:r w:rsidR="00D42B41" w:rsidRPr="00E86831">
        <w:rPr>
          <w:rFonts w:ascii="Times New Roman" w:hAnsi="Times New Roman" w:cs="Times New Roman"/>
        </w:rPr>
        <w:t>For this we have selected Swedish language as it is closely related with German.</w:t>
      </w:r>
      <w:r w:rsidR="00D42B41">
        <w:rPr>
          <w:rFonts w:ascii="Times New Roman" w:hAnsi="Times New Roman" w:cs="Times New Roman"/>
        </w:rPr>
        <w:t xml:space="preserve"> </w:t>
      </w:r>
      <w:r w:rsidR="00215D11">
        <w:rPr>
          <w:rFonts w:ascii="Times New Roman" w:hAnsi="Times New Roman" w:cs="Times New Roman"/>
        </w:rPr>
        <w:t xml:space="preserve">The target items are lexical units that evoke the </w:t>
      </w:r>
      <w:r w:rsidR="00215D11" w:rsidRPr="00215D11">
        <w:rPr>
          <w:rFonts w:ascii="Courier New" w:hAnsi="Courier New" w:cs="Courier New"/>
        </w:rPr>
        <w:t>Grooming</w:t>
      </w:r>
      <w:r w:rsidR="00215D11">
        <w:rPr>
          <w:rFonts w:ascii="Times New Roman" w:hAnsi="Times New Roman" w:cs="Times New Roman"/>
        </w:rPr>
        <w:t xml:space="preserve"> frame in </w:t>
      </w:r>
      <w:r w:rsidR="00215D11">
        <w:rPr>
          <w:rFonts w:ascii="Times New Roman" w:hAnsi="Times New Roman" w:cs="Times New Roman"/>
        </w:rPr>
        <w:t>German Frame-Semantic Online Lexicon (G-FOL)</w:t>
      </w:r>
      <w:r w:rsidR="00215D11">
        <w:rPr>
          <w:rFonts w:ascii="Times New Roman" w:hAnsi="Times New Roman" w:cs="Times New Roman"/>
        </w:rPr>
        <w:t xml:space="preserve">. </w:t>
      </w:r>
      <w:r w:rsidR="00D42B41">
        <w:rPr>
          <w:rFonts w:ascii="Times New Roman" w:hAnsi="Times New Roman" w:cs="Times New Roman"/>
        </w:rPr>
        <w:t xml:space="preserve">All 23 lexical units from </w:t>
      </w:r>
      <w:r w:rsidR="00D42B41" w:rsidRPr="000D6B41">
        <w:rPr>
          <w:rFonts w:ascii="Courier New" w:hAnsi="Courier New" w:cs="Courier New"/>
        </w:rPr>
        <w:t>Grooming</w:t>
      </w:r>
      <w:r w:rsidR="00D42B41">
        <w:rPr>
          <w:rFonts w:ascii="Times New Roman" w:hAnsi="Times New Roman" w:cs="Times New Roman"/>
        </w:rPr>
        <w:t xml:space="preserve"> frame were selected for this experiment. The prompt was executed through a python script via API in PyCharm, which saves the response in structured XML files on the computer locally. The analysis of preliminary results indicate that ChatGPT is able to generate good quality of lexicographic content. The quality and diversity of example sentences emerged as one of the main issues.</w:t>
      </w:r>
    </w:p>
    <w:p w14:paraId="482E1D3B" w14:textId="0EC75C04" w:rsidR="00525113" w:rsidRDefault="002C2354" w:rsidP="00872A40">
      <w:pPr>
        <w:spacing w:line="360" w:lineRule="auto"/>
        <w:rPr>
          <w:rFonts w:ascii="Times New Roman" w:hAnsi="Times New Roman" w:cs="Times New Roman"/>
        </w:rPr>
      </w:pPr>
      <w:r>
        <w:rPr>
          <w:rFonts w:ascii="Times New Roman" w:hAnsi="Times New Roman" w:cs="Times New Roman"/>
        </w:rPr>
        <w:t>Several e</w:t>
      </w:r>
      <w:r w:rsidR="00525113" w:rsidRPr="00525113">
        <w:rPr>
          <w:rFonts w:ascii="Times New Roman" w:hAnsi="Times New Roman" w:cs="Times New Roman"/>
        </w:rPr>
        <w:t>mpi</w:t>
      </w:r>
      <w:r w:rsidR="00525113">
        <w:rPr>
          <w:rFonts w:ascii="Times New Roman" w:hAnsi="Times New Roman" w:cs="Times New Roman"/>
        </w:rPr>
        <w:t xml:space="preserve">rical studies in the last couple of decades have established that constructions have a </w:t>
      </w:r>
      <w:r>
        <w:rPr>
          <w:rFonts w:ascii="Times New Roman" w:hAnsi="Times New Roman" w:cs="Times New Roman"/>
        </w:rPr>
        <w:t>“</w:t>
      </w:r>
      <w:r w:rsidR="00525113">
        <w:rPr>
          <w:rFonts w:ascii="Times New Roman" w:hAnsi="Times New Roman" w:cs="Times New Roman"/>
        </w:rPr>
        <w:t>psychological reality</w:t>
      </w:r>
      <w:r>
        <w:rPr>
          <w:rFonts w:ascii="Times New Roman" w:hAnsi="Times New Roman" w:cs="Times New Roman"/>
        </w:rPr>
        <w:t>”</w:t>
      </w:r>
      <w:r w:rsidR="00525113">
        <w:rPr>
          <w:rFonts w:ascii="Times New Roman" w:hAnsi="Times New Roman" w:cs="Times New Roman"/>
        </w:rPr>
        <w:t xml:space="preserve"> </w:t>
      </w:r>
      <w:r>
        <w:rPr>
          <w:rFonts w:ascii="Times New Roman" w:hAnsi="Times New Roman" w:cs="Times New Roman"/>
        </w:rPr>
        <w:t>and much of language is learned and stored as constructions (Patten &amp; Perek, 2022, pp. 180</w:t>
      </w:r>
      <w:r w:rsidR="005E2D56">
        <w:rPr>
          <w:rFonts w:ascii="Times New Roman" w:hAnsi="Times New Roman" w:cs="Times New Roman"/>
        </w:rPr>
        <w:t>; Herbst, 2016, p. 41</w:t>
      </w:r>
      <w:r>
        <w:rPr>
          <w:rFonts w:ascii="Times New Roman" w:hAnsi="Times New Roman" w:cs="Times New Roman"/>
        </w:rPr>
        <w:t>). This proposition hold</w:t>
      </w:r>
      <w:r w:rsidR="000D6B41">
        <w:rPr>
          <w:rFonts w:ascii="Times New Roman" w:hAnsi="Times New Roman" w:cs="Times New Roman"/>
        </w:rPr>
        <w:t>s</w:t>
      </w:r>
      <w:r>
        <w:rPr>
          <w:rFonts w:ascii="Times New Roman" w:hAnsi="Times New Roman" w:cs="Times New Roman"/>
        </w:rPr>
        <w:t xml:space="preserve"> true for both L1 speakers and subsequent Lx learners. At the present moment work is going on </w:t>
      </w:r>
      <w:r w:rsidR="00872A40">
        <w:rPr>
          <w:rFonts w:ascii="Times New Roman" w:hAnsi="Times New Roman" w:cs="Times New Roman"/>
        </w:rPr>
        <w:t xml:space="preserve">both </w:t>
      </w:r>
      <w:r>
        <w:rPr>
          <w:rFonts w:ascii="Times New Roman" w:hAnsi="Times New Roman" w:cs="Times New Roman"/>
        </w:rPr>
        <w:t xml:space="preserve">the </w:t>
      </w:r>
      <w:proofErr w:type="spellStart"/>
      <w:r>
        <w:rPr>
          <w:rFonts w:ascii="Times New Roman" w:hAnsi="Times New Roman" w:cs="Times New Roman"/>
        </w:rPr>
        <w:t>Constructicon</w:t>
      </w:r>
      <w:proofErr w:type="spellEnd"/>
      <w:r w:rsidR="00872A40">
        <w:rPr>
          <w:rFonts w:ascii="Times New Roman" w:hAnsi="Times New Roman" w:cs="Times New Roman"/>
        </w:rPr>
        <w:t xml:space="preserve"> and </w:t>
      </w:r>
      <w:proofErr w:type="spellStart"/>
      <w:r w:rsidR="00872A40">
        <w:rPr>
          <w:rFonts w:ascii="Times New Roman" w:hAnsi="Times New Roman" w:cs="Times New Roman"/>
        </w:rPr>
        <w:t>FrameNet</w:t>
      </w:r>
      <w:proofErr w:type="spellEnd"/>
      <w:r w:rsidR="00872A40">
        <w:rPr>
          <w:rFonts w:ascii="Times New Roman" w:hAnsi="Times New Roman" w:cs="Times New Roman"/>
        </w:rPr>
        <w:t xml:space="preserve"> project</w:t>
      </w:r>
      <w:r>
        <w:rPr>
          <w:rFonts w:ascii="Times New Roman" w:hAnsi="Times New Roman" w:cs="Times New Roman"/>
        </w:rPr>
        <w:t xml:space="preserve"> for several major languages and serious discussions are being carried out regarding their pedagogical implications</w:t>
      </w:r>
      <w:r w:rsidR="00872A40">
        <w:rPr>
          <w:rFonts w:ascii="Times New Roman" w:hAnsi="Times New Roman" w:cs="Times New Roman"/>
        </w:rPr>
        <w:t xml:space="preserve"> in context of (foreign) language teaching</w:t>
      </w:r>
      <w:r w:rsidR="009240CA">
        <w:rPr>
          <w:rFonts w:ascii="Times New Roman" w:hAnsi="Times New Roman" w:cs="Times New Roman"/>
        </w:rPr>
        <w:t xml:space="preserve"> (Lorenz et. al., 2020; </w:t>
      </w:r>
      <w:r w:rsidR="009240CA" w:rsidRPr="009240CA">
        <w:rPr>
          <w:rFonts w:ascii="Times New Roman" w:hAnsi="Times New Roman" w:cs="Times New Roman"/>
        </w:rPr>
        <w:t>Prentice</w:t>
      </w:r>
      <w:r w:rsidR="009240CA">
        <w:rPr>
          <w:rFonts w:ascii="Times New Roman" w:hAnsi="Times New Roman" w:cs="Times New Roman"/>
        </w:rPr>
        <w:t xml:space="preserve"> et. al., 2021; </w:t>
      </w:r>
      <w:r w:rsidR="009240CA" w:rsidRPr="009240CA">
        <w:rPr>
          <w:rFonts w:ascii="Times New Roman" w:hAnsi="Times New Roman" w:cs="Times New Roman"/>
        </w:rPr>
        <w:t>Endresen</w:t>
      </w:r>
      <w:r w:rsidR="009240CA">
        <w:rPr>
          <w:rFonts w:ascii="Times New Roman" w:hAnsi="Times New Roman" w:cs="Times New Roman"/>
        </w:rPr>
        <w:t xml:space="preserve"> et. al., 2022; </w:t>
      </w:r>
      <w:r w:rsidR="009240CA" w:rsidRPr="009240CA">
        <w:rPr>
          <w:rFonts w:ascii="Times New Roman" w:hAnsi="Times New Roman" w:cs="Times New Roman"/>
        </w:rPr>
        <w:t>Gemmell Hudson</w:t>
      </w:r>
      <w:r w:rsidR="009240CA">
        <w:rPr>
          <w:rFonts w:ascii="Times New Roman" w:hAnsi="Times New Roman" w:cs="Times New Roman"/>
        </w:rPr>
        <w:t>, 2022</w:t>
      </w:r>
      <w:r w:rsidR="009240CA">
        <w:rPr>
          <w:rFonts w:ascii="Times New Roman" w:hAnsi="Times New Roman" w:cs="Times New Roman"/>
        </w:rPr>
        <w:t>)</w:t>
      </w:r>
      <w:r w:rsidR="00872A40">
        <w:rPr>
          <w:rFonts w:ascii="Times New Roman" w:hAnsi="Times New Roman" w:cs="Times New Roman"/>
        </w:rPr>
        <w:t xml:space="preserve">. </w:t>
      </w:r>
      <w:r w:rsidR="000D6B41">
        <w:rPr>
          <w:rFonts w:ascii="Times New Roman" w:hAnsi="Times New Roman" w:cs="Times New Roman"/>
        </w:rPr>
        <w:t>One of the main challenges in this regards is the necessary mediation by the instructor</w:t>
      </w:r>
      <w:r w:rsidR="00872A40">
        <w:rPr>
          <w:rFonts w:ascii="Times New Roman" w:hAnsi="Times New Roman" w:cs="Times New Roman"/>
        </w:rPr>
        <w:t>.</w:t>
      </w:r>
      <w:r w:rsidR="000D6B41">
        <w:rPr>
          <w:rFonts w:ascii="Times New Roman" w:hAnsi="Times New Roman" w:cs="Times New Roman"/>
        </w:rPr>
        <w:t xml:space="preserve"> In other words, these resources are conceptualized in such a way that most learners cannot use them independently.</w:t>
      </w:r>
    </w:p>
    <w:p w14:paraId="5A7B5209" w14:textId="60D02BEE" w:rsidR="00D42B41" w:rsidRDefault="00872A40" w:rsidP="00BB1FE2">
      <w:pPr>
        <w:spacing w:line="360" w:lineRule="auto"/>
        <w:rPr>
          <w:rFonts w:ascii="Times New Roman" w:hAnsi="Times New Roman" w:cs="Times New Roman"/>
        </w:rPr>
      </w:pPr>
      <w:r>
        <w:rPr>
          <w:rFonts w:ascii="Times New Roman" w:hAnsi="Times New Roman" w:cs="Times New Roman"/>
        </w:rPr>
        <w:t>Given the fact that the language learners need a lot more autonomy</w:t>
      </w:r>
      <w:r w:rsidR="005E2D56">
        <w:rPr>
          <w:rFonts w:ascii="Times New Roman" w:hAnsi="Times New Roman" w:cs="Times New Roman"/>
        </w:rPr>
        <w:t xml:space="preserve">, there is a need for </w:t>
      </w:r>
      <w:r w:rsidR="000D6B41">
        <w:rPr>
          <w:rFonts w:ascii="Times New Roman" w:hAnsi="Times New Roman" w:cs="Times New Roman"/>
        </w:rPr>
        <w:t xml:space="preserve">adapting these resources such that they could be used by </w:t>
      </w:r>
      <w:r w:rsidR="005E2D56">
        <w:rPr>
          <w:rFonts w:ascii="Times New Roman" w:hAnsi="Times New Roman" w:cs="Times New Roman"/>
        </w:rPr>
        <w:t>language learner independently</w:t>
      </w:r>
      <w:r w:rsidR="00412508">
        <w:rPr>
          <w:rFonts w:ascii="Times New Roman" w:hAnsi="Times New Roman" w:cs="Times New Roman"/>
        </w:rPr>
        <w:t xml:space="preserve"> both inside and outside of the classroom (</w:t>
      </w:r>
      <w:r w:rsidR="00412508" w:rsidRPr="00412508">
        <w:rPr>
          <w:rFonts w:ascii="Times New Roman" w:hAnsi="Times New Roman" w:cs="Times New Roman"/>
        </w:rPr>
        <w:t>Ludwig</w:t>
      </w:r>
      <w:r w:rsidR="00412508">
        <w:rPr>
          <w:rFonts w:ascii="Times New Roman" w:hAnsi="Times New Roman" w:cs="Times New Roman"/>
        </w:rPr>
        <w:t xml:space="preserve"> </w:t>
      </w:r>
      <w:r w:rsidR="00412508" w:rsidRPr="00412508">
        <w:rPr>
          <w:rFonts w:ascii="Times New Roman" w:hAnsi="Times New Roman" w:cs="Times New Roman"/>
        </w:rPr>
        <w:t>&amp; Tassinari</w:t>
      </w:r>
      <w:r w:rsidR="00412508">
        <w:rPr>
          <w:rFonts w:ascii="Times New Roman" w:hAnsi="Times New Roman" w:cs="Times New Roman"/>
        </w:rPr>
        <w:t>, 2021; cf. Little, 2022)</w:t>
      </w:r>
      <w:r w:rsidR="005E2D56">
        <w:rPr>
          <w:rFonts w:ascii="Times New Roman" w:hAnsi="Times New Roman" w:cs="Times New Roman"/>
        </w:rPr>
        <w:t xml:space="preserve">. G-FOL is one such resource, which supports learner autonomy. G-FOL achieved this by </w:t>
      </w:r>
      <w:r w:rsidR="005E2D56" w:rsidRPr="005E2D56">
        <w:rPr>
          <w:rFonts w:ascii="Times New Roman" w:hAnsi="Times New Roman" w:cs="Times New Roman"/>
        </w:rPr>
        <w:t xml:space="preserve">simplifying Berkeley </w:t>
      </w:r>
      <w:proofErr w:type="spellStart"/>
      <w:r w:rsidR="005E2D56" w:rsidRPr="005E2D56">
        <w:rPr>
          <w:rFonts w:ascii="Times New Roman" w:hAnsi="Times New Roman" w:cs="Times New Roman"/>
        </w:rPr>
        <w:t>FrameNet</w:t>
      </w:r>
      <w:proofErr w:type="spellEnd"/>
      <w:r w:rsidR="005E2D56" w:rsidRPr="005E2D56">
        <w:rPr>
          <w:rFonts w:ascii="Times New Roman" w:hAnsi="Times New Roman" w:cs="Times New Roman"/>
        </w:rPr>
        <w:t xml:space="preserve"> frames to avoid</w:t>
      </w:r>
      <w:r w:rsidR="005E2D56">
        <w:rPr>
          <w:rFonts w:ascii="Times New Roman" w:hAnsi="Times New Roman" w:cs="Times New Roman"/>
        </w:rPr>
        <w:t xml:space="preserve"> </w:t>
      </w:r>
      <w:r w:rsidR="005E2D56" w:rsidRPr="005E2D56">
        <w:rPr>
          <w:rFonts w:ascii="Times New Roman" w:hAnsi="Times New Roman" w:cs="Times New Roman"/>
        </w:rPr>
        <w:t xml:space="preserve">linguistic jargon that might be too technical for </w:t>
      </w:r>
      <w:r w:rsidR="005E2D56" w:rsidRPr="005E2D56">
        <w:rPr>
          <w:rFonts w:ascii="Times New Roman" w:hAnsi="Times New Roman" w:cs="Times New Roman"/>
        </w:rPr>
        <w:lastRenderedPageBreak/>
        <w:t>beginning language learners</w:t>
      </w:r>
      <w:r w:rsidR="005E2D56">
        <w:rPr>
          <w:rFonts w:ascii="Times New Roman" w:hAnsi="Times New Roman" w:cs="Times New Roman"/>
        </w:rPr>
        <w:t xml:space="preserve"> (Boas, 2022, p. 22)</w:t>
      </w:r>
      <w:r w:rsidR="005E2D56" w:rsidRPr="005E2D56">
        <w:rPr>
          <w:rFonts w:ascii="Times New Roman" w:hAnsi="Times New Roman" w:cs="Times New Roman"/>
        </w:rPr>
        <w:t>.</w:t>
      </w:r>
      <w:r w:rsidR="00BB1FE2">
        <w:rPr>
          <w:rFonts w:ascii="Times New Roman" w:hAnsi="Times New Roman" w:cs="Times New Roman"/>
        </w:rPr>
        <w:t xml:space="preserve"> At the same time it includes information regarding not only frames and constructions, but also about usage peculiarities.</w:t>
      </w:r>
      <w:r w:rsidR="00215D11">
        <w:rPr>
          <w:rFonts w:ascii="Times New Roman" w:hAnsi="Times New Roman" w:cs="Times New Roman"/>
        </w:rPr>
        <w:t xml:space="preserve"> This paper thus evaluates the qualities of AI generated frame semantics based data that is pedagogically useful.</w:t>
      </w:r>
    </w:p>
    <w:p w14:paraId="068838B4" w14:textId="2D06CD91" w:rsidR="000D6B41" w:rsidRDefault="000D6B41" w:rsidP="00BB1FE2">
      <w:pPr>
        <w:spacing w:line="360" w:lineRule="auto"/>
        <w:rPr>
          <w:rFonts w:ascii="Times New Roman" w:hAnsi="Times New Roman" w:cs="Times New Roman"/>
          <w:b/>
          <w:bCs/>
        </w:rPr>
      </w:pPr>
      <w:r w:rsidRPr="000D6B41">
        <w:rPr>
          <w:rFonts w:ascii="Times New Roman" w:hAnsi="Times New Roman" w:cs="Times New Roman"/>
          <w:b/>
          <w:bCs/>
        </w:rPr>
        <w:t>References:</w:t>
      </w:r>
    </w:p>
    <w:p w14:paraId="5F058C3A" w14:textId="77777777" w:rsidR="00412508" w:rsidRPr="00D42B41" w:rsidRDefault="00412508" w:rsidP="001341BB">
      <w:pPr>
        <w:spacing w:after="0" w:line="360" w:lineRule="auto"/>
        <w:ind w:left="284" w:hanging="284"/>
        <w:rPr>
          <w:rFonts w:ascii="Times New Roman" w:hAnsi="Times New Roman" w:cs="Times New Roman"/>
          <w:lang w:val="de-DE"/>
        </w:rPr>
      </w:pPr>
      <w:r w:rsidRPr="001341BB">
        <w:rPr>
          <w:rFonts w:ascii="Times New Roman" w:hAnsi="Times New Roman" w:cs="Times New Roman"/>
          <w:color w:val="000000"/>
        </w:rPr>
        <w:t>Boas, H. C. (2022). From Construction Grammar(s) to Pedagogical Construction Grammar. In H. Boas (Ed.),</w:t>
      </w:r>
      <w:r w:rsidRPr="001341BB">
        <w:rPr>
          <w:rStyle w:val="apple-converted-space"/>
          <w:rFonts w:ascii="Times New Roman" w:hAnsi="Times New Roman" w:cs="Times New Roman"/>
          <w:color w:val="000000"/>
        </w:rPr>
        <w:t> </w:t>
      </w:r>
      <w:r w:rsidRPr="001341BB">
        <w:rPr>
          <w:rFonts w:ascii="Times New Roman" w:hAnsi="Times New Roman" w:cs="Times New Roman"/>
          <w:i/>
          <w:iCs/>
          <w:color w:val="000000"/>
        </w:rPr>
        <w:t>Directions for Pedagogical Construction Grammar: Learning and Teaching (with) Constructions</w:t>
      </w:r>
      <w:r w:rsidRPr="001341BB">
        <w:rPr>
          <w:rStyle w:val="apple-converted-space"/>
          <w:rFonts w:ascii="Times New Roman" w:hAnsi="Times New Roman" w:cs="Times New Roman"/>
          <w:color w:val="000000"/>
        </w:rPr>
        <w:t> </w:t>
      </w:r>
      <w:r w:rsidRPr="001341BB">
        <w:rPr>
          <w:rFonts w:ascii="Times New Roman" w:hAnsi="Times New Roman" w:cs="Times New Roman"/>
          <w:color w:val="000000"/>
        </w:rPr>
        <w:t xml:space="preserve">(pp. 3-44). </w:t>
      </w:r>
      <w:r w:rsidRPr="00D42B41">
        <w:rPr>
          <w:rFonts w:ascii="Times New Roman" w:hAnsi="Times New Roman" w:cs="Times New Roman"/>
          <w:color w:val="000000"/>
          <w:lang w:val="de-DE"/>
        </w:rPr>
        <w:t>Berlin, Boston: De Gruyter Mouton.</w:t>
      </w:r>
      <w:r w:rsidRPr="00D42B41">
        <w:rPr>
          <w:rStyle w:val="apple-converted-space"/>
          <w:rFonts w:ascii="Times New Roman" w:hAnsi="Times New Roman" w:cs="Times New Roman"/>
          <w:color w:val="000000"/>
          <w:lang w:val="de-DE"/>
        </w:rPr>
        <w:t> </w:t>
      </w:r>
      <w:hyperlink r:id="rId4" w:history="1">
        <w:r w:rsidRPr="00D42B41">
          <w:rPr>
            <w:rStyle w:val="Hyperlink"/>
            <w:rFonts w:ascii="Times New Roman" w:hAnsi="Times New Roman" w:cs="Times New Roman"/>
            <w:lang w:val="de-DE"/>
          </w:rPr>
          <w:t>https://doi.org/10.1515/9783110746723-001</w:t>
        </w:r>
      </w:hyperlink>
    </w:p>
    <w:p w14:paraId="72E170DF" w14:textId="77777777" w:rsidR="00412508" w:rsidRDefault="00412508" w:rsidP="00ED7641">
      <w:pPr>
        <w:spacing w:after="0" w:line="360" w:lineRule="auto"/>
        <w:ind w:left="284" w:hanging="284"/>
        <w:rPr>
          <w:rFonts w:ascii="Times New Roman" w:hAnsi="Times New Roman" w:cs="Times New Roman"/>
        </w:rPr>
      </w:pPr>
      <w:r w:rsidRPr="00ED7641">
        <w:rPr>
          <w:rFonts w:ascii="Times New Roman" w:hAnsi="Times New Roman" w:cs="Times New Roman"/>
        </w:rPr>
        <w:t>Chow, S. Y., Shin, C.-U., &amp; Bond, F. (2024). </w:t>
      </w:r>
      <w:r w:rsidRPr="00ED7641">
        <w:rPr>
          <w:rFonts w:ascii="Times New Roman" w:hAnsi="Times New Roman" w:cs="Times New Roman"/>
          <w:i/>
          <w:iCs/>
        </w:rPr>
        <w:t>This word mean what: Constructing a Singlish dictionary with ChatGPT</w:t>
      </w:r>
      <w:r w:rsidRPr="00ED7641">
        <w:rPr>
          <w:rFonts w:ascii="Times New Roman" w:hAnsi="Times New Roman" w:cs="Times New Roman"/>
        </w:rPr>
        <w:t xml:space="preserve">. In A. K. Ojha, S. Ahmadi, S. </w:t>
      </w:r>
      <w:proofErr w:type="spellStart"/>
      <w:r w:rsidRPr="00ED7641">
        <w:rPr>
          <w:rFonts w:ascii="Times New Roman" w:hAnsi="Times New Roman" w:cs="Times New Roman"/>
        </w:rPr>
        <w:t>Cinková</w:t>
      </w:r>
      <w:proofErr w:type="spellEnd"/>
      <w:r w:rsidRPr="00ED7641">
        <w:rPr>
          <w:rFonts w:ascii="Times New Roman" w:hAnsi="Times New Roman" w:cs="Times New Roman"/>
        </w:rPr>
        <w:t>, T. Fransen, C.-H. Liu, &amp; J. P. McCrae (Eds.), </w:t>
      </w:r>
      <w:r w:rsidRPr="00ED7641">
        <w:rPr>
          <w:rFonts w:ascii="Times New Roman" w:hAnsi="Times New Roman" w:cs="Times New Roman"/>
          <w:i/>
          <w:iCs/>
        </w:rPr>
        <w:t>Proceedings of the 2nd Workshop on Resources and Technologies for Indigenous, Endangered and Lesser-resourced Languages in Eurasia (EURALI) @ LREC-COLING 2024</w:t>
      </w:r>
      <w:r w:rsidRPr="00ED7641">
        <w:rPr>
          <w:rFonts w:ascii="Times New Roman" w:hAnsi="Times New Roman" w:cs="Times New Roman"/>
        </w:rPr>
        <w:t> (pp. 41–50). ELRA and ICCL.</w:t>
      </w:r>
    </w:p>
    <w:p w14:paraId="4DB4191E" w14:textId="77777777" w:rsidR="00412508" w:rsidRDefault="00412508" w:rsidP="00ED7641">
      <w:pPr>
        <w:spacing w:after="0" w:line="360" w:lineRule="auto"/>
        <w:ind w:left="284" w:hanging="284"/>
        <w:rPr>
          <w:rFonts w:ascii="Times New Roman" w:hAnsi="Times New Roman" w:cs="Times New Roman"/>
        </w:rPr>
      </w:pPr>
      <w:r w:rsidRPr="00ED7641">
        <w:rPr>
          <w:rFonts w:ascii="Times New Roman" w:hAnsi="Times New Roman" w:cs="Times New Roman"/>
        </w:rPr>
        <w:t>de Schryver, G.-M. (2023). Generative AI and lexicography: The current state of the art using ChatGPT. </w:t>
      </w:r>
      <w:r w:rsidRPr="00ED7641">
        <w:rPr>
          <w:rFonts w:ascii="Times New Roman" w:hAnsi="Times New Roman" w:cs="Times New Roman"/>
          <w:i/>
          <w:iCs/>
        </w:rPr>
        <w:t>International Journal of Lexicography, 36</w:t>
      </w:r>
      <w:r w:rsidRPr="00ED7641">
        <w:rPr>
          <w:rFonts w:ascii="Times New Roman" w:hAnsi="Times New Roman" w:cs="Times New Roman"/>
        </w:rPr>
        <w:t>(4), 355–387. </w:t>
      </w:r>
      <w:hyperlink r:id="rId5" w:tgtFrame="_new" w:history="1">
        <w:r w:rsidRPr="00ED7641">
          <w:rPr>
            <w:rStyle w:val="Hyperlink"/>
            <w:rFonts w:ascii="Times New Roman" w:hAnsi="Times New Roman" w:cs="Times New Roman"/>
          </w:rPr>
          <w:t>https://doi.org/10.1093/ijl/ecad021</w:t>
        </w:r>
      </w:hyperlink>
    </w:p>
    <w:p w14:paraId="1134625A" w14:textId="77777777" w:rsidR="00412508" w:rsidRDefault="00412508" w:rsidP="009240CA">
      <w:pPr>
        <w:spacing w:after="0" w:line="360" w:lineRule="auto"/>
        <w:ind w:left="284" w:hanging="284"/>
        <w:rPr>
          <w:rFonts w:ascii="Times New Roman" w:hAnsi="Times New Roman" w:cs="Times New Roman"/>
        </w:rPr>
      </w:pPr>
      <w:r w:rsidRPr="009240CA">
        <w:rPr>
          <w:rFonts w:ascii="Times New Roman" w:hAnsi="Times New Roman" w:cs="Times New Roman"/>
        </w:rPr>
        <w:t xml:space="preserve">Endresen, A., Zhukova, V., </w:t>
      </w:r>
      <w:proofErr w:type="spellStart"/>
      <w:r w:rsidRPr="009240CA">
        <w:rPr>
          <w:rFonts w:ascii="Times New Roman" w:hAnsi="Times New Roman" w:cs="Times New Roman"/>
        </w:rPr>
        <w:t>Bjørgve</w:t>
      </w:r>
      <w:proofErr w:type="spellEnd"/>
      <w:r w:rsidRPr="009240CA">
        <w:rPr>
          <w:rFonts w:ascii="Times New Roman" w:hAnsi="Times New Roman" w:cs="Times New Roman"/>
        </w:rPr>
        <w:t xml:space="preserve">, E., Demidova, D., </w:t>
      </w:r>
      <w:proofErr w:type="spellStart"/>
      <w:r w:rsidRPr="009240CA">
        <w:rPr>
          <w:rFonts w:ascii="Times New Roman" w:hAnsi="Times New Roman" w:cs="Times New Roman"/>
        </w:rPr>
        <w:t>Kalanova</w:t>
      </w:r>
      <w:proofErr w:type="spellEnd"/>
      <w:r w:rsidRPr="009240CA">
        <w:rPr>
          <w:rFonts w:ascii="Times New Roman" w:hAnsi="Times New Roman" w:cs="Times New Roman"/>
        </w:rPr>
        <w:t xml:space="preserve">, N., Butenko, Z., </w:t>
      </w:r>
      <w:proofErr w:type="spellStart"/>
      <w:r w:rsidRPr="009240CA">
        <w:rPr>
          <w:rFonts w:ascii="Times New Roman" w:hAnsi="Times New Roman" w:cs="Times New Roman"/>
        </w:rPr>
        <w:t>Lonshakov</w:t>
      </w:r>
      <w:proofErr w:type="spellEnd"/>
      <w:r w:rsidRPr="009240CA">
        <w:rPr>
          <w:rFonts w:ascii="Times New Roman" w:hAnsi="Times New Roman" w:cs="Times New Roman"/>
        </w:rPr>
        <w:t xml:space="preserve">, G., &amp; </w:t>
      </w:r>
      <w:proofErr w:type="spellStart"/>
      <w:r w:rsidRPr="009240CA">
        <w:rPr>
          <w:rFonts w:ascii="Times New Roman" w:hAnsi="Times New Roman" w:cs="Times New Roman"/>
        </w:rPr>
        <w:t>Lavén</w:t>
      </w:r>
      <w:proofErr w:type="spellEnd"/>
      <w:r w:rsidRPr="009240CA">
        <w:rPr>
          <w:rFonts w:ascii="Times New Roman" w:hAnsi="Times New Roman" w:cs="Times New Roman"/>
        </w:rPr>
        <w:t xml:space="preserve">, D. H. (2022). </w:t>
      </w:r>
      <w:proofErr w:type="spellStart"/>
      <w:r w:rsidRPr="009240CA">
        <w:rPr>
          <w:rFonts w:ascii="Times New Roman" w:hAnsi="Times New Roman" w:cs="Times New Roman"/>
        </w:rPr>
        <w:t>Construxercise</w:t>
      </w:r>
      <w:proofErr w:type="spellEnd"/>
      <w:r w:rsidRPr="009240CA">
        <w:rPr>
          <w:rFonts w:ascii="Times New Roman" w:hAnsi="Times New Roman" w:cs="Times New Roman"/>
        </w:rPr>
        <w:t>! Implementation of a construction-based approach to language pedagogy. </w:t>
      </w:r>
      <w:r w:rsidRPr="009240CA">
        <w:rPr>
          <w:rFonts w:ascii="Times New Roman" w:hAnsi="Times New Roman" w:cs="Times New Roman"/>
          <w:i/>
          <w:iCs/>
        </w:rPr>
        <w:t xml:space="preserve">Russian Language Journal / </w:t>
      </w:r>
      <w:proofErr w:type="spellStart"/>
      <w:r w:rsidRPr="009240CA">
        <w:rPr>
          <w:rFonts w:ascii="Times New Roman" w:hAnsi="Times New Roman" w:cs="Times New Roman"/>
          <w:i/>
          <w:iCs/>
        </w:rPr>
        <w:t>Русский</w:t>
      </w:r>
      <w:proofErr w:type="spellEnd"/>
      <w:r w:rsidRPr="009240CA">
        <w:rPr>
          <w:rFonts w:ascii="Times New Roman" w:hAnsi="Times New Roman" w:cs="Times New Roman"/>
          <w:i/>
          <w:iCs/>
        </w:rPr>
        <w:t xml:space="preserve"> </w:t>
      </w:r>
      <w:proofErr w:type="spellStart"/>
      <w:r w:rsidRPr="009240CA">
        <w:rPr>
          <w:rFonts w:ascii="Times New Roman" w:hAnsi="Times New Roman" w:cs="Times New Roman"/>
          <w:i/>
          <w:iCs/>
        </w:rPr>
        <w:t>Язык</w:t>
      </w:r>
      <w:proofErr w:type="spellEnd"/>
      <w:r w:rsidRPr="009240CA">
        <w:rPr>
          <w:rFonts w:ascii="Times New Roman" w:hAnsi="Times New Roman" w:cs="Times New Roman"/>
          <w:i/>
          <w:iCs/>
        </w:rPr>
        <w:t>, 72</w:t>
      </w:r>
      <w:r w:rsidRPr="009240CA">
        <w:rPr>
          <w:rFonts w:ascii="Times New Roman" w:hAnsi="Times New Roman" w:cs="Times New Roman"/>
        </w:rPr>
        <w:t>(1/2), 47–70. </w:t>
      </w:r>
      <w:hyperlink r:id="rId6" w:tgtFrame="_new" w:history="1">
        <w:r w:rsidRPr="009240CA">
          <w:rPr>
            <w:rStyle w:val="Hyperlink"/>
            <w:rFonts w:ascii="Times New Roman" w:hAnsi="Times New Roman" w:cs="Times New Roman"/>
          </w:rPr>
          <w:t>https://www.jstor.org/stable/27213136</w:t>
        </w:r>
      </w:hyperlink>
    </w:p>
    <w:p w14:paraId="21ADD0FE" w14:textId="77777777" w:rsidR="00412508" w:rsidRPr="009240CA" w:rsidRDefault="00412508" w:rsidP="0039157D">
      <w:pPr>
        <w:spacing w:after="0" w:line="360" w:lineRule="auto"/>
        <w:ind w:left="284" w:hanging="284"/>
        <w:rPr>
          <w:rFonts w:ascii="Times New Roman" w:hAnsi="Times New Roman" w:cs="Times New Roman"/>
          <w:lang w:val="de-DE"/>
        </w:rPr>
      </w:pPr>
      <w:r w:rsidRPr="009240CA">
        <w:rPr>
          <w:rFonts w:ascii="Times New Roman" w:hAnsi="Times New Roman" w:cs="Times New Roman"/>
        </w:rPr>
        <w:t>Gemmell Hudson, M. (2022). Teaching second year German using frames and constructions. In H. C. Boas (Ed.), </w:t>
      </w:r>
      <w:r w:rsidRPr="009240CA">
        <w:rPr>
          <w:rFonts w:ascii="Times New Roman" w:hAnsi="Times New Roman" w:cs="Times New Roman"/>
          <w:i/>
          <w:iCs/>
        </w:rPr>
        <w:t>Directions for pedagogical construction grammar: Learning and teaching (with) constructions</w:t>
      </w:r>
      <w:r w:rsidRPr="009240CA">
        <w:rPr>
          <w:rFonts w:ascii="Times New Roman" w:hAnsi="Times New Roman" w:cs="Times New Roman"/>
        </w:rPr>
        <w:t xml:space="preserve"> (pp. 265–304). </w:t>
      </w:r>
      <w:r w:rsidRPr="009240CA">
        <w:rPr>
          <w:rFonts w:ascii="Times New Roman" w:hAnsi="Times New Roman" w:cs="Times New Roman"/>
          <w:lang w:val="de-DE"/>
        </w:rPr>
        <w:t>De Gruyter</w:t>
      </w:r>
      <w:r w:rsidRPr="009240CA">
        <w:rPr>
          <w:rFonts w:ascii="Times New Roman" w:hAnsi="Times New Roman" w:cs="Times New Roman"/>
          <w:lang w:val="de-DE"/>
        </w:rPr>
        <w:t>.</w:t>
      </w:r>
    </w:p>
    <w:p w14:paraId="24375FE4" w14:textId="77777777" w:rsidR="00412508" w:rsidRDefault="00412508" w:rsidP="0039157D">
      <w:pPr>
        <w:spacing w:after="0" w:line="360" w:lineRule="auto"/>
        <w:ind w:left="284" w:hanging="284"/>
        <w:rPr>
          <w:rFonts w:ascii="Times New Roman" w:hAnsi="Times New Roman" w:cs="Times New Roman"/>
        </w:rPr>
      </w:pPr>
      <w:r w:rsidRPr="00397ECD">
        <w:rPr>
          <w:rFonts w:ascii="Times New Roman" w:hAnsi="Times New Roman" w:cs="Times New Roman"/>
        </w:rPr>
        <w:t>Goldberg, A. E. (2024). Usage-based constructionist approaches and large language models. </w:t>
      </w:r>
      <w:r w:rsidRPr="00397ECD">
        <w:rPr>
          <w:rFonts w:ascii="Times New Roman" w:hAnsi="Times New Roman" w:cs="Times New Roman"/>
          <w:i/>
          <w:iCs/>
        </w:rPr>
        <w:t>Constructions and Frames, 16</w:t>
      </w:r>
      <w:r w:rsidRPr="00397ECD">
        <w:rPr>
          <w:rFonts w:ascii="Times New Roman" w:hAnsi="Times New Roman" w:cs="Times New Roman"/>
        </w:rPr>
        <w:t>(2), 220–254. </w:t>
      </w:r>
      <w:hyperlink r:id="rId7" w:tgtFrame="_new" w:history="1">
        <w:r w:rsidRPr="00397ECD">
          <w:rPr>
            <w:rStyle w:val="Hyperlink"/>
            <w:rFonts w:ascii="Times New Roman" w:hAnsi="Times New Roman" w:cs="Times New Roman"/>
          </w:rPr>
          <w:t>https://doi.org/10.1075/cf.23017.gol</w:t>
        </w:r>
      </w:hyperlink>
    </w:p>
    <w:p w14:paraId="7B666978" w14:textId="77777777" w:rsidR="00412508" w:rsidRPr="001341BB" w:rsidRDefault="00412508" w:rsidP="001341BB">
      <w:pPr>
        <w:spacing w:after="0" w:line="360" w:lineRule="auto"/>
        <w:ind w:left="284" w:hanging="284"/>
        <w:rPr>
          <w:rFonts w:ascii="Times New Roman" w:hAnsi="Times New Roman" w:cs="Times New Roman"/>
        </w:rPr>
      </w:pPr>
      <w:r w:rsidRPr="00D42B41">
        <w:rPr>
          <w:rFonts w:ascii="Times New Roman" w:hAnsi="Times New Roman" w:cs="Times New Roman"/>
          <w:lang w:val="de-DE"/>
        </w:rPr>
        <w:t xml:space="preserve">Herbst, T. (2016). </w:t>
      </w:r>
      <w:r w:rsidRPr="001341BB">
        <w:rPr>
          <w:rFonts w:ascii="Times New Roman" w:hAnsi="Times New Roman" w:cs="Times New Roman"/>
        </w:rPr>
        <w:t xml:space="preserve">Foreign language learning is construction learning – what Else? Moving towards Pedagogical Construction Grammar. In S. De Knop &amp; G. </w:t>
      </w:r>
      <w:proofErr w:type="spellStart"/>
      <w:r w:rsidRPr="001341BB">
        <w:rPr>
          <w:rFonts w:ascii="Times New Roman" w:hAnsi="Times New Roman" w:cs="Times New Roman"/>
        </w:rPr>
        <w:t>Gilquin</w:t>
      </w:r>
      <w:proofErr w:type="spellEnd"/>
      <w:r w:rsidRPr="001341BB">
        <w:rPr>
          <w:rFonts w:ascii="Times New Roman" w:hAnsi="Times New Roman" w:cs="Times New Roman"/>
        </w:rPr>
        <w:t xml:space="preserve"> (Ed.), </w:t>
      </w:r>
      <w:r w:rsidRPr="001341BB">
        <w:rPr>
          <w:rFonts w:ascii="Times New Roman" w:hAnsi="Times New Roman" w:cs="Times New Roman"/>
          <w:i/>
          <w:iCs/>
        </w:rPr>
        <w:t>Applied Construction Grammar</w:t>
      </w:r>
      <w:r w:rsidRPr="001341BB">
        <w:rPr>
          <w:rFonts w:ascii="Times New Roman" w:hAnsi="Times New Roman" w:cs="Times New Roman"/>
        </w:rPr>
        <w:t> (pp. 21-52). Berlin, Boston: De Gruyter Mouton. </w:t>
      </w:r>
      <w:hyperlink r:id="rId8" w:history="1">
        <w:r w:rsidRPr="001341BB">
          <w:rPr>
            <w:rStyle w:val="Hyperlink"/>
            <w:rFonts w:ascii="Times New Roman" w:hAnsi="Times New Roman" w:cs="Times New Roman"/>
          </w:rPr>
          <w:t>https://doi.org/10.1515/9783110458268-003</w:t>
        </w:r>
      </w:hyperlink>
    </w:p>
    <w:p w14:paraId="22E910EA" w14:textId="77777777" w:rsidR="00412508" w:rsidRDefault="00412508" w:rsidP="00ED7641">
      <w:pPr>
        <w:spacing w:after="0" w:line="360" w:lineRule="auto"/>
        <w:ind w:left="284" w:hanging="284"/>
        <w:rPr>
          <w:rFonts w:ascii="Times New Roman" w:hAnsi="Times New Roman" w:cs="Times New Roman"/>
        </w:rPr>
      </w:pPr>
      <w:r w:rsidRPr="00ED7641">
        <w:rPr>
          <w:rFonts w:ascii="Times New Roman" w:hAnsi="Times New Roman" w:cs="Times New Roman"/>
        </w:rPr>
        <w:t>Lew, R. (2023). ChatGPT as a COBUILD lexicographer. </w:t>
      </w:r>
      <w:r w:rsidRPr="00ED7641">
        <w:rPr>
          <w:rFonts w:ascii="Times New Roman" w:hAnsi="Times New Roman" w:cs="Times New Roman"/>
          <w:i/>
          <w:iCs/>
        </w:rPr>
        <w:t>Humanities and Social Sciences Communications, 10</w:t>
      </w:r>
      <w:r w:rsidRPr="00ED7641">
        <w:rPr>
          <w:rFonts w:ascii="Times New Roman" w:hAnsi="Times New Roman" w:cs="Times New Roman"/>
        </w:rPr>
        <w:t>, Article 704. </w:t>
      </w:r>
      <w:hyperlink r:id="rId9" w:tgtFrame="_new" w:history="1">
        <w:r w:rsidRPr="00ED7641">
          <w:rPr>
            <w:rStyle w:val="Hyperlink"/>
            <w:rFonts w:ascii="Times New Roman" w:hAnsi="Times New Roman" w:cs="Times New Roman"/>
          </w:rPr>
          <w:t>https://doi.org/10.1057/s41599-023-02119-6</w:t>
        </w:r>
      </w:hyperlink>
    </w:p>
    <w:p w14:paraId="623A9F45" w14:textId="77777777" w:rsidR="00412508" w:rsidRDefault="00412508" w:rsidP="009240CA">
      <w:pPr>
        <w:spacing w:after="0" w:line="360" w:lineRule="auto"/>
        <w:ind w:left="284" w:hanging="284"/>
        <w:rPr>
          <w:rFonts w:ascii="Times New Roman" w:hAnsi="Times New Roman" w:cs="Times New Roman"/>
        </w:rPr>
      </w:pPr>
      <w:r w:rsidRPr="00412508">
        <w:rPr>
          <w:rFonts w:ascii="Times New Roman" w:hAnsi="Times New Roman" w:cs="Times New Roman"/>
        </w:rPr>
        <w:lastRenderedPageBreak/>
        <w:t>Little, D. (2022). Language learner autonomy: Rethinking language teaching. </w:t>
      </w:r>
      <w:r w:rsidRPr="00412508">
        <w:rPr>
          <w:rFonts w:ascii="Times New Roman" w:hAnsi="Times New Roman" w:cs="Times New Roman"/>
          <w:i/>
          <w:iCs/>
        </w:rPr>
        <w:t>Language Teaching</w:t>
      </w:r>
      <w:r w:rsidRPr="00412508">
        <w:rPr>
          <w:rFonts w:ascii="Times New Roman" w:hAnsi="Times New Roman" w:cs="Times New Roman"/>
        </w:rPr>
        <w:t>, </w:t>
      </w:r>
      <w:r w:rsidRPr="00412508">
        <w:rPr>
          <w:rFonts w:ascii="Times New Roman" w:hAnsi="Times New Roman" w:cs="Times New Roman"/>
          <w:i/>
          <w:iCs/>
        </w:rPr>
        <w:t>55</w:t>
      </w:r>
      <w:r w:rsidRPr="00412508">
        <w:rPr>
          <w:rFonts w:ascii="Times New Roman" w:hAnsi="Times New Roman" w:cs="Times New Roman"/>
        </w:rPr>
        <w:t xml:space="preserve">(1), 64–73. </w:t>
      </w:r>
      <w:hyperlink r:id="rId10" w:history="1">
        <w:r w:rsidRPr="00F44847">
          <w:rPr>
            <w:rStyle w:val="Hyperlink"/>
            <w:rFonts w:ascii="Times New Roman" w:hAnsi="Times New Roman" w:cs="Times New Roman"/>
          </w:rPr>
          <w:t>https://</w:t>
        </w:r>
        <w:r w:rsidRPr="00F44847">
          <w:rPr>
            <w:rStyle w:val="Hyperlink"/>
            <w:rFonts w:ascii="Times New Roman" w:hAnsi="Times New Roman" w:cs="Times New Roman"/>
          </w:rPr>
          <w:t>doi</w:t>
        </w:r>
        <w:r w:rsidRPr="00F44847">
          <w:rPr>
            <w:rStyle w:val="Hyperlink"/>
            <w:rFonts w:ascii="Times New Roman" w:hAnsi="Times New Roman" w:cs="Times New Roman"/>
          </w:rPr>
          <w:t>.org/</w:t>
        </w:r>
        <w:r w:rsidRPr="00F44847">
          <w:rPr>
            <w:rStyle w:val="Hyperlink"/>
            <w:rFonts w:ascii="Times New Roman" w:hAnsi="Times New Roman" w:cs="Times New Roman"/>
          </w:rPr>
          <w:t>10.1017/S0261444820000488</w:t>
        </w:r>
      </w:hyperlink>
    </w:p>
    <w:p w14:paraId="7DFD1818" w14:textId="77777777" w:rsidR="00412508" w:rsidRDefault="00412508" w:rsidP="009240CA">
      <w:pPr>
        <w:spacing w:after="0" w:line="360" w:lineRule="auto"/>
        <w:ind w:left="284" w:hanging="284"/>
        <w:rPr>
          <w:rFonts w:ascii="Times New Roman" w:hAnsi="Times New Roman" w:cs="Times New Roman"/>
        </w:rPr>
      </w:pPr>
      <w:r w:rsidRPr="009240CA">
        <w:rPr>
          <w:rFonts w:ascii="Times New Roman" w:hAnsi="Times New Roman" w:cs="Times New Roman"/>
          <w:lang w:val="de-DE"/>
        </w:rPr>
        <w:t xml:space="preserve">Lorenz, A., Crane, C., Benjamin, J., &amp; Boas, H. (2020). </w:t>
      </w:r>
      <w:r w:rsidRPr="009240CA">
        <w:rPr>
          <w:rFonts w:ascii="Times New Roman" w:hAnsi="Times New Roman" w:cs="Times New Roman"/>
        </w:rPr>
        <w:t>L2 German learners’ perceptions and use of an online semantic frame-based dictionary. </w:t>
      </w:r>
      <w:r w:rsidRPr="009240CA">
        <w:rPr>
          <w:rFonts w:ascii="Times New Roman" w:hAnsi="Times New Roman" w:cs="Times New Roman"/>
          <w:i/>
          <w:iCs/>
        </w:rPr>
        <w:t xml:space="preserve">Die </w:t>
      </w:r>
      <w:proofErr w:type="spellStart"/>
      <w:r w:rsidRPr="009240CA">
        <w:rPr>
          <w:rFonts w:ascii="Times New Roman" w:hAnsi="Times New Roman" w:cs="Times New Roman"/>
          <w:i/>
          <w:iCs/>
        </w:rPr>
        <w:t>Unterrichtspraxis</w:t>
      </w:r>
      <w:proofErr w:type="spellEnd"/>
      <w:r w:rsidRPr="009240CA">
        <w:rPr>
          <w:rFonts w:ascii="Times New Roman" w:hAnsi="Times New Roman" w:cs="Times New Roman"/>
          <w:i/>
          <w:iCs/>
        </w:rPr>
        <w:t>/Teaching German, 53</w:t>
      </w:r>
      <w:r w:rsidRPr="009240CA">
        <w:rPr>
          <w:rFonts w:ascii="Times New Roman" w:hAnsi="Times New Roman" w:cs="Times New Roman"/>
        </w:rPr>
        <w:t>(2), 191–209. </w:t>
      </w:r>
      <w:hyperlink r:id="rId11" w:tgtFrame="_new" w:history="1">
        <w:r w:rsidRPr="009240CA">
          <w:rPr>
            <w:rStyle w:val="Hyperlink"/>
            <w:rFonts w:ascii="Times New Roman" w:hAnsi="Times New Roman" w:cs="Times New Roman"/>
          </w:rPr>
          <w:t>https://doi.org/10.1111/tger.12136</w:t>
        </w:r>
      </w:hyperlink>
    </w:p>
    <w:p w14:paraId="71923E7C" w14:textId="77777777" w:rsidR="00412508" w:rsidRDefault="00412508" w:rsidP="009240CA">
      <w:pPr>
        <w:spacing w:after="0" w:line="360" w:lineRule="auto"/>
        <w:ind w:left="284" w:hanging="284"/>
        <w:rPr>
          <w:rFonts w:ascii="Times New Roman" w:hAnsi="Times New Roman" w:cs="Times New Roman"/>
        </w:rPr>
      </w:pPr>
      <w:r w:rsidRPr="00412508">
        <w:rPr>
          <w:rFonts w:ascii="Times New Roman" w:hAnsi="Times New Roman" w:cs="Times New Roman"/>
        </w:rPr>
        <w:t>Ludwig, C., &amp; Tassinari, M. G. (2021). Foreign language learner autonomy in online learning environments: The teachers’ perspectives. </w:t>
      </w:r>
      <w:r w:rsidRPr="00412508">
        <w:rPr>
          <w:rFonts w:ascii="Times New Roman" w:hAnsi="Times New Roman" w:cs="Times New Roman"/>
          <w:i/>
          <w:iCs/>
        </w:rPr>
        <w:t>Innovation in Language Learning and Teaching, 17</w:t>
      </w:r>
      <w:r w:rsidRPr="00412508">
        <w:rPr>
          <w:rFonts w:ascii="Times New Roman" w:hAnsi="Times New Roman" w:cs="Times New Roman"/>
        </w:rPr>
        <w:t>(2), 217–234. </w:t>
      </w:r>
      <w:hyperlink r:id="rId12" w:tgtFrame="_new" w:history="1">
        <w:r w:rsidRPr="00412508">
          <w:rPr>
            <w:rStyle w:val="Hyperlink"/>
            <w:rFonts w:ascii="Times New Roman" w:hAnsi="Times New Roman" w:cs="Times New Roman"/>
          </w:rPr>
          <w:t>https://doi.org/10.1080/17501229.2021.2012476</w:t>
        </w:r>
      </w:hyperlink>
    </w:p>
    <w:p w14:paraId="12741F4C" w14:textId="77777777" w:rsidR="00412508" w:rsidRDefault="00412508" w:rsidP="001341BB">
      <w:pPr>
        <w:spacing w:after="0" w:line="360" w:lineRule="auto"/>
        <w:ind w:left="284" w:hanging="284"/>
      </w:pPr>
      <w:r w:rsidRPr="001341BB">
        <w:rPr>
          <w:rFonts w:ascii="Times New Roman" w:hAnsi="Times New Roman" w:cs="Times New Roman"/>
        </w:rPr>
        <w:t xml:space="preserve">Patten, A. &amp; Perek, F. (2022). Pedagogic applications of the English </w:t>
      </w:r>
      <w:proofErr w:type="spellStart"/>
      <w:r w:rsidRPr="001341BB">
        <w:rPr>
          <w:rFonts w:ascii="Times New Roman" w:hAnsi="Times New Roman" w:cs="Times New Roman"/>
        </w:rPr>
        <w:t>Constructicon</w:t>
      </w:r>
      <w:proofErr w:type="spellEnd"/>
      <w:r w:rsidRPr="001341BB">
        <w:rPr>
          <w:rFonts w:ascii="Times New Roman" w:hAnsi="Times New Roman" w:cs="Times New Roman"/>
        </w:rPr>
        <w:t>. In H. Boas (Ed.), </w:t>
      </w:r>
      <w:r w:rsidRPr="001341BB">
        <w:rPr>
          <w:rFonts w:ascii="Times New Roman" w:hAnsi="Times New Roman" w:cs="Times New Roman"/>
          <w:i/>
          <w:iCs/>
        </w:rPr>
        <w:t>Directions for Pedagogical Construction Grammar: Learning and Teaching (with) Constructions</w:t>
      </w:r>
      <w:r w:rsidRPr="001341BB">
        <w:rPr>
          <w:rFonts w:ascii="Times New Roman" w:hAnsi="Times New Roman" w:cs="Times New Roman"/>
        </w:rPr>
        <w:t> (pp. 179-216). Berlin, Boston: De Gruyter Mouton. </w:t>
      </w:r>
      <w:hyperlink r:id="rId13" w:history="1">
        <w:r w:rsidRPr="001341BB">
          <w:rPr>
            <w:rStyle w:val="Hyperlink"/>
            <w:rFonts w:ascii="Times New Roman" w:hAnsi="Times New Roman" w:cs="Times New Roman"/>
          </w:rPr>
          <w:t>https://doi.org/10.1515/9783110746723-007</w:t>
        </w:r>
      </w:hyperlink>
    </w:p>
    <w:p w14:paraId="0BE17104" w14:textId="77777777" w:rsidR="00412508" w:rsidRDefault="00412508" w:rsidP="0039157D">
      <w:pPr>
        <w:spacing w:after="0" w:line="360" w:lineRule="auto"/>
        <w:ind w:left="284" w:hanging="284"/>
        <w:rPr>
          <w:rFonts w:ascii="Times New Roman" w:hAnsi="Times New Roman" w:cs="Times New Roman"/>
        </w:rPr>
      </w:pPr>
      <w:r w:rsidRPr="009240CA">
        <w:rPr>
          <w:rFonts w:ascii="Times New Roman" w:hAnsi="Times New Roman" w:cs="Times New Roman"/>
        </w:rPr>
        <w:t xml:space="preserve">Prentice, J., Håkansson, C., Lindström Tiedemann, T., Pilán, I., &amp; Volodina, E. (2021). Language learning and teaching with Swedish </w:t>
      </w:r>
      <w:proofErr w:type="spellStart"/>
      <w:r w:rsidRPr="009240CA">
        <w:rPr>
          <w:rFonts w:ascii="Times New Roman" w:hAnsi="Times New Roman" w:cs="Times New Roman"/>
        </w:rPr>
        <w:t>FrameNet</w:t>
      </w:r>
      <w:proofErr w:type="spellEnd"/>
      <w:r w:rsidRPr="009240CA">
        <w:rPr>
          <w:rFonts w:ascii="Times New Roman" w:hAnsi="Times New Roman" w:cs="Times New Roman"/>
        </w:rPr>
        <w:t xml:space="preserve">++: Two examples. In D. </w:t>
      </w:r>
      <w:proofErr w:type="spellStart"/>
      <w:r w:rsidRPr="009240CA">
        <w:rPr>
          <w:rFonts w:ascii="Times New Roman" w:hAnsi="Times New Roman" w:cs="Times New Roman"/>
        </w:rPr>
        <w:t>Dannélls</w:t>
      </w:r>
      <w:proofErr w:type="spellEnd"/>
      <w:r w:rsidRPr="009240CA">
        <w:rPr>
          <w:rFonts w:ascii="Times New Roman" w:hAnsi="Times New Roman" w:cs="Times New Roman"/>
        </w:rPr>
        <w:t xml:space="preserve">, L. Borin, &amp; K. F. </w:t>
      </w:r>
      <w:proofErr w:type="spellStart"/>
      <w:r w:rsidRPr="009240CA">
        <w:rPr>
          <w:rFonts w:ascii="Times New Roman" w:hAnsi="Times New Roman" w:cs="Times New Roman"/>
        </w:rPr>
        <w:t>Heppin</w:t>
      </w:r>
      <w:proofErr w:type="spellEnd"/>
      <w:r w:rsidRPr="009240CA">
        <w:rPr>
          <w:rFonts w:ascii="Times New Roman" w:hAnsi="Times New Roman" w:cs="Times New Roman"/>
        </w:rPr>
        <w:t xml:space="preserve"> (Eds.), </w:t>
      </w:r>
      <w:r w:rsidRPr="009240CA">
        <w:rPr>
          <w:rFonts w:ascii="Times New Roman" w:hAnsi="Times New Roman" w:cs="Times New Roman"/>
          <w:i/>
          <w:iCs/>
        </w:rPr>
        <w:t xml:space="preserve">The Swedish </w:t>
      </w:r>
      <w:proofErr w:type="spellStart"/>
      <w:r w:rsidRPr="009240CA">
        <w:rPr>
          <w:rFonts w:ascii="Times New Roman" w:hAnsi="Times New Roman" w:cs="Times New Roman"/>
          <w:i/>
          <w:iCs/>
        </w:rPr>
        <w:t>FrameNet</w:t>
      </w:r>
      <w:proofErr w:type="spellEnd"/>
      <w:r w:rsidRPr="009240CA">
        <w:rPr>
          <w:rFonts w:ascii="Times New Roman" w:hAnsi="Times New Roman" w:cs="Times New Roman"/>
          <w:i/>
          <w:iCs/>
        </w:rPr>
        <w:t>++: Harmonization, integration, method development and practical language technology applications</w:t>
      </w:r>
      <w:r w:rsidRPr="009240CA">
        <w:rPr>
          <w:rFonts w:ascii="Times New Roman" w:hAnsi="Times New Roman" w:cs="Times New Roman"/>
        </w:rPr>
        <w:t> (pp. 303–330). John Benjamins Publishing Company. </w:t>
      </w:r>
      <w:hyperlink r:id="rId14" w:tgtFrame="_new" w:history="1">
        <w:r w:rsidRPr="009240CA">
          <w:rPr>
            <w:rStyle w:val="Hyperlink"/>
            <w:rFonts w:ascii="Times New Roman" w:hAnsi="Times New Roman" w:cs="Times New Roman"/>
          </w:rPr>
          <w:t>https://doi.org/10.1075/nlp.14.12pre</w:t>
        </w:r>
      </w:hyperlink>
    </w:p>
    <w:p w14:paraId="62B96817" w14:textId="77777777" w:rsidR="00412508" w:rsidRDefault="00412508" w:rsidP="001341BB">
      <w:pPr>
        <w:spacing w:after="0" w:line="360" w:lineRule="auto"/>
        <w:ind w:left="284" w:hanging="284"/>
        <w:rPr>
          <w:rFonts w:ascii="Times New Roman" w:hAnsi="Times New Roman" w:cs="Times New Roman"/>
        </w:rPr>
      </w:pPr>
      <w:r w:rsidRPr="00ED7641">
        <w:rPr>
          <w:rFonts w:ascii="Times New Roman" w:hAnsi="Times New Roman" w:cs="Times New Roman"/>
        </w:rPr>
        <w:t>Rees, G. P., &amp; Lew, R. (2024). The effectiveness of OpenAI GPT-generated definitions versus definitions from an English learners’ dictionary in a lexically orientated reading task. </w:t>
      </w:r>
      <w:r w:rsidRPr="00ED7641">
        <w:rPr>
          <w:rFonts w:ascii="Times New Roman" w:hAnsi="Times New Roman" w:cs="Times New Roman"/>
          <w:i/>
          <w:iCs/>
        </w:rPr>
        <w:t>International Journal of Lexicography, 37</w:t>
      </w:r>
      <w:r w:rsidRPr="00ED7641">
        <w:rPr>
          <w:rFonts w:ascii="Times New Roman" w:hAnsi="Times New Roman" w:cs="Times New Roman"/>
        </w:rPr>
        <w:t>(1), 50–74. </w:t>
      </w:r>
      <w:hyperlink r:id="rId15" w:tgtFrame="_new" w:history="1">
        <w:r w:rsidRPr="00ED7641">
          <w:rPr>
            <w:rStyle w:val="Hyperlink"/>
            <w:rFonts w:ascii="Times New Roman" w:hAnsi="Times New Roman" w:cs="Times New Roman"/>
          </w:rPr>
          <w:t>https://doi.org/10.1093/ijl/ecad030</w:t>
        </w:r>
      </w:hyperlink>
    </w:p>
    <w:p w14:paraId="7DDB18B0" w14:textId="77777777" w:rsidR="00412508" w:rsidRPr="00412508" w:rsidRDefault="00412508" w:rsidP="00397ECD">
      <w:pPr>
        <w:spacing w:after="0" w:line="360" w:lineRule="auto"/>
        <w:ind w:left="284" w:hanging="284"/>
        <w:rPr>
          <w:rFonts w:ascii="Times New Roman" w:hAnsi="Times New Roman" w:cs="Times New Roman"/>
          <w:lang w:val="de-DE"/>
        </w:rPr>
      </w:pPr>
      <w:r w:rsidRPr="00397ECD">
        <w:rPr>
          <w:rFonts w:ascii="Times New Roman" w:hAnsi="Times New Roman" w:cs="Times New Roman"/>
          <w:lang w:val="de-DE"/>
        </w:rPr>
        <w:t>Torrent, T. T., Hoffmann, T., Almeida, A. L., &amp; Turner, M. (2024). </w:t>
      </w:r>
      <w:r w:rsidRPr="00397ECD">
        <w:rPr>
          <w:rFonts w:ascii="Times New Roman" w:hAnsi="Times New Roman" w:cs="Times New Roman"/>
          <w:i/>
          <w:iCs/>
        </w:rPr>
        <w:t>Copilots for linguists: AI, constructions, and frames</w:t>
      </w:r>
      <w:r w:rsidRPr="00397ECD">
        <w:rPr>
          <w:rFonts w:ascii="Times New Roman" w:hAnsi="Times New Roman" w:cs="Times New Roman"/>
        </w:rPr>
        <w:t xml:space="preserve">. </w:t>
      </w:r>
      <w:r w:rsidRPr="00412508">
        <w:rPr>
          <w:rFonts w:ascii="Times New Roman" w:hAnsi="Times New Roman" w:cs="Times New Roman"/>
          <w:lang w:val="de-DE"/>
        </w:rPr>
        <w:t>Cambridge University Press.</w:t>
      </w:r>
    </w:p>
    <w:p w14:paraId="5CE647F3" w14:textId="2577AA66" w:rsidR="00412508" w:rsidRDefault="00412508" w:rsidP="00412508">
      <w:pPr>
        <w:spacing w:after="0" w:line="360" w:lineRule="auto"/>
        <w:ind w:left="284" w:hanging="284"/>
        <w:rPr>
          <w:rFonts w:ascii="Times New Roman" w:hAnsi="Times New Roman" w:cs="Times New Roman"/>
        </w:rPr>
      </w:pPr>
      <w:proofErr w:type="spellStart"/>
      <w:r w:rsidRPr="0039157D">
        <w:rPr>
          <w:rFonts w:ascii="Times New Roman" w:hAnsi="Times New Roman" w:cs="Times New Roman"/>
          <w:lang w:val="de-DE"/>
        </w:rPr>
        <w:t>Weissweiler</w:t>
      </w:r>
      <w:proofErr w:type="spellEnd"/>
      <w:r w:rsidRPr="0039157D">
        <w:rPr>
          <w:rFonts w:ascii="Times New Roman" w:hAnsi="Times New Roman" w:cs="Times New Roman"/>
          <w:lang w:val="de-DE"/>
        </w:rPr>
        <w:t xml:space="preserve">, L., Hofmann, V., Köksal, A., &amp; Schütze, H. (2023). </w:t>
      </w:r>
      <w:r w:rsidRPr="0039157D">
        <w:rPr>
          <w:rFonts w:ascii="Times New Roman" w:hAnsi="Times New Roman" w:cs="Times New Roman"/>
        </w:rPr>
        <w:t>Explaining pretrained language models’ understanding of linguistic structures using construction grammar. </w:t>
      </w:r>
      <w:r w:rsidRPr="0039157D">
        <w:rPr>
          <w:rFonts w:ascii="Times New Roman" w:hAnsi="Times New Roman" w:cs="Times New Roman"/>
          <w:i/>
          <w:iCs/>
        </w:rPr>
        <w:t>Frontiers in Artificial Intelligence, 6,</w:t>
      </w:r>
      <w:r w:rsidRPr="0039157D">
        <w:rPr>
          <w:rFonts w:ascii="Times New Roman" w:hAnsi="Times New Roman" w:cs="Times New Roman"/>
        </w:rPr>
        <w:t> Article 1225791. </w:t>
      </w:r>
      <w:hyperlink r:id="rId16" w:history="1">
        <w:r w:rsidRPr="00F44847">
          <w:rPr>
            <w:rStyle w:val="Hyperlink"/>
            <w:rFonts w:ascii="Times New Roman" w:hAnsi="Times New Roman" w:cs="Times New Roman"/>
          </w:rPr>
          <w:t>https://doi.org/10.3389/frai.2023.1225791</w:t>
        </w:r>
      </w:hyperlink>
    </w:p>
    <w:p w14:paraId="6E3D2DAA" w14:textId="77777777" w:rsidR="009240CA" w:rsidRDefault="009240CA" w:rsidP="0039157D">
      <w:pPr>
        <w:spacing w:after="0" w:line="360" w:lineRule="auto"/>
        <w:ind w:left="284" w:hanging="284"/>
        <w:rPr>
          <w:rFonts w:ascii="Times New Roman" w:hAnsi="Times New Roman" w:cs="Times New Roman"/>
        </w:rPr>
      </w:pPr>
    </w:p>
    <w:p w14:paraId="02C69C26" w14:textId="77777777" w:rsidR="0039157D" w:rsidRPr="00ED7641" w:rsidRDefault="0039157D" w:rsidP="0039157D">
      <w:pPr>
        <w:spacing w:after="0" w:line="360" w:lineRule="auto"/>
        <w:ind w:left="284" w:hanging="284"/>
        <w:rPr>
          <w:rFonts w:ascii="Times New Roman" w:hAnsi="Times New Roman" w:cs="Times New Roman"/>
        </w:rPr>
      </w:pPr>
    </w:p>
    <w:sectPr w:rsidR="0039157D" w:rsidRPr="00ED76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13"/>
    <w:rsid w:val="000A3D0A"/>
    <w:rsid w:val="000D6B41"/>
    <w:rsid w:val="001341BB"/>
    <w:rsid w:val="00215D11"/>
    <w:rsid w:val="002C2354"/>
    <w:rsid w:val="0031087F"/>
    <w:rsid w:val="0039157D"/>
    <w:rsid w:val="00397ECD"/>
    <w:rsid w:val="00412508"/>
    <w:rsid w:val="00525113"/>
    <w:rsid w:val="005E2D56"/>
    <w:rsid w:val="00872A40"/>
    <w:rsid w:val="009240CA"/>
    <w:rsid w:val="00BB1FE2"/>
    <w:rsid w:val="00C731D5"/>
    <w:rsid w:val="00D42B41"/>
    <w:rsid w:val="00D914D9"/>
    <w:rsid w:val="00E40B79"/>
    <w:rsid w:val="00E86831"/>
    <w:rsid w:val="00ED7641"/>
    <w:rsid w:val="00F14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FDB30A6"/>
  <w15:chartTrackingRefBased/>
  <w15:docId w15:val="{E5CA1619-8D59-7244-9FA2-08086FE9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51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51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51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51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51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51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13"/>
    <w:rPr>
      <w:rFonts w:eastAsiaTheme="majorEastAsia" w:cstheme="majorBidi"/>
      <w:color w:val="272727" w:themeColor="text1" w:themeTint="D8"/>
    </w:rPr>
  </w:style>
  <w:style w:type="paragraph" w:styleId="Title">
    <w:name w:val="Title"/>
    <w:basedOn w:val="Normal"/>
    <w:next w:val="Normal"/>
    <w:link w:val="TitleChar"/>
    <w:uiPriority w:val="10"/>
    <w:qFormat/>
    <w:rsid w:val="00525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113"/>
    <w:pPr>
      <w:spacing w:before="160"/>
      <w:jc w:val="center"/>
    </w:pPr>
    <w:rPr>
      <w:i/>
      <w:iCs/>
      <w:color w:val="404040" w:themeColor="text1" w:themeTint="BF"/>
    </w:rPr>
  </w:style>
  <w:style w:type="character" w:customStyle="1" w:styleId="QuoteChar">
    <w:name w:val="Quote Char"/>
    <w:basedOn w:val="DefaultParagraphFont"/>
    <w:link w:val="Quote"/>
    <w:uiPriority w:val="29"/>
    <w:rsid w:val="00525113"/>
    <w:rPr>
      <w:i/>
      <w:iCs/>
      <w:color w:val="404040" w:themeColor="text1" w:themeTint="BF"/>
    </w:rPr>
  </w:style>
  <w:style w:type="paragraph" w:styleId="ListParagraph">
    <w:name w:val="List Paragraph"/>
    <w:basedOn w:val="Normal"/>
    <w:uiPriority w:val="34"/>
    <w:qFormat/>
    <w:rsid w:val="00525113"/>
    <w:pPr>
      <w:ind w:left="720"/>
      <w:contextualSpacing/>
    </w:pPr>
  </w:style>
  <w:style w:type="character" w:styleId="IntenseEmphasis">
    <w:name w:val="Intense Emphasis"/>
    <w:basedOn w:val="DefaultParagraphFont"/>
    <w:uiPriority w:val="21"/>
    <w:qFormat/>
    <w:rsid w:val="00525113"/>
    <w:rPr>
      <w:i/>
      <w:iCs/>
      <w:color w:val="0F4761" w:themeColor="accent1" w:themeShade="BF"/>
    </w:rPr>
  </w:style>
  <w:style w:type="paragraph" w:styleId="IntenseQuote">
    <w:name w:val="Intense Quote"/>
    <w:basedOn w:val="Normal"/>
    <w:next w:val="Normal"/>
    <w:link w:val="IntenseQuoteChar"/>
    <w:uiPriority w:val="30"/>
    <w:qFormat/>
    <w:rsid w:val="00525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13"/>
    <w:rPr>
      <w:i/>
      <w:iCs/>
      <w:color w:val="0F4761" w:themeColor="accent1" w:themeShade="BF"/>
    </w:rPr>
  </w:style>
  <w:style w:type="character" w:styleId="IntenseReference">
    <w:name w:val="Intense Reference"/>
    <w:basedOn w:val="DefaultParagraphFont"/>
    <w:uiPriority w:val="32"/>
    <w:qFormat/>
    <w:rsid w:val="00525113"/>
    <w:rPr>
      <w:b/>
      <w:bCs/>
      <w:smallCaps/>
      <w:color w:val="0F4761" w:themeColor="accent1" w:themeShade="BF"/>
      <w:spacing w:val="5"/>
    </w:rPr>
  </w:style>
  <w:style w:type="character" w:customStyle="1" w:styleId="apple-converted-space">
    <w:name w:val="apple-converted-space"/>
    <w:basedOn w:val="DefaultParagraphFont"/>
    <w:rsid w:val="001341BB"/>
  </w:style>
  <w:style w:type="character" w:styleId="Hyperlink">
    <w:name w:val="Hyperlink"/>
    <w:basedOn w:val="DefaultParagraphFont"/>
    <w:uiPriority w:val="99"/>
    <w:unhideWhenUsed/>
    <w:rsid w:val="001341BB"/>
    <w:rPr>
      <w:color w:val="0000FF"/>
      <w:u w:val="single"/>
    </w:rPr>
  </w:style>
  <w:style w:type="character" w:styleId="UnresolvedMention">
    <w:name w:val="Unresolved Mention"/>
    <w:basedOn w:val="DefaultParagraphFont"/>
    <w:uiPriority w:val="99"/>
    <w:semiHidden/>
    <w:unhideWhenUsed/>
    <w:rsid w:val="001341BB"/>
    <w:rPr>
      <w:color w:val="605E5C"/>
      <w:shd w:val="clear" w:color="auto" w:fill="E1DFDD"/>
    </w:rPr>
  </w:style>
  <w:style w:type="character" w:styleId="FollowedHyperlink">
    <w:name w:val="FollowedHyperlink"/>
    <w:basedOn w:val="DefaultParagraphFont"/>
    <w:uiPriority w:val="99"/>
    <w:semiHidden/>
    <w:unhideWhenUsed/>
    <w:rsid w:val="009240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515/9783110458268-003" TargetMode="External"/><Relationship Id="rId13" Type="http://schemas.openxmlformats.org/officeDocument/2006/relationships/hyperlink" Target="https://doi.org/10.1515/9783110746723-007"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i.org/10.1075/cf.23017.gol" TargetMode="External"/><Relationship Id="rId12" Type="http://schemas.openxmlformats.org/officeDocument/2006/relationships/hyperlink" Target="https://doi.org/10.1080/17501229.2021.2012476"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doi.org/10.3389/frai.2023.1225791" TargetMode="External"/><Relationship Id="rId1" Type="http://schemas.openxmlformats.org/officeDocument/2006/relationships/styles" Target="styles.xml"/><Relationship Id="rId6" Type="http://schemas.openxmlformats.org/officeDocument/2006/relationships/hyperlink" Target="https://www.jstor.org/stable/27213136" TargetMode="External"/><Relationship Id="rId11" Type="http://schemas.openxmlformats.org/officeDocument/2006/relationships/hyperlink" Target="https://doi.org/10.1111/tger.12136" TargetMode="External"/><Relationship Id="rId5" Type="http://schemas.openxmlformats.org/officeDocument/2006/relationships/hyperlink" Target="https://doi.org/10.1093/ijl/ecad021" TargetMode="External"/><Relationship Id="rId15" Type="http://schemas.openxmlformats.org/officeDocument/2006/relationships/hyperlink" Target="https://doi.org/10.1093/ijl/ecad030" TargetMode="External"/><Relationship Id="rId10" Type="http://schemas.openxmlformats.org/officeDocument/2006/relationships/hyperlink" Target="https://doi.org/10.1017/S0261444820000488" TargetMode="External"/><Relationship Id="rId4" Type="http://schemas.openxmlformats.org/officeDocument/2006/relationships/hyperlink" Target="https://doi.org/10.1515/9783110746723-001" TargetMode="External"/><Relationship Id="rId9" Type="http://schemas.openxmlformats.org/officeDocument/2006/relationships/hyperlink" Target="https://doi.org/10.1057/s41599-023-02119-6" TargetMode="External"/><Relationship Id="rId14" Type="http://schemas.openxmlformats.org/officeDocument/2006/relationships/hyperlink" Target="https://doi.org/10.1075/nlp.14.12p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Pandey, Utpal</dc:creator>
  <cp:keywords/>
  <dc:description/>
  <cp:lastModifiedBy>Pandey, Utpal</cp:lastModifiedBy>
  <cp:revision>7</cp:revision>
  <dcterms:created xsi:type="dcterms:W3CDTF">2025-09-08T03:37:00Z</dcterms:created>
  <dcterms:modified xsi:type="dcterms:W3CDTF">2025-09-22T19:15:00Z</dcterms:modified>
</cp:coreProperties>
</file>