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4" w:name="content"/>
    <w:bookmarkStart w:id="73" w:name="Xa65686ca275c6b4b8b9556f66c719ca6b52b5e1"/>
    <w:p>
      <w:pPr>
        <w:pStyle w:val="Heading1"/>
      </w:pPr>
      <w:r>
        <w:t xml:space="preserve">Building Ten High-Authority Cornerstone Articles on Family-Court and Digital-Evidence Topics</w:t>
      </w:r>
    </w:p>
    <w:bookmarkStart w:id="27" w:name="X1512af11b1c37a5befd3a28142f2d276e2444d1"/>
    <w:p>
      <w:pPr>
        <w:pStyle w:val="Heading2"/>
      </w:pPr>
      <w:r>
        <w:t xml:space="preserve">Scope, jurisdictions, and baseline authorities</w:t>
      </w:r>
    </w:p>
    <w:p>
      <w:pPr>
        <w:pStyle w:val="FirstParagraph"/>
      </w:pPr>
      <w:r>
        <w:t xml:space="preserve">These article blueprints are jurisdiction-agnostic by default, with an explicit sampling set of five large, procedurally influential jurisdictions—California</w:t>
      </w:r>
      <w:hyperlink r:id="rId21">
        <w:r>
          <w:rPr>
            <w:rStyle w:val="Hyperlink"/>
          </w:rPr>
          <w:t xml:space="preserve">[1]</w:t>
        </w:r>
      </w:hyperlink>
      <w:r>
        <w:t xml:space="preserve">, New York</w:t>
      </w:r>
      <w:hyperlink r:id="rId22">
        <w:r>
          <w:rPr>
            <w:rStyle w:val="Hyperlink"/>
          </w:rPr>
          <w:t xml:space="preserve">[2]</w:t>
        </w:r>
      </w:hyperlink>
      <w:r>
        <w:t xml:space="preserve">, Texas</w:t>
      </w:r>
      <w:hyperlink r:id="rId23">
        <w:r>
          <w:rPr>
            <w:rStyle w:val="Hyperlink"/>
          </w:rPr>
          <w:t xml:space="preserve">[3]</w:t>
        </w:r>
      </w:hyperlink>
      <w:r>
        <w:t xml:space="preserve">, Florida</w:t>
      </w:r>
      <w:hyperlink r:id="rId24">
        <w:r>
          <w:rPr>
            <w:rStyle w:val="Hyperlink"/>
          </w:rPr>
          <w:t xml:space="preserve">[4]</w:t>
        </w:r>
      </w:hyperlink>
      <w:r>
        <w:t xml:space="preserve">, and Illinois</w:t>
      </w:r>
      <w:hyperlink r:id="rId25">
        <w:r>
          <w:rPr>
            <w:rStyle w:val="Hyperlink"/>
          </w:rPr>
          <w:t xml:space="preserve">[5]</w:t>
        </w:r>
      </w:hyperlink>
      <w:r>
        <w:t xml:space="preserve">—plus federal baselines where they meaningfully shape evidence, discovery, and sanctions practice.</w:t>
      </w:r>
      <w:r>
        <w:t xml:space="preserve"> </w:t>
      </w:r>
      <w:hyperlink r:id="rId22">
        <w:r>
          <w:rPr>
            <w:rStyle w:val="Hyperlink"/>
          </w:rPr>
          <w:t xml:space="preserve">[6]</w:t>
        </w:r>
      </w:hyperlink>
    </w:p>
    <w:p>
      <w:pPr>
        <w:pStyle w:val="BodyText"/>
      </w:pPr>
      <w:r>
        <w:t xml:space="preserve">Throughout, the “institutional baseline” for evidentiary analysis is the same order-of-operations used in federal practice and widely mirrored in state evidence codes: relevance, authentication/identity, hearsay and exceptions, best-evidence/original-writing rules, and discretionary balancing/exclusion (e.g., unfair prejudice, confusion, waste of time). A canonical, court-written mapping of these gates for electronically stored information (ESI) is the memorandum opinion in</w:t>
      </w:r>
      <w:r>
        <w:t xml:space="preserve"> </w:t>
      </w:r>
      <w:r>
        <w:rPr>
          <w:i/>
          <w:iCs/>
        </w:rPr>
        <w:t xml:space="preserve">Lorraine v. Markel American Insurance Co.</w:t>
      </w:r>
      <w:r>
        <w:t xml:space="preserve">, which remains a frequently cited, methodical checklist for admissibility planning rather than a “one weird trick” for getting screenshots admitted.</w:t>
      </w:r>
      <w:r>
        <w:t xml:space="preserve"> </w:t>
      </w:r>
      <w:hyperlink r:id="rId26">
        <w:r>
          <w:rPr>
            <w:rStyle w:val="Hyperlink"/>
          </w:rPr>
          <w:t xml:space="preserve">[7]</w:t>
        </w:r>
      </w:hyperlink>
    </w:p>
    <w:bookmarkEnd w:id="27"/>
    <w:bookmarkStart w:id="30" w:name="Xfba3ce1dd170834ad30e11e7156d481e391e91c"/>
    <w:p>
      <w:pPr>
        <w:pStyle w:val="Heading2"/>
      </w:pPr>
      <w:r>
        <w:t xml:space="preserve">Cross-cutting evidentiary framework for family court and digital material</w:t>
      </w:r>
    </w:p>
    <w:p>
      <w:pPr>
        <w:pStyle w:val="FirstParagraph"/>
      </w:pPr>
      <w:r>
        <w:t xml:space="preserve">Family-court litigation produces a distinctive evidentiary mix: high volumes of informal communications (texts, messaging apps, email), third-party records (schools, employers, medical providers, therapists, app/platform records), and “life documentation” (calendars, photos, location history). The admissibility problems are rarely about “whether digital evidence is allowed”—it is—but about whether the proponent can (a) prove what the item is and who it is connected to, (b) navigate hearsay layering, (c) demonstrate integrity (tampering/spoofing risks), and (d) do all of that under compressed family-court timelines and limited budgets.</w:t>
      </w:r>
      <w:r>
        <w:t xml:space="preserve"> </w:t>
      </w:r>
      <w:hyperlink r:id="rId26">
        <w:r>
          <w:rPr>
            <w:rStyle w:val="Hyperlink"/>
          </w:rPr>
          <w:t xml:space="preserve">[8]</w:t>
        </w:r>
      </w:hyperlink>
    </w:p>
    <w:p>
      <w:pPr>
        <w:pStyle w:val="BodyText"/>
      </w:pPr>
      <w:r>
        <w:t xml:space="preserve">Two recurring doctrinal fault lines show up across jurisdictions:</w:t>
      </w:r>
    </w:p>
    <w:p>
      <w:pPr>
        <w:pStyle w:val="BodyText"/>
      </w:pPr>
      <w:r>
        <w:t xml:space="preserve">First,</w:t>
      </w:r>
      <w:r>
        <w:t xml:space="preserve"> </w:t>
      </w:r>
      <w:r>
        <w:rPr>
          <w:b/>
          <w:bCs/>
        </w:rPr>
        <w:t xml:space="preserve">authentication vs. attribution</w:t>
      </w:r>
      <w:r>
        <w:t xml:space="preserve">. Courts often treat “this screenshot came from Account X” as a different question from “Person Y wrote these words,” and the severity of that distinction varies by jurisdiction and by medium (static profile pages, chat logs, device extractions, provider records). The Second Circuit’s reversal in</w:t>
      </w:r>
      <w:r>
        <w:t xml:space="preserve"> </w:t>
      </w:r>
      <w:r>
        <w:rPr>
          <w:i/>
          <w:iCs/>
        </w:rPr>
        <w:t xml:space="preserve">United States v. Zhyltsou (Vayner)</w:t>
      </w:r>
      <w:r>
        <w:t xml:space="preserve"> </w:t>
      </w:r>
      <w:r>
        <w:t xml:space="preserve">is the cleanest appellate example of rejecting a “looks like his profile” theory when the proponent failed to connect the profile to the person with sufficient evidence under Rule 901.</w:t>
      </w:r>
      <w:r>
        <w:t xml:space="preserve"> </w:t>
      </w:r>
      <w:hyperlink r:id="rId28">
        <w:r>
          <w:rPr>
            <w:rStyle w:val="Hyperlink"/>
          </w:rPr>
          <w:t xml:space="preserve">[9]</w:t>
        </w:r>
      </w:hyperlink>
    </w:p>
    <w:p>
      <w:pPr>
        <w:pStyle w:val="BodyText"/>
      </w:pPr>
      <w:r>
        <w:t xml:space="preserve">Second,</w:t>
      </w:r>
      <w:r>
        <w:t xml:space="preserve"> </w:t>
      </w:r>
      <w:r>
        <w:rPr>
          <w:b/>
          <w:bCs/>
        </w:rPr>
        <w:t xml:space="preserve">records with embedded third-party statements</w:t>
      </w:r>
      <w:r>
        <w:t xml:space="preserve">. Agency or business “files” can be admissible as business records only to the extent the embedded statements satisfy a hearsay exception (or are non-hearsay). New York’s highest court in</w:t>
      </w:r>
      <w:r>
        <w:t xml:space="preserve"> </w:t>
      </w:r>
      <w:r>
        <w:rPr>
          <w:i/>
          <w:iCs/>
        </w:rPr>
        <w:t xml:space="preserve">Matter of Leon RR</w:t>
      </w:r>
      <w:r>
        <w:t xml:space="preserve"> </w:t>
      </w:r>
      <w:r>
        <w:t xml:space="preserve">remains a leading warning against “wholesale file admission” in neglect/TPR contexts when third-party declarants were not under a business duty to report.</w:t>
      </w:r>
      <w:r>
        <w:t xml:space="preserve"> </w:t>
      </w:r>
      <w:hyperlink r:id="rId29">
        <w:r>
          <w:rPr>
            <w:rStyle w:val="Hyperlink"/>
          </w:rPr>
          <w:t xml:space="preserve">[10]</w:t>
        </w:r>
      </w:hyperlink>
    </w:p>
    <w:bookmarkEnd w:id="30"/>
    <w:bookmarkStart w:id="71" w:name="cornerstone-article-blueprints"/>
    <w:p>
      <w:pPr>
        <w:pStyle w:val="Heading2"/>
      </w:pPr>
      <w:r>
        <w:t xml:space="preserve">Cornerstone article blueprints</w:t>
      </w:r>
    </w:p>
    <w:bookmarkStart w:id="38" w:name="evidence-authentication-in-family-court"/>
    <w:p>
      <w:pPr>
        <w:pStyle w:val="Heading3"/>
      </w:pPr>
      <w:r>
        <w:t xml:space="preserve">Evidence Authentication in Family Court</w:t>
      </w:r>
    </w:p>
    <w:p>
      <w:pPr>
        <w:pStyle w:val="FirstParagraph"/>
      </w:pPr>
      <w:r>
        <w:rPr>
          <w:b/>
          <w:bCs/>
        </w:rPr>
        <w:t xml:space="preserve">SEO title</w:t>
      </w:r>
      <w:r>
        <w:t xml:space="preserve">: Evidence Authentication in Family Court: A Practical, Rule-Based Framework for Digital and Traditional Proof</w:t>
      </w:r>
      <w:r>
        <w:br/>
      </w:r>
      <w:r>
        <w:rPr>
          <w:b/>
          <w:bCs/>
        </w:rPr>
        <w:t xml:space="preserve">Abstract</w:t>
      </w:r>
      <w:r>
        <w:t xml:space="preserve">: This article provides a rule-structured method for authenticating evidence in family-court proceedings, with emphasis on modern communications and ESI. It distinguishes authentication, attribution, and integrity; explains how courts assess foundation proof; and offers practical foundation scripts and checklists for common exhibit types.</w:t>
      </w:r>
      <w:r>
        <w:t xml:space="preserve"> </w:t>
      </w:r>
      <w:hyperlink r:id="rId22">
        <w:r>
          <w:rPr>
            <w:rStyle w:val="Hyperlink"/>
          </w:rPr>
          <w:t xml:space="preserve">[11]</w:t>
        </w:r>
      </w:hyperlink>
      <w:r>
        <w:br/>
      </w:r>
      <w:r>
        <w:rPr>
          <w:b/>
          <w:bCs/>
        </w:rPr>
        <w:t xml:space="preserve">Suggested metadata/tags</w:t>
      </w:r>
      <w:r>
        <w:t xml:space="preserve">: family court evidence; authentication; Rule 901; digital evidence; text messages; social media; foundation; hearsay; best evidence</w:t>
      </w:r>
    </w:p>
    <w:p>
      <w:pPr>
        <w:pStyle w:val="BodyText"/>
      </w:pPr>
      <w:r>
        <w:rPr>
          <w:b/>
          <w:bCs/>
        </w:rPr>
        <w:t xml:space="preserve">Executive summary</w:t>
      </w:r>
      <w:r>
        <w:br/>
      </w:r>
      <w:r>
        <w:t xml:space="preserve">Authentication in family court is best treated as an engineering problem with legal constraints: define the claim (“what is it?” “who is it connected to?” “has it been altered?”) and then select the minimum foundation proof that satisfies the governing evidence rule. The baseline federal model—Rule 901’s “evidence sufficient to support a finding” and Rule 902’s self-authentication categories—maps cleanly onto most state approaches, even when family courts apply procedural shortcuts.</w:t>
      </w:r>
      <w:r>
        <w:t xml:space="preserve"> </w:t>
      </w:r>
      <w:hyperlink r:id="rId22">
        <w:r>
          <w:rPr>
            <w:rStyle w:val="Hyperlink"/>
          </w:rPr>
          <w:t xml:space="preserve">[12]</w:t>
        </w:r>
      </w:hyperlink>
      <w:r>
        <w:br/>
      </w:r>
      <w:r>
        <w:t xml:space="preserve">Digital items frequently fail not because judges “hate technology,” but because proponents confuse (1) device possession with authorship, (2) screenshots with records, or (3) plausibility with proof. Appellate courts have reversed where trial courts admitted profile printouts without a meaningful link to the purported author, illustrating the risk of relying only on “internal content” and superficial identifiers.</w:t>
      </w:r>
      <w:r>
        <w:t xml:space="preserve"> </w:t>
      </w:r>
      <w:hyperlink r:id="rId28">
        <w:r>
          <w:rPr>
            <w:rStyle w:val="Hyperlink"/>
          </w:rPr>
          <w:t xml:space="preserve">[13]</w:t>
        </w:r>
      </w:hyperlink>
      <w:r>
        <w:br/>
      </w:r>
      <w:r>
        <w:t xml:space="preserve">A robust authentication strategy in custody/divorce disputes should, at minimum, preserve original files where possible, document collection steps contemporaneously, and anticipate spoofing/tampering arguments with corroborating evidence (provider logs, device extractions, account-registration records, witness testimony, or forensic hash verification).</w:t>
      </w:r>
      <w:r>
        <w:t xml:space="preserve"> </w:t>
      </w:r>
      <w:hyperlink r:id="rId26">
        <w:r>
          <w:rPr>
            <w:rStyle w:val="Hyperlink"/>
          </w:rPr>
          <w:t xml:space="preserve">[14]</w:t>
        </w:r>
      </w:hyperlink>
    </w:p>
    <w:p>
      <w:pPr>
        <w:pStyle w:val="BodyText"/>
      </w:pPr>
      <w:r>
        <w:rPr>
          <w:b/>
          <w:bCs/>
        </w:rPr>
        <w:t xml:space="preserve">Proposed detailed outline with target word counts (3,200–3,600 words)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jc w:val="right"/>
            </w:pPr>
            <w:r>
              <w:t xml:space="preserve">Target words</w:t>
            </w:r>
          </w:p>
        </w:tc>
      </w:tr>
      <w:tr>
        <w:tc>
          <w:tcPr/>
          <w:p>
            <w:pPr>
              <w:pStyle w:val="Compact"/>
            </w:pPr>
            <w:r>
              <w:t xml:space="preserve">Executive summary</w:t>
            </w:r>
          </w:p>
        </w:tc>
        <w:tc>
          <w:tcPr/>
          <w:p>
            <w:pPr>
              <w:pStyle w:val="Compact"/>
              <w:jc w:val="right"/>
            </w:pPr>
            <w:r>
              <w:t xml:space="preserve">200</w:t>
            </w:r>
          </w:p>
        </w:tc>
      </w:tr>
      <w:tr>
        <w:tc>
          <w:tcPr/>
          <w:p>
            <w:pPr>
              <w:pStyle w:val="Compact"/>
            </w:pPr>
            <w:r>
              <w:t xml:space="preserve">Core concepts: authentication vs. attribution vs. integrity</w:t>
            </w:r>
          </w:p>
        </w:tc>
        <w:tc>
          <w:tcPr/>
          <w:p>
            <w:pPr>
              <w:pStyle w:val="Compact"/>
              <w:jc w:val="right"/>
            </w:pPr>
            <w:r>
              <w:t xml:space="preserve">450</w:t>
            </w:r>
          </w:p>
        </w:tc>
      </w:tr>
      <w:tr>
        <w:tc>
          <w:tcPr/>
          <w:p>
            <w:pPr>
              <w:pStyle w:val="Compact"/>
            </w:pPr>
            <w:r>
              <w:t xml:space="preserve">Governing rules: Rule 901/902 model and state analogs</w:t>
            </w:r>
          </w:p>
        </w:tc>
        <w:tc>
          <w:tcPr/>
          <w:p>
            <w:pPr>
              <w:pStyle w:val="Compact"/>
              <w:jc w:val="right"/>
            </w:pPr>
            <w:r>
              <w:t xml:space="preserve">500</w:t>
            </w:r>
          </w:p>
        </w:tc>
      </w:tr>
      <w:tr>
        <w:tc>
          <w:tcPr/>
          <w:p>
            <w:pPr>
              <w:pStyle w:val="Compact"/>
            </w:pPr>
            <w:r>
              <w:t xml:space="preserve">Common exhibit categories in family court: communications, photos, records, app data</w:t>
            </w:r>
          </w:p>
        </w:tc>
        <w:tc>
          <w:tcPr/>
          <w:p>
            <w:pPr>
              <w:pStyle w:val="Compact"/>
              <w:jc w:val="right"/>
            </w:pPr>
            <w:r>
              <w:t xml:space="preserve">700</w:t>
            </w:r>
          </w:p>
        </w:tc>
      </w:tr>
      <w:tr>
        <w:tc>
          <w:tcPr/>
          <w:p>
            <w:pPr>
              <w:pStyle w:val="Compact"/>
            </w:pPr>
            <w:r>
              <w:t xml:space="preserve">Foundation methods: witness with knowledge, distinctive characteristics, process/system evidence</w:t>
            </w:r>
          </w:p>
        </w:tc>
        <w:tc>
          <w:tcPr/>
          <w:p>
            <w:pPr>
              <w:pStyle w:val="Compact"/>
              <w:jc w:val="right"/>
            </w:pPr>
            <w:r>
              <w:t xml:space="preserve">650</w:t>
            </w:r>
          </w:p>
        </w:tc>
      </w:tr>
      <w:tr>
        <w:tc>
          <w:tcPr/>
          <w:p>
            <w:pPr>
              <w:pStyle w:val="Compact"/>
            </w:pPr>
            <w:r>
              <w:t xml:space="preserve">Objections and counter-foundations: spoofing, tampering, missing context, hearsay layering</w:t>
            </w:r>
          </w:p>
        </w:tc>
        <w:tc>
          <w:tcPr/>
          <w:p>
            <w:pPr>
              <w:pStyle w:val="Compact"/>
              <w:jc w:val="right"/>
            </w:pPr>
            <w:r>
              <w:t xml:space="preserve">550</w:t>
            </w:r>
          </w:p>
        </w:tc>
      </w:tr>
      <w:tr>
        <w:tc>
          <w:tcPr/>
          <w:p>
            <w:pPr>
              <w:pStyle w:val="Compact"/>
            </w:pPr>
            <w:r>
              <w:t xml:space="preserve">Practice toolkit: checklists, sample foundation Q&amp;A, preservation do’s/don’ts</w:t>
            </w:r>
          </w:p>
        </w:tc>
        <w:tc>
          <w:tcPr/>
          <w:p>
            <w:pPr>
              <w:pStyle w:val="Compact"/>
              <w:jc w:val="right"/>
            </w:pPr>
            <w:r>
              <w:t xml:space="preserve">500</w:t>
            </w:r>
          </w:p>
        </w:tc>
      </w:tr>
      <w:tr>
        <w:tc>
          <w:tcPr/>
          <w:p>
            <w:pPr>
              <w:pStyle w:val="Compact"/>
            </w:pPr>
            <w:r>
              <w:t xml:space="preserve">Open issues: deepfakes, AI-generated “evidence,” platform volatility</w:t>
            </w:r>
          </w:p>
        </w:tc>
        <w:tc>
          <w:tcPr/>
          <w:p>
            <w:pPr>
              <w:pStyle w:val="Compact"/>
              <w:jc w:val="right"/>
            </w:pPr>
            <w:r>
              <w:t xml:space="preserve">250</w:t>
            </w:r>
          </w:p>
        </w:tc>
      </w:tr>
    </w:tbl>
    <w:p>
      <w:pPr>
        <w:pStyle w:val="BodyText"/>
      </w:pPr>
      <w:r>
        <w:rPr>
          <w:b/>
          <w:bCs/>
        </w:rPr>
        <w:t xml:space="preserve">Primary sources to cite (prioritized)</w:t>
      </w:r>
      <w:r>
        <w:br/>
      </w:r>
      <w:r>
        <w:t xml:space="preserve">Core federal authorities:</w:t>
      </w:r>
      <w:r>
        <w:t xml:space="preserve"> </w:t>
      </w:r>
      <w:r>
        <w:t xml:space="preserve">- Fed. R. Evid. 901, 902, 403, 801–803, 1001–1003 (authentication, self-authentication, balancing, hearsay framework, originals/duplicates).</w:t>
      </w:r>
      <w:r>
        <w:t xml:space="preserve"> </w:t>
      </w:r>
      <w:hyperlink r:id="rId22">
        <w:r>
          <w:rPr>
            <w:rStyle w:val="Hyperlink"/>
          </w:rPr>
          <w:t xml:space="preserve">[15]</w:t>
        </w:r>
      </w:hyperlink>
      <w:r>
        <w:br/>
      </w:r>
      <w:r>
        <w:t xml:space="preserve">- Fed. R. Civ. P. 26, 34, 37(e) (ESI discovery/planning; form of production; sanctions for failure to preserve).</w:t>
      </w:r>
      <w:r>
        <w:t xml:space="preserve"> </w:t>
      </w:r>
      <w:hyperlink r:id="rId21">
        <w:r>
          <w:rPr>
            <w:rStyle w:val="Hyperlink"/>
          </w:rPr>
          <w:t xml:space="preserve">[16]</w:t>
        </w:r>
      </w:hyperlink>
      <w:r>
        <w:br/>
      </w:r>
      <w:r>
        <w:t xml:space="preserve">Key federal opinions shaping ESI admissibility thinking:</w:t>
      </w:r>
      <w:r>
        <w:t xml:space="preserve"> </w:t>
      </w:r>
      <w:r>
        <w:t xml:space="preserve">-</w:t>
      </w:r>
      <w:r>
        <w:t xml:space="preserve"> </w:t>
      </w:r>
      <w:r>
        <w:rPr>
          <w:i/>
          <w:iCs/>
        </w:rPr>
        <w:t xml:space="preserve">Lorraine v. Markel Am. Ins. Co.</w:t>
      </w:r>
      <w:r>
        <w:t xml:space="preserve">, 241 F.R.D. 534 (D. Md. 2007) (systematic admissibility “hurdles” for ESI).</w:t>
      </w:r>
      <w:r>
        <w:t xml:space="preserve"> </w:t>
      </w:r>
      <w:hyperlink r:id="rId26">
        <w:r>
          <w:rPr>
            <w:rStyle w:val="Hyperlink"/>
          </w:rPr>
          <w:t xml:space="preserve">[17]</w:t>
        </w:r>
      </w:hyperlink>
      <w:r>
        <w:br/>
      </w:r>
      <w:r>
        <w:t xml:space="preserve">-</w:t>
      </w:r>
      <w:r>
        <w:t xml:space="preserve"> </w:t>
      </w:r>
      <w:r>
        <w:rPr>
          <w:i/>
          <w:iCs/>
        </w:rPr>
        <w:t xml:space="preserve">United States v. Zhyltsou (Vayner)</w:t>
      </w:r>
      <w:r>
        <w:t xml:space="preserve">, 769 F.3d 125 (2d Cir. 2014) (profile-page printout excluded for insufficient Rule 901 authentication).</w:t>
      </w:r>
      <w:r>
        <w:t xml:space="preserve"> </w:t>
      </w:r>
      <w:hyperlink r:id="rId28">
        <w:r>
          <w:rPr>
            <w:rStyle w:val="Hyperlink"/>
          </w:rPr>
          <w:t xml:space="preserve">[13]</w:t>
        </w:r>
      </w:hyperlink>
    </w:p>
    <w:p>
      <w:pPr>
        <w:pStyle w:val="BodyText"/>
      </w:pPr>
      <w:r>
        <w:t xml:space="preserve">Representative high-court/state anchors (sampling):</w:t>
      </w:r>
      <w:r>
        <w:t xml:space="preserve"> </w:t>
      </w:r>
      <w:r>
        <w:t xml:space="preserve">-</w:t>
      </w:r>
      <w:r>
        <w:t xml:space="preserve"> </w:t>
      </w:r>
      <w:r>
        <w:rPr>
          <w:i/>
          <w:iCs/>
        </w:rPr>
        <w:t xml:space="preserve">Griffin v. State</w:t>
      </w:r>
      <w:r>
        <w:t xml:space="preserve">, 419 Md. 343 (2011) (authentication of social-networking printouts; risk of impersonation; distinctive characteristics analysis).</w:t>
      </w:r>
      <w:r>
        <w:t xml:space="preserve"> </w:t>
      </w:r>
      <w:hyperlink r:id="rId31">
        <w:r>
          <w:rPr>
            <w:rStyle w:val="Hyperlink"/>
          </w:rPr>
          <w:t xml:space="preserve">[18]</w:t>
        </w:r>
      </w:hyperlink>
      <w:r>
        <w:br/>
      </w:r>
      <w:r>
        <w:t xml:space="preserve">-</w:t>
      </w:r>
      <w:r>
        <w:t xml:space="preserve"> </w:t>
      </w:r>
      <w:r>
        <w:rPr>
          <w:i/>
          <w:iCs/>
        </w:rPr>
        <w:t xml:space="preserve">United States v. Browne</w:t>
      </w:r>
      <w:r>
        <w:t xml:space="preserve">, 834 F.3d 403 (3d Cir. 2016) (authentication of Facebook chat evidence; attribution issues).</w:t>
      </w:r>
      <w:r>
        <w:t xml:space="preserve"> </w:t>
      </w:r>
      <w:hyperlink r:id="rId32">
        <w:r>
          <w:rPr>
            <w:rStyle w:val="Hyperlink"/>
          </w:rPr>
          <w:t xml:space="preserve">[19]</w:t>
        </w:r>
      </w:hyperlink>
      <w:r>
        <w:br/>
      </w:r>
      <w:r>
        <w:t xml:space="preserve">- California live-testimony framework for family hearings (procedural context affecting evidentiary development): Cal. Rules of Court, rule 5.113 (implements witness-list practice tied to Family Code § 217).</w:t>
      </w:r>
      <w:r>
        <w:t xml:space="preserve"> </w:t>
      </w:r>
      <w:hyperlink r:id="rId33">
        <w:r>
          <w:rPr>
            <w:rStyle w:val="Hyperlink"/>
          </w:rPr>
          <w:t xml:space="preserve">[20]</w:t>
        </w:r>
      </w:hyperlink>
    </w:p>
    <w:p>
      <w:pPr>
        <w:pStyle w:val="BodyText"/>
      </w:pPr>
      <w:r>
        <w:rPr>
          <w:b/>
          <w:bCs/>
        </w:rPr>
        <w:t xml:space="preserve">Key secondary sources (high-priority institutional and leading literature)</w:t>
      </w:r>
      <w:r>
        <w:br/>
      </w:r>
      <w:r>
        <w:t xml:space="preserve">- The Sedona Conference</w:t>
      </w:r>
      <w:hyperlink r:id="rId34">
        <w:r>
          <w:rPr>
            <w:rStyle w:val="Hyperlink"/>
          </w:rPr>
          <w:t xml:space="preserve">[21]</w:t>
        </w:r>
      </w:hyperlink>
      <w:r>
        <w:t xml:space="preserve"> </w:t>
      </w:r>
      <w:r>
        <w:t xml:space="preserve">materials summarizing e-discovery practices and metadata disputes (useful for civil family cases involving ESI production questions).</w:t>
      </w:r>
      <w:r>
        <w:t xml:space="preserve"> </w:t>
      </w:r>
      <w:hyperlink r:id="rId35">
        <w:r>
          <w:rPr>
            <w:rStyle w:val="Hyperlink"/>
          </w:rPr>
          <w:t xml:space="preserve">[22]</w:t>
        </w:r>
      </w:hyperlink>
      <w:r>
        <w:br/>
      </w:r>
      <w:r>
        <w:t xml:space="preserve">- Judge-focused guidance on electronic evidence admissibility (secondary but court-centered): commentary surrounding</w:t>
      </w:r>
      <w:r>
        <w:t xml:space="preserve"> </w:t>
      </w:r>
      <w:r>
        <w:rPr>
          <w:i/>
          <w:iCs/>
        </w:rPr>
        <w:t xml:space="preserve">Lorraine</w:t>
      </w:r>
      <w:r>
        <w:t xml:space="preserve"> </w:t>
      </w:r>
      <w:r>
        <w:t xml:space="preserve">(use as an interpretive aid, not as primary law).</w:t>
      </w:r>
      <w:r>
        <w:t xml:space="preserve"> </w:t>
      </w:r>
      <w:hyperlink r:id="rId36">
        <w:r>
          <w:rPr>
            <w:rStyle w:val="Hyperlink"/>
          </w:rPr>
          <w:t xml:space="preserve">[23]</w:t>
        </w:r>
      </w:hyperlink>
    </w:p>
    <w:p>
      <w:pPr>
        <w:pStyle w:val="BodyText"/>
      </w:pPr>
      <w:r>
        <w:rPr>
          <w:b/>
          <w:bCs/>
        </w:rPr>
        <w:t xml:space="preserve">Research notes</w:t>
      </w:r>
      <w:r>
        <w:br/>
      </w:r>
      <w:r>
        <w:t xml:space="preserve">Current law: Authentication standards in the U.S. are intentionally “low threshold” (sufficient to support a finding), with disputes about ultimate reliability typically going to weight.</w:t>
      </w:r>
      <w:r>
        <w:t xml:space="preserve"> </w:t>
      </w:r>
      <w:r>
        <w:rPr>
          <w:i/>
          <w:iCs/>
        </w:rPr>
        <w:t xml:space="preserve">Vayner</w:t>
      </w:r>
      <w:r>
        <w:t xml:space="preserve"> </w:t>
      </w:r>
      <w:r>
        <w:t xml:space="preserve">shows appellate intolerance for skipping the link between an online artifact and the person it is attributed to when the proponent offers no meaningful corroboration (e.g., platform data, witness testimony, device evidence).</w:t>
      </w:r>
      <w:r>
        <w:t xml:space="preserve"> </w:t>
      </w:r>
      <w:hyperlink r:id="rId28">
        <w:r>
          <w:rPr>
            <w:rStyle w:val="Hyperlink"/>
          </w:rPr>
          <w:t xml:space="preserve">[9]</w:t>
        </w:r>
      </w:hyperlink>
      <w:r>
        <w:br/>
      </w:r>
      <w:r>
        <w:t xml:space="preserve">Jurisdictional conflicts: Social media evidence is the main fragmentation area—some courts are comfortable with circumstantial “distinctive characteristics” alone, while others demand more direct linkage (provider records, device forensic evidence, admissions).</w:t>
      </w:r>
      <w:r>
        <w:t xml:space="preserve"> </w:t>
      </w:r>
      <w:r>
        <w:rPr>
          <w:i/>
          <w:iCs/>
        </w:rPr>
        <w:t xml:space="preserve">Griffin</w:t>
      </w:r>
      <w:r>
        <w:t xml:space="preserve"> </w:t>
      </w:r>
      <w:r>
        <w:t xml:space="preserve">illustrates a more skeptical posture given identity spoofing risks.</w:t>
      </w:r>
      <w:r>
        <w:t xml:space="preserve"> </w:t>
      </w:r>
      <w:hyperlink r:id="rId31">
        <w:r>
          <w:rPr>
            <w:rStyle w:val="Hyperlink"/>
          </w:rPr>
          <w:t xml:space="preserve">[24]</w:t>
        </w:r>
      </w:hyperlink>
      <w:r>
        <w:br/>
      </w:r>
      <w:r>
        <w:t xml:space="preserve">Practical implications: In family court, litigants often try to prove parenting behavior using minimal-cost screenshots. The strategic risk is that the cheapest artifact is also the easiest to attack. A low-budget but defensible approach is layered corroboration (e.g., screenshot + testimony + context messages + timestamped export + third-party confirmation).</w:t>
      </w:r>
      <w:r>
        <w:t xml:space="preserve"> </w:t>
      </w:r>
      <w:hyperlink r:id="rId26">
        <w:r>
          <w:rPr>
            <w:rStyle w:val="Hyperlink"/>
          </w:rPr>
          <w:t xml:space="preserve">[25]</w:t>
        </w:r>
      </w:hyperlink>
      <w:r>
        <w:br/>
      </w:r>
      <w:r>
        <w:t xml:space="preserve">Open questions: The line between “AI-generated content” and “AI-assisted enhancement” will matter for authentication. Courts and rulemakers are actively discussing how to treat AI-generated evidence and reliability.</w:t>
      </w:r>
      <w:r>
        <w:t xml:space="preserve"> </w:t>
      </w:r>
      <w:hyperlink r:id="rId37">
        <w:r>
          <w:rPr>
            <w:rStyle w:val="Hyperlink"/>
          </w:rPr>
          <w:t xml:space="preserve">[26]</w:t>
        </w:r>
      </w:hyperlink>
    </w:p>
    <w:p>
      <w:pPr>
        <w:pStyle w:val="BodyText"/>
      </w:pPr>
      <w:r>
        <w:rPr>
          <w:b/>
          <w:bCs/>
        </w:rPr>
        <w:t xml:space="preserve">Recommended canonical citations with annotation</w:t>
      </w:r>
      <w:r>
        <w:br/>
      </w:r>
      <w:r>
        <w:t xml:space="preserve">- Fed. R. Evid. 901 — Baseline authentication rule; frames the “support a finding” threshold.</w:t>
      </w:r>
      <w:r>
        <w:t xml:space="preserve"> </w:t>
      </w:r>
      <w:hyperlink r:id="rId22">
        <w:r>
          <w:rPr>
            <w:rStyle w:val="Hyperlink"/>
          </w:rPr>
          <w:t xml:space="preserve">[15]</w:t>
        </w:r>
      </w:hyperlink>
      <w:r>
        <w:br/>
      </w:r>
      <w:r>
        <w:t xml:space="preserve">- Fed. R. Evid. 902 — Self-authentication categories; crucial for certified records and some ESI mechanisms.</w:t>
      </w:r>
      <w:r>
        <w:t xml:space="preserve"> </w:t>
      </w:r>
      <w:hyperlink r:id="rId22">
        <w:r>
          <w:rPr>
            <w:rStyle w:val="Hyperlink"/>
          </w:rPr>
          <w:t xml:space="preserve">[15]</w:t>
        </w:r>
      </w:hyperlink>
      <w:r>
        <w:br/>
      </w:r>
      <w:r>
        <w:t xml:space="preserve">-</w:t>
      </w:r>
      <w:r>
        <w:t xml:space="preserve"> </w:t>
      </w:r>
      <w:r>
        <w:rPr>
          <w:i/>
          <w:iCs/>
        </w:rPr>
        <w:t xml:space="preserve">Lorraine v. Markel</w:t>
      </w:r>
      <w:r>
        <w:t xml:space="preserve">, 241 F.R.D. 534 — Court-authored map of admissibility gates for ESI (relevance → authentication → hearsay → originals → 403).</w:t>
      </w:r>
      <w:r>
        <w:t xml:space="preserve"> </w:t>
      </w:r>
      <w:hyperlink r:id="rId26">
        <w:r>
          <w:rPr>
            <w:rStyle w:val="Hyperlink"/>
          </w:rPr>
          <w:t xml:space="preserve">[17]</w:t>
        </w:r>
      </w:hyperlink>
      <w:r>
        <w:br/>
      </w:r>
      <w:r>
        <w:t xml:space="preserve">-</w:t>
      </w:r>
      <w:r>
        <w:t xml:space="preserve"> </w:t>
      </w:r>
      <w:r>
        <w:rPr>
          <w:i/>
          <w:iCs/>
        </w:rPr>
        <w:t xml:space="preserve">United States v. Zhyltsou (Vayner)</w:t>
      </w:r>
      <w:r>
        <w:t xml:space="preserve">, 769 F.3d 125 — Rejects superficial internet-profile authentication.</w:t>
      </w:r>
      <w:r>
        <w:t xml:space="preserve"> </w:t>
      </w:r>
      <w:hyperlink r:id="rId28">
        <w:r>
          <w:rPr>
            <w:rStyle w:val="Hyperlink"/>
          </w:rPr>
          <w:t xml:space="preserve">[13]</w:t>
        </w:r>
      </w:hyperlink>
      <w:r>
        <w:br/>
      </w:r>
      <w:r>
        <w:t xml:space="preserve">-</w:t>
      </w:r>
      <w:r>
        <w:t xml:space="preserve"> </w:t>
      </w:r>
      <w:r>
        <w:rPr>
          <w:i/>
          <w:iCs/>
        </w:rPr>
        <w:t xml:space="preserve">Griffin v. State</w:t>
      </w:r>
      <w:r>
        <w:t xml:space="preserve">, 419 Md. 343 — Illustrates how the spoofing threat alters the “distinctive characteristics” analysis for social-network artifacts.</w:t>
      </w:r>
      <w:r>
        <w:t xml:space="preserve"> </w:t>
      </w:r>
      <w:hyperlink r:id="rId31">
        <w:r>
          <w:rPr>
            <w:rStyle w:val="Hyperlink"/>
          </w:rPr>
          <w:t xml:space="preserve">[18]</w:t>
        </w:r>
      </w:hyperlink>
    </w:p>
    <w:p>
      <w:r>
        <w:pict>
          <v:rect style="width:0;height:1.5pt" o:hralign="center" o:hrstd="t" o:hr="t"/>
        </w:pict>
      </w:r>
    </w:p>
    <w:bookmarkEnd w:id="38"/>
    <w:bookmarkStart w:id="41" w:name="digital-exhibit-admissibility-standards"/>
    <w:p>
      <w:pPr>
        <w:pStyle w:val="Heading3"/>
      </w:pPr>
      <w:r>
        <w:t xml:space="preserve">Digital Exhibit Admissibility Standards</w:t>
      </w:r>
    </w:p>
    <w:p>
      <w:pPr>
        <w:pStyle w:val="FirstParagraph"/>
      </w:pPr>
      <w:r>
        <w:rPr>
          <w:b/>
          <w:bCs/>
        </w:rPr>
        <w:t xml:space="preserve">SEO title</w:t>
      </w:r>
      <w:r>
        <w:t xml:space="preserve">: Digital Exhibit Admissibility Standards: Screenshots, Texts, Social Media, and App Data</w:t>
      </w:r>
      <w:r>
        <w:br/>
      </w:r>
      <w:r>
        <w:rPr>
          <w:b/>
          <w:bCs/>
        </w:rPr>
        <w:t xml:space="preserve">Abstract</w:t>
      </w:r>
      <w:r>
        <w:t xml:space="preserve">: This article explains how courts evaluate digital exhibits under relevance, authentication, hearsay, originals/duplicates, and discretionary exclusion principles. It provides a durable method for pre-hearing exhibit triage and offers best-practice workflows for collecting, preserving, and presenting digital exhibits in family-court proceedings.</w:t>
      </w:r>
      <w:r>
        <w:t xml:space="preserve"> </w:t>
      </w:r>
      <w:hyperlink r:id="rId26">
        <w:r>
          <w:rPr>
            <w:rStyle w:val="Hyperlink"/>
          </w:rPr>
          <w:t xml:space="preserve">[7]</w:t>
        </w:r>
      </w:hyperlink>
      <w:r>
        <w:br/>
      </w:r>
      <w:r>
        <w:rPr>
          <w:b/>
          <w:bCs/>
        </w:rPr>
        <w:t xml:space="preserve">Suggested metadata/tags</w:t>
      </w:r>
      <w:r>
        <w:t xml:space="preserve">: digital exhibits; admissibility; screenshots; text messages; social media; ESI; foundation; best evidence; Rule 403; Rule 1002</w:t>
      </w:r>
    </w:p>
    <w:p>
      <w:pPr>
        <w:pStyle w:val="BodyText"/>
      </w:pPr>
      <w:r>
        <w:rPr>
          <w:b/>
          <w:bCs/>
        </w:rPr>
        <w:t xml:space="preserve">Executive summary</w:t>
      </w:r>
      <w:r>
        <w:br/>
      </w:r>
      <w:r>
        <w:t xml:space="preserve">Digital exhibits are not a single category; they are multiple evidentiary objects masquerading as one: (1) the underlying data (native file or platform record), (2) a representation of that data (screenshot/printout), and (3) the proponent’s narrative about what the exhibit proves. Courts apply familiar evidentiary gates—relevance, authentication, hearsay exceptions, original/duplicate rules, and 403 balancing—to each layer.</w:t>
      </w:r>
      <w:r>
        <w:t xml:space="preserve"> </w:t>
      </w:r>
      <w:hyperlink r:id="rId26">
        <w:r>
          <w:rPr>
            <w:rStyle w:val="Hyperlink"/>
          </w:rPr>
          <w:t xml:space="preserve">[7]</w:t>
        </w:r>
      </w:hyperlink>
      <w:r>
        <w:br/>
      </w:r>
      <w:r>
        <w:t xml:space="preserve">Appellate decisions show that screenshots and profile printouts are vulnerable when the proponent cannot tie them to the asserted author or cannot show they are faithful representations of the underlying record.</w:t>
      </w:r>
      <w:r>
        <w:t xml:space="preserve"> </w:t>
      </w:r>
      <w:hyperlink r:id="rId28">
        <w:r>
          <w:rPr>
            <w:rStyle w:val="Hyperlink"/>
          </w:rPr>
          <w:t xml:space="preserve">[27]</w:t>
        </w:r>
      </w:hyperlink>
      <w:r>
        <w:br/>
      </w:r>
      <w:r>
        <w:t xml:space="preserve">A “best-practice” family-court approach is therefore: preserve the most original form you can obtain (native exports, provider records, device extractions), document collection steps, and present exhibits with corroboration sufficient to defeat spoofing and context objections. This is consistent with institutional digital-evidence guidance emphasizing preservation, documentation, and integrity.</w:t>
      </w:r>
      <w:r>
        <w:t xml:space="preserve"> </w:t>
      </w:r>
      <w:hyperlink r:id="rId39">
        <w:r>
          <w:rPr>
            <w:rStyle w:val="Hyperlink"/>
          </w:rPr>
          <w:t xml:space="preserve">[28]</w:t>
        </w:r>
      </w:hyperlink>
    </w:p>
    <w:p>
      <w:pPr>
        <w:pStyle w:val="BodyText"/>
      </w:pPr>
      <w:r>
        <w:rPr>
          <w:b/>
          <w:bCs/>
        </w:rPr>
        <w:t xml:space="preserve">Proposed detailed outline with target word counts (3,000–3,500 words)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jc w:val="right"/>
            </w:pPr>
            <w:r>
              <w:t xml:space="preserve">Target words</w:t>
            </w:r>
          </w:p>
        </w:tc>
      </w:tr>
      <w:tr>
        <w:tc>
          <w:tcPr/>
          <w:p>
            <w:pPr>
              <w:pStyle w:val="Compact"/>
            </w:pPr>
            <w:r>
              <w:t xml:space="preserve">Executive summary</w:t>
            </w:r>
          </w:p>
        </w:tc>
        <w:tc>
          <w:tcPr/>
          <w:p>
            <w:pPr>
              <w:pStyle w:val="Compact"/>
              <w:jc w:val="right"/>
            </w:pPr>
            <w:r>
              <w:t xml:space="preserve">200</w:t>
            </w:r>
          </w:p>
        </w:tc>
      </w:tr>
      <w:tr>
        <w:tc>
          <w:tcPr/>
          <w:p>
            <w:pPr>
              <w:pStyle w:val="Compact"/>
            </w:pPr>
            <w:r>
              <w:t xml:space="preserve">Taxonomy of digital exhibits and common failure modes</w:t>
            </w:r>
          </w:p>
        </w:tc>
        <w:tc>
          <w:tcPr/>
          <w:p>
            <w:pPr>
              <w:pStyle w:val="Compact"/>
              <w:jc w:val="right"/>
            </w:pPr>
            <w:r>
              <w:t xml:space="preserve">550</w:t>
            </w:r>
          </w:p>
        </w:tc>
      </w:tr>
      <w:tr>
        <w:tc>
          <w:tcPr/>
          <w:p>
            <w:pPr>
              <w:pStyle w:val="Compact"/>
            </w:pPr>
            <w:r>
              <w:t xml:space="preserve">Admissibility gates (relevance → authentication → hearsay → originals → discretion)</w:t>
            </w:r>
          </w:p>
        </w:tc>
        <w:tc>
          <w:tcPr/>
          <w:p>
            <w:pPr>
              <w:pStyle w:val="Compact"/>
              <w:jc w:val="right"/>
            </w:pPr>
            <w:r>
              <w:t xml:space="preserve">700</w:t>
            </w:r>
          </w:p>
        </w:tc>
      </w:tr>
      <w:tr>
        <w:tc>
          <w:tcPr/>
          <w:p>
            <w:pPr>
              <w:pStyle w:val="Compact"/>
            </w:pPr>
            <w:r>
              <w:t xml:space="preserve">Screenshots vs. exports vs. provider records</w:t>
            </w:r>
          </w:p>
        </w:tc>
        <w:tc>
          <w:tcPr/>
          <w:p>
            <w:pPr>
              <w:pStyle w:val="Compact"/>
              <w:jc w:val="right"/>
            </w:pPr>
            <w:r>
              <w:t xml:space="preserve">450</w:t>
            </w:r>
          </w:p>
        </w:tc>
      </w:tr>
      <w:tr>
        <w:tc>
          <w:tcPr/>
          <w:p>
            <w:pPr>
              <w:pStyle w:val="Compact"/>
            </w:pPr>
            <w:r>
              <w:t xml:space="preserve">Social media and messaging: attribution proof strategies</w:t>
            </w:r>
          </w:p>
        </w:tc>
        <w:tc>
          <w:tcPr/>
          <w:p>
            <w:pPr>
              <w:pStyle w:val="Compact"/>
              <w:jc w:val="right"/>
            </w:pPr>
            <w:r>
              <w:t xml:space="preserve">500</w:t>
            </w:r>
          </w:p>
        </w:tc>
      </w:tr>
      <w:tr>
        <w:tc>
          <w:tcPr/>
          <w:p>
            <w:pPr>
              <w:pStyle w:val="Compact"/>
            </w:pPr>
            <w:r>
              <w:t xml:space="preserve">Best evidence and duplicates in digital context</w:t>
            </w:r>
          </w:p>
        </w:tc>
        <w:tc>
          <w:tcPr/>
          <w:p>
            <w:pPr>
              <w:pStyle w:val="Compact"/>
              <w:jc w:val="right"/>
            </w:pPr>
            <w:r>
              <w:t xml:space="preserve">350</w:t>
            </w:r>
          </w:p>
        </w:tc>
      </w:tr>
      <w:tr>
        <w:tc>
          <w:tcPr/>
          <w:p>
            <w:pPr>
              <w:pStyle w:val="Compact"/>
            </w:pPr>
            <w:r>
              <w:t xml:space="preserve">Technical and privacy constraints in family-court use</w:t>
            </w:r>
          </w:p>
        </w:tc>
        <w:tc>
          <w:tcPr/>
          <w:p>
            <w:pPr>
              <w:pStyle w:val="Compact"/>
              <w:jc w:val="right"/>
            </w:pPr>
            <w:r>
              <w:t xml:space="preserve">350</w:t>
            </w:r>
          </w:p>
        </w:tc>
      </w:tr>
      <w:tr>
        <w:tc>
          <w:tcPr/>
          <w:p>
            <w:pPr>
              <w:pStyle w:val="Compact"/>
            </w:pPr>
            <w:r>
              <w:t xml:space="preserve">Toolkit: checklists, motion language, workflow</w:t>
            </w:r>
          </w:p>
        </w:tc>
        <w:tc>
          <w:tcPr/>
          <w:p>
            <w:pPr>
              <w:pStyle w:val="Compact"/>
              <w:jc w:val="right"/>
            </w:pPr>
            <w:r>
              <w:t xml:space="preserve">450</w:t>
            </w:r>
          </w:p>
        </w:tc>
      </w:tr>
    </w:tbl>
    <w:p>
      <w:pPr>
        <w:pStyle w:val="BodyText"/>
      </w:pPr>
      <w:r>
        <w:rPr>
          <w:b/>
          <w:bCs/>
        </w:rPr>
        <w:t xml:space="preserve">Primary sources to cite</w:t>
      </w:r>
      <w:r>
        <w:br/>
      </w:r>
      <w:r>
        <w:t xml:space="preserve">- Fed. R. Evid. 401–403; 901–902; 1001–1003; 801–803.</w:t>
      </w:r>
      <w:r>
        <w:t xml:space="preserve"> </w:t>
      </w:r>
      <w:hyperlink r:id="rId22">
        <w:r>
          <w:rPr>
            <w:rStyle w:val="Hyperlink"/>
          </w:rPr>
          <w:t xml:space="preserve">[15]</w:t>
        </w:r>
      </w:hyperlink>
      <w:r>
        <w:br/>
      </w:r>
      <w:r>
        <w:t xml:space="preserve">-</w:t>
      </w:r>
      <w:r>
        <w:t xml:space="preserve"> </w:t>
      </w:r>
      <w:r>
        <w:rPr>
          <w:i/>
          <w:iCs/>
        </w:rPr>
        <w:t xml:space="preserve">Lorraine v. Markel</w:t>
      </w:r>
      <w:r>
        <w:t xml:space="preserve">, 241 F.R.D. 534 (D. Md. 2007).</w:t>
      </w:r>
      <w:r>
        <w:t xml:space="preserve"> </w:t>
      </w:r>
      <w:hyperlink r:id="rId26">
        <w:r>
          <w:rPr>
            <w:rStyle w:val="Hyperlink"/>
          </w:rPr>
          <w:t xml:space="preserve">[17]</w:t>
        </w:r>
      </w:hyperlink>
      <w:r>
        <w:br/>
      </w:r>
      <w:r>
        <w:t xml:space="preserve">-</w:t>
      </w:r>
      <w:r>
        <w:t xml:space="preserve"> </w:t>
      </w:r>
      <w:r>
        <w:rPr>
          <w:i/>
          <w:iCs/>
        </w:rPr>
        <w:t xml:space="preserve">United States v. Zhyltsou (Vayner)</w:t>
      </w:r>
      <w:r>
        <w:t xml:space="preserve">, 769 F.3d 125 (2d Cir. 2014).</w:t>
      </w:r>
      <w:r>
        <w:t xml:space="preserve"> </w:t>
      </w:r>
      <w:hyperlink r:id="rId28">
        <w:r>
          <w:rPr>
            <w:rStyle w:val="Hyperlink"/>
          </w:rPr>
          <w:t xml:space="preserve">[13]</w:t>
        </w:r>
      </w:hyperlink>
      <w:r>
        <w:br/>
      </w:r>
      <w:r>
        <w:t xml:space="preserve">-</w:t>
      </w:r>
      <w:r>
        <w:t xml:space="preserve"> </w:t>
      </w:r>
      <w:r>
        <w:rPr>
          <w:i/>
          <w:iCs/>
        </w:rPr>
        <w:t xml:space="preserve">United States v. Browne</w:t>
      </w:r>
      <w:r>
        <w:t xml:space="preserve">, 834 F.3d 403 (3d Cir. 2016).</w:t>
      </w:r>
      <w:r>
        <w:t xml:space="preserve"> </w:t>
      </w:r>
      <w:hyperlink r:id="rId32">
        <w:r>
          <w:rPr>
            <w:rStyle w:val="Hyperlink"/>
          </w:rPr>
          <w:t xml:space="preserve">[19]</w:t>
        </w:r>
      </w:hyperlink>
      <w:r>
        <w:br/>
      </w:r>
      <w:r>
        <w:t xml:space="preserve">-</w:t>
      </w:r>
      <w:r>
        <w:t xml:space="preserve"> </w:t>
      </w:r>
      <w:r>
        <w:rPr>
          <w:i/>
          <w:iCs/>
        </w:rPr>
        <w:t xml:space="preserve">Griffin v. State</w:t>
      </w:r>
      <w:r>
        <w:t xml:space="preserve">, 419 Md. 343 (2011).</w:t>
      </w:r>
      <w:r>
        <w:t xml:space="preserve"> </w:t>
      </w:r>
      <w:hyperlink r:id="rId31">
        <w:r>
          <w:rPr>
            <w:rStyle w:val="Hyperlink"/>
          </w:rPr>
          <w:t xml:space="preserve">[18]</w:t>
        </w:r>
      </w:hyperlink>
    </w:p>
    <w:p>
      <w:pPr>
        <w:pStyle w:val="BodyText"/>
      </w:pPr>
      <w:r>
        <w:rPr>
          <w:b/>
          <w:bCs/>
        </w:rPr>
        <w:t xml:space="preserve">Key secondary sources</w:t>
      </w:r>
      <w:r>
        <w:br/>
      </w:r>
      <w:r>
        <w:t xml:space="preserve">- National Institute of Justice</w:t>
      </w:r>
      <w:hyperlink r:id="rId26">
        <w:r>
          <w:rPr>
            <w:rStyle w:val="Hyperlink"/>
          </w:rPr>
          <w:t xml:space="preserve">[29]</w:t>
        </w:r>
      </w:hyperlink>
      <w:r>
        <w:t xml:space="preserve">,</w:t>
      </w:r>
      <w:r>
        <w:t xml:space="preserve"> </w:t>
      </w:r>
      <w:r>
        <w:rPr>
          <w:i/>
          <w:iCs/>
        </w:rPr>
        <w:t xml:space="preserve">Electronic Crime Scene Investigation: A Guide for First Responders</w:t>
      </w:r>
      <w:r>
        <w:t xml:space="preserve"> </w:t>
      </w:r>
      <w:r>
        <w:t xml:space="preserve">(institutional collection/preservation guidance relevant by analogy for civil litigants seeking defensible integrity practices).</w:t>
      </w:r>
      <w:r>
        <w:t xml:space="preserve"> </w:t>
      </w:r>
      <w:hyperlink r:id="rId39">
        <w:r>
          <w:rPr>
            <w:rStyle w:val="Hyperlink"/>
          </w:rPr>
          <w:t xml:space="preserve">[30]</w:t>
        </w:r>
      </w:hyperlink>
      <w:r>
        <w:br/>
      </w:r>
      <w:r>
        <w:t xml:space="preserve">- National Institute of Standards and Technology</w:t>
      </w:r>
      <w:hyperlink r:id="rId32">
        <w:r>
          <w:rPr>
            <w:rStyle w:val="Hyperlink"/>
          </w:rPr>
          <w:t xml:space="preserve">[31]</w:t>
        </w:r>
      </w:hyperlink>
      <w:r>
        <w:t xml:space="preserve">, SP 800-101 Rev. 1 (mobile device forensics procedures; useful to understand how proper acquisition and reporting are structured).</w:t>
      </w:r>
      <w:r>
        <w:t xml:space="preserve"> </w:t>
      </w:r>
      <w:hyperlink r:id="rId40">
        <w:r>
          <w:rPr>
            <w:rStyle w:val="Hyperlink"/>
          </w:rPr>
          <w:t xml:space="preserve">[32]</w:t>
        </w:r>
      </w:hyperlink>
    </w:p>
    <w:p>
      <w:pPr>
        <w:pStyle w:val="BodyText"/>
      </w:pPr>
      <w:r>
        <w:rPr>
          <w:b/>
          <w:bCs/>
        </w:rPr>
        <w:t xml:space="preserve">Research notes</w:t>
      </w:r>
      <w:r>
        <w:br/>
      </w:r>
      <w:r>
        <w:t xml:space="preserve">Current law: Many courts allow digital evidence using traditional rules; the “digital” part changes the</w:t>
      </w:r>
      <w:r>
        <w:t xml:space="preserve"> </w:t>
      </w:r>
      <w:r>
        <w:rPr>
          <w:i/>
          <w:iCs/>
        </w:rPr>
        <w:t xml:space="preserve">facts</w:t>
      </w:r>
      <w:r>
        <w:t xml:space="preserve"> </w:t>
      </w:r>
      <w:r>
        <w:t xml:space="preserve">(spoofing, metadata, volatility), not the</w:t>
      </w:r>
      <w:r>
        <w:t xml:space="preserve"> </w:t>
      </w:r>
      <w:r>
        <w:rPr>
          <w:i/>
          <w:iCs/>
        </w:rPr>
        <w:t xml:space="preserve">doctrine</w:t>
      </w:r>
      <w:r>
        <w:t xml:space="preserve">.</w:t>
      </w:r>
      <w:r>
        <w:t xml:space="preserve"> </w:t>
      </w:r>
      <w:hyperlink r:id="rId26">
        <w:r>
          <w:rPr>
            <w:rStyle w:val="Hyperlink"/>
          </w:rPr>
          <w:t xml:space="preserve">[7]</w:t>
        </w:r>
      </w:hyperlink>
      <w:r>
        <w:br/>
      </w:r>
      <w:r>
        <w:t xml:space="preserve">Major conflicts: Courts vary on how much attribution proof is required to treat a social media chat log as authored by a party;</w:t>
      </w:r>
      <w:r>
        <w:t xml:space="preserve"> </w:t>
      </w:r>
      <w:r>
        <w:rPr>
          <w:i/>
          <w:iCs/>
        </w:rPr>
        <w:t xml:space="preserve">Browne</w:t>
      </w:r>
      <w:r>
        <w:t xml:space="preserve"> </w:t>
      </w:r>
      <w:r>
        <w:t xml:space="preserve">illustrates a fact-intensive approach where abundant linking evidence can satisfy authentication.</w:t>
      </w:r>
      <w:r>
        <w:t xml:space="preserve"> </w:t>
      </w:r>
      <w:hyperlink r:id="rId32">
        <w:r>
          <w:rPr>
            <w:rStyle w:val="Hyperlink"/>
          </w:rPr>
          <w:t xml:space="preserve">[19]</w:t>
        </w:r>
      </w:hyperlink>
      <w:r>
        <w:br/>
      </w:r>
      <w:r>
        <w:t xml:space="preserve">Practical implications: Litigation choices drive admissibility. If you choose “screenshot only,” you are also choosing to litigate “how do we know it wasn’t fabricated?” If you choose provider records or device-forensic extraction, you trade cost and time for robustness.</w:t>
      </w:r>
      <w:r>
        <w:t xml:space="preserve"> </w:t>
      </w:r>
      <w:hyperlink r:id="rId39">
        <w:r>
          <w:rPr>
            <w:rStyle w:val="Hyperlink"/>
          </w:rPr>
          <w:t xml:space="preserve">[33]</w:t>
        </w:r>
      </w:hyperlink>
    </w:p>
    <w:p>
      <w:pPr>
        <w:pStyle w:val="BodyText"/>
      </w:pPr>
      <w:r>
        <w:rPr>
          <w:b/>
          <w:bCs/>
        </w:rPr>
        <w:t xml:space="preserve">Recommended canonical citations with annotation</w:t>
      </w:r>
      <w:r>
        <w:br/>
      </w:r>
      <w:r>
        <w:t xml:space="preserve">- Fed. R. Evid. 1002 &amp; 1003 — Best evidence/original writing and duplicates; frames disputes about printouts vs. native files.</w:t>
      </w:r>
      <w:r>
        <w:t xml:space="preserve"> </w:t>
      </w:r>
      <w:hyperlink r:id="rId22">
        <w:r>
          <w:rPr>
            <w:rStyle w:val="Hyperlink"/>
          </w:rPr>
          <w:t xml:space="preserve">[15]</w:t>
        </w:r>
      </w:hyperlink>
      <w:r>
        <w:br/>
      </w:r>
      <w:r>
        <w:t xml:space="preserve">-</w:t>
      </w:r>
      <w:r>
        <w:t xml:space="preserve"> </w:t>
      </w:r>
      <w:r>
        <w:rPr>
          <w:i/>
          <w:iCs/>
        </w:rPr>
        <w:t xml:space="preserve">Lorraine</w:t>
      </w:r>
      <w:r>
        <w:t xml:space="preserve">, 241 F.R.D. 534 — Still the best single opinion structuring digital admissibility analysis.</w:t>
      </w:r>
      <w:r>
        <w:t xml:space="preserve"> </w:t>
      </w:r>
      <w:hyperlink r:id="rId26">
        <w:r>
          <w:rPr>
            <w:rStyle w:val="Hyperlink"/>
          </w:rPr>
          <w:t xml:space="preserve">[17]</w:t>
        </w:r>
      </w:hyperlink>
      <w:r>
        <w:br/>
      </w:r>
      <w:r>
        <w:t xml:space="preserve">-</w:t>
      </w:r>
      <w:r>
        <w:t xml:space="preserve"> </w:t>
      </w:r>
      <w:r>
        <w:rPr>
          <w:i/>
          <w:iCs/>
        </w:rPr>
        <w:t xml:space="preserve">Browne</w:t>
      </w:r>
      <w:r>
        <w:t xml:space="preserve">, 834 F.3d 403 — Illustrative for messaging evidence authentication and attribution.</w:t>
      </w:r>
      <w:r>
        <w:t xml:space="preserve"> </w:t>
      </w:r>
      <w:hyperlink r:id="rId32">
        <w:r>
          <w:rPr>
            <w:rStyle w:val="Hyperlink"/>
          </w:rPr>
          <w:t xml:space="preserve">[19]</w:t>
        </w:r>
      </w:hyperlink>
    </w:p>
    <w:p>
      <w:pPr>
        <w:pStyle w:val="BodyText"/>
      </w:pPr>
      <w:r>
        <w:rPr>
          <w:b/>
          <w:bCs/>
        </w:rPr>
        <w:t xml:space="preserve">Evidentiary checklist</w:t>
      </w:r>
      <w:r>
        <w:t xml:space="preserve"> </w:t>
      </w:r>
      <w:r>
        <w:t xml:space="preserve">(digital exhibit intake)</w:t>
      </w:r>
      <w:r>
        <w:t xml:space="preserve"> </w:t>
      </w:r>
      <w:r>
        <w:t xml:space="preserve">- Identify the proposition: what fact does the exhibit prove, and is it disputed? (Rule 401/403).</w:t>
      </w:r>
      <w:r>
        <w:t xml:space="preserve"> </w:t>
      </w:r>
      <w:hyperlink r:id="rId22">
        <w:r>
          <w:rPr>
            <w:rStyle w:val="Hyperlink"/>
          </w:rPr>
          <w:t xml:space="preserve">[15]</w:t>
        </w:r>
      </w:hyperlink>
      <w:r>
        <w:br/>
      </w:r>
      <w:r>
        <w:t xml:space="preserve">- Choose an exhibit format: native/export/provider record/screenshot; document why.</w:t>
      </w:r>
      <w:r>
        <w:br/>
      </w:r>
      <w:r>
        <w:t xml:space="preserve">- Preserve provenance: device/account/source, who collected it, when, how; retain original files where feasible.</w:t>
      </w:r>
      <w:r>
        <w:t xml:space="preserve"> </w:t>
      </w:r>
      <w:hyperlink r:id="rId39">
        <w:r>
          <w:rPr>
            <w:rStyle w:val="Hyperlink"/>
          </w:rPr>
          <w:t xml:space="preserve">[33]</w:t>
        </w:r>
      </w:hyperlink>
      <w:r>
        <w:br/>
      </w:r>
      <w:r>
        <w:t xml:space="preserve">- Authentication plan: witness with knowledge and/or corroboration; anticipate spoofing.</w:t>
      </w:r>
      <w:r>
        <w:t xml:space="preserve"> </w:t>
      </w:r>
      <w:hyperlink r:id="rId22">
        <w:r>
          <w:rPr>
            <w:rStyle w:val="Hyperlink"/>
          </w:rPr>
          <w:t xml:space="preserve">[34]</w:t>
        </w:r>
      </w:hyperlink>
      <w:r>
        <w:br/>
      </w:r>
      <w:r>
        <w:t xml:space="preserve">- Hearsay plan: identify each out-of-court statement and exception/non-hearsay theory.</w:t>
      </w:r>
      <w:r>
        <w:t xml:space="preserve"> </w:t>
      </w:r>
      <w:hyperlink r:id="rId22">
        <w:r>
          <w:rPr>
            <w:rStyle w:val="Hyperlink"/>
          </w:rPr>
          <w:t xml:space="preserve">[15]</w:t>
        </w:r>
      </w:hyperlink>
      <w:r>
        <w:br/>
      </w:r>
      <w:r>
        <w:t xml:space="preserve">- Originals/duplicates plan: document whether the exhibit is a duplicate/printout and why admissible.</w:t>
      </w:r>
      <w:r>
        <w:t xml:space="preserve"> </w:t>
      </w:r>
      <w:hyperlink r:id="rId22">
        <w:r>
          <w:rPr>
            <w:rStyle w:val="Hyperlink"/>
          </w:rPr>
          <w:t xml:space="preserve">[15]</w:t>
        </w:r>
      </w:hyperlink>
    </w:p>
    <w:p>
      <w:pPr>
        <w:pStyle w:val="BodyText"/>
      </w:pPr>
      <w:r>
        <w:rPr>
          <w:b/>
          <w:bCs/>
        </w:rPr>
        <w:t xml:space="preserve">Sample motion language (generic)</w:t>
      </w:r>
      <w:r>
        <w:br/>
      </w:r>
      <w:r>
        <w:rPr>
          <w:i/>
          <w:iCs/>
        </w:rPr>
        <w:t xml:space="preserve">Motion in Limine to Exclude Digital Exhibit for Lack of Authentication</w:t>
      </w:r>
      <w:r>
        <w:br/>
      </w:r>
      <w:r>
        <w:t xml:space="preserve">The moving party seeks an order excluding Exhibit __ (purported screenshot/printout of __) because the proponent has not offered evidence sufficient to support a finding that the exhibit is what the proponent claims it to be. The exhibit is not self-authenticating, no witness with knowledge establishes the source or extraction method, and the proponent offers no corroborating evidence linking the exhibit to the alleged author or account. Admission would invite speculation and unfair prejudice/confusion.</w:t>
      </w:r>
      <w:r>
        <w:t xml:space="preserve"> </w:t>
      </w:r>
      <w:hyperlink r:id="rId22">
        <w:r>
          <w:rPr>
            <w:rStyle w:val="Hyperlink"/>
          </w:rPr>
          <w:t xml:space="preserve">[34]</w:t>
        </w:r>
      </w:hyperlink>
    </w:p>
    <w:p>
      <w:pPr>
        <w:pStyle w:val="BodyText"/>
      </w:pPr>
      <w:r>
        <w:rPr>
          <w:b/>
          <w:bCs/>
        </w:rPr>
        <w:t xml:space="preserve">Best-practice workflow (mermaid)</w:t>
      </w:r>
      <w:r>
        <w:br/>
      </w:r>
    </w:p>
    <w:p>
      <w:pPr>
        <w:pStyle w:val="SourceCode"/>
      </w:pPr>
      <w:r>
        <w:rPr>
          <w:rStyle w:val="VerbatimChar"/>
        </w:rPr>
        <w:t xml:space="preserve">flowchart TD</w:t>
      </w:r>
      <w:r>
        <w:br/>
      </w:r>
      <w:r>
        <w:rPr>
          <w:rStyle w:val="VerbatimChar"/>
        </w:rPr>
        <w:t xml:space="preserve">  A[Identify fact to prove] --&gt; B[Select best available source: native/export/provider record/screenshot]</w:t>
      </w:r>
      <w:r>
        <w:br/>
      </w:r>
      <w:r>
        <w:rPr>
          <w:rStyle w:val="VerbatimChar"/>
        </w:rPr>
        <w:t xml:space="preserve">  B --&gt; C[Preserve original + document collection steps]</w:t>
      </w:r>
      <w:r>
        <w:br/>
      </w:r>
      <w:r>
        <w:rPr>
          <w:rStyle w:val="VerbatimChar"/>
        </w:rPr>
        <w:t xml:space="preserve">  C --&gt; D[Authenticate: witness + corroboration + integrity indicators]</w:t>
      </w:r>
      <w:r>
        <w:br/>
      </w:r>
      <w:r>
        <w:rPr>
          <w:rStyle w:val="VerbatimChar"/>
        </w:rPr>
        <w:t xml:space="preserve">  D --&gt; E[Hearsay analysis: each statement + exception/nonhearsay]</w:t>
      </w:r>
      <w:r>
        <w:br/>
      </w:r>
      <w:r>
        <w:rPr>
          <w:rStyle w:val="VerbatimChar"/>
        </w:rPr>
        <w:t xml:space="preserve">  E --&gt; F[Best evidence/duplicates analysis]</w:t>
      </w:r>
      <w:r>
        <w:br/>
      </w:r>
      <w:r>
        <w:rPr>
          <w:rStyle w:val="VerbatimChar"/>
        </w:rPr>
        <w:t xml:space="preserve">  F --&gt; G[403/ discretionary screening: prejudice, confusion, time]</w:t>
      </w:r>
      <w:r>
        <w:br/>
      </w:r>
      <w:r>
        <w:rPr>
          <w:rStyle w:val="VerbatimChar"/>
        </w:rPr>
        <w:t xml:space="preserve">  G --&gt; H[Prepare exhibit packet: labels, index, stipulations, foundation script]</w:t>
      </w:r>
      <w:r>
        <w:br/>
      </w:r>
      <w:r>
        <w:rPr>
          <w:rStyle w:val="VerbatimChar"/>
        </w:rPr>
        <w:t xml:space="preserve">  H --&gt; I[File/serve per court rules; bring original device/files if ordered]</w:t>
      </w:r>
    </w:p>
    <w:p>
      <w:r>
        <w:pict>
          <v:rect style="width:0;height:1.5pt" o:hralign="center" o:hrstd="t" o:hr="t"/>
        </w:pict>
      </w:r>
    </w:p>
    <w:bookmarkEnd w:id="41"/>
    <w:bookmarkStart w:id="49" w:name="ai-hallucinations-in-legal-filings"/>
    <w:p>
      <w:pPr>
        <w:pStyle w:val="Heading3"/>
      </w:pPr>
      <w:r>
        <w:t xml:space="preserve">AI Hallucinations in Legal Filings</w:t>
      </w:r>
    </w:p>
    <w:p>
      <w:pPr>
        <w:pStyle w:val="FirstParagraph"/>
      </w:pPr>
      <w:r>
        <w:rPr>
          <w:b/>
          <w:bCs/>
        </w:rPr>
        <w:t xml:space="preserve">SEO title</w:t>
      </w:r>
      <w:r>
        <w:t xml:space="preserve">: AI Hallucinations in Legal Filings: Duties of Candor, Competence, and Sanctions Risk</w:t>
      </w:r>
      <w:r>
        <w:br/>
      </w:r>
      <w:r>
        <w:rPr>
          <w:b/>
          <w:bCs/>
        </w:rPr>
        <w:t xml:space="preserve">Abstract</w:t>
      </w:r>
      <w:r>
        <w:t xml:space="preserve">: This article surveys the growing body of U.S. judicial responses to filings containing AI-fabricated citations, quotations, and factual assertions. It synthesizes sanctions frameworks under Rule 11, appellate disciplinary authority, and professional-responsibility guidance, with a focus on practical verification protocols and motion practice.</w:t>
      </w:r>
      <w:r>
        <w:t xml:space="preserve"> </w:t>
      </w:r>
      <w:hyperlink r:id="rId42">
        <w:r>
          <w:rPr>
            <w:rStyle w:val="Hyperlink"/>
          </w:rPr>
          <w:t xml:space="preserve">[35]</w:t>
        </w:r>
      </w:hyperlink>
      <w:r>
        <w:br/>
      </w:r>
      <w:r>
        <w:rPr>
          <w:b/>
          <w:bCs/>
        </w:rPr>
        <w:t xml:space="preserve">Suggested metadata/tags</w:t>
      </w:r>
      <w:r>
        <w:t xml:space="preserve">: generative AI; hallucinations; Rule 11; sanctions; duty of candor; competence; legal ethics; verification; citations</w:t>
      </w:r>
    </w:p>
    <w:p>
      <w:pPr>
        <w:pStyle w:val="BodyText"/>
      </w:pPr>
      <w:r>
        <w:rPr>
          <w:b/>
          <w:bCs/>
        </w:rPr>
        <w:t xml:space="preserve">Executive summary</w:t>
      </w:r>
      <w:r>
        <w:br/>
      </w:r>
      <w:r>
        <w:t xml:space="preserve">“Hallucinations” in legal filings—fabricated cases, misquoted authority, and invented facts—have moved from anecdote to recurrent judicial problem. In February 2026, the Fifth Circuit imposed monetary sanctions after determining counsel used AI to draft substantial portions of a brief and failed to verify accuracy, explicitly treating the issue as central to the relationship between law and technology.</w:t>
      </w:r>
      <w:r>
        <w:t xml:space="preserve"> </w:t>
      </w:r>
      <w:hyperlink r:id="rId42">
        <w:r>
          <w:rPr>
            <w:rStyle w:val="Hyperlink"/>
          </w:rPr>
          <w:t xml:space="preserve">[36]</w:t>
        </w:r>
      </w:hyperlink>
      <w:r>
        <w:br/>
      </w:r>
      <w:r>
        <w:t xml:space="preserve">Ethics authorities now largely treat AI use as permitted but supervised. The ABA’s Formal Opinion 512 frames generative AI as a tool that lawyers may use only while fully satisfying duties of competence, confidentiality, meritorious claims, candor toward the tribunal, and reasonable fees—explicitly flagging hallucination risk and the need for independent verification.</w:t>
      </w:r>
      <w:r>
        <w:t xml:space="preserve"> </w:t>
      </w:r>
      <w:hyperlink r:id="rId43">
        <w:r>
          <w:rPr>
            <w:rStyle w:val="Hyperlink"/>
          </w:rPr>
          <w:t xml:space="preserve">[37]</w:t>
        </w:r>
      </w:hyperlink>
      <w:r>
        <w:br/>
      </w:r>
      <w:r>
        <w:t xml:space="preserve">Operationally, the only stable mitigation is a verification pipeline: (1) validate every citation, quote, and record reference against primary sources; (2) document the verification; (3) correct promptly; and (4) treat AI output as untrusted draft text, never as authority. Where AI assistance is used in pro se filings, courts have also shown willingness to impose costs or sanctions for fabricated citations.</w:t>
      </w:r>
      <w:r>
        <w:t xml:space="preserve"> </w:t>
      </w:r>
      <w:hyperlink r:id="rId42">
        <w:r>
          <w:rPr>
            <w:rStyle w:val="Hyperlink"/>
          </w:rPr>
          <w:t xml:space="preserve">[38]</w:t>
        </w:r>
      </w:hyperlink>
    </w:p>
    <w:p>
      <w:pPr>
        <w:pStyle w:val="BodyText"/>
      </w:pPr>
      <w:r>
        <w:rPr>
          <w:b/>
          <w:bCs/>
        </w:rPr>
        <w:t xml:space="preserve">Proposed detailed outline with target word counts (3,200–3,800 words)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jc w:val="right"/>
            </w:pPr>
            <w:r>
              <w:t xml:space="preserve">Target words</w:t>
            </w:r>
          </w:p>
        </w:tc>
      </w:tr>
      <w:tr>
        <w:tc>
          <w:tcPr/>
          <w:p>
            <w:pPr>
              <w:pStyle w:val="Compact"/>
            </w:pPr>
            <w:r>
              <w:t xml:space="preserve">Executive summary</w:t>
            </w:r>
          </w:p>
        </w:tc>
        <w:tc>
          <w:tcPr/>
          <w:p>
            <w:pPr>
              <w:pStyle w:val="Compact"/>
              <w:jc w:val="right"/>
            </w:pPr>
            <w:r>
              <w:t xml:space="preserve">250</w:t>
            </w:r>
          </w:p>
        </w:tc>
      </w:tr>
      <w:tr>
        <w:tc>
          <w:tcPr/>
          <w:p>
            <w:pPr>
              <w:pStyle w:val="Compact"/>
            </w:pPr>
            <w:r>
              <w:t xml:space="preserve">What “hallucination” means in litigation and why it happens</w:t>
            </w:r>
          </w:p>
        </w:tc>
        <w:tc>
          <w:tcPr/>
          <w:p>
            <w:pPr>
              <w:pStyle w:val="Compact"/>
              <w:jc w:val="right"/>
            </w:pPr>
            <w:r>
              <w:t xml:space="preserve">450</w:t>
            </w:r>
          </w:p>
        </w:tc>
      </w:tr>
      <w:tr>
        <w:tc>
          <w:tcPr/>
          <w:p>
            <w:pPr>
              <w:pStyle w:val="Compact"/>
            </w:pPr>
            <w:r>
              <w:t xml:space="preserve">Sanctions and discipline framework: Rule 11, FRAP 46, inherent power</w:t>
            </w:r>
          </w:p>
        </w:tc>
        <w:tc>
          <w:tcPr/>
          <w:p>
            <w:pPr>
              <w:pStyle w:val="Compact"/>
              <w:jc w:val="right"/>
            </w:pPr>
            <w:r>
              <w:t xml:space="preserve">700</w:t>
            </w:r>
          </w:p>
        </w:tc>
      </w:tr>
      <w:tr>
        <w:tc>
          <w:tcPr/>
          <w:p>
            <w:pPr>
              <w:pStyle w:val="Compact"/>
            </w:pPr>
            <w:r>
              <w:t xml:space="preserve">Leading decisions and trends (trial + appellate)</w:t>
            </w:r>
          </w:p>
        </w:tc>
        <w:tc>
          <w:tcPr/>
          <w:p>
            <w:pPr>
              <w:pStyle w:val="Compact"/>
              <w:jc w:val="right"/>
            </w:pPr>
            <w:r>
              <w:t xml:space="preserve">650</w:t>
            </w:r>
          </w:p>
        </w:tc>
      </w:tr>
      <w:tr>
        <w:tc>
          <w:tcPr/>
          <w:p>
            <w:pPr>
              <w:pStyle w:val="Compact"/>
            </w:pPr>
            <w:r>
              <w:t xml:space="preserve">Ethics guidance: competence, confidentiality, supervision, fees</w:t>
            </w:r>
          </w:p>
        </w:tc>
        <w:tc>
          <w:tcPr/>
          <w:p>
            <w:pPr>
              <w:pStyle w:val="Compact"/>
              <w:jc w:val="right"/>
            </w:pPr>
            <w:r>
              <w:t xml:space="preserve">650</w:t>
            </w:r>
          </w:p>
        </w:tc>
      </w:tr>
      <w:tr>
        <w:tc>
          <w:tcPr/>
          <w:p>
            <w:pPr>
              <w:pStyle w:val="Compact"/>
            </w:pPr>
            <w:r>
              <w:t xml:space="preserve">Litigation practice: verification protocols; declarations/certifications</w:t>
            </w:r>
          </w:p>
        </w:tc>
        <w:tc>
          <w:tcPr/>
          <w:p>
            <w:pPr>
              <w:pStyle w:val="Compact"/>
              <w:jc w:val="right"/>
            </w:pPr>
            <w:r>
              <w:t xml:space="preserve">550</w:t>
            </w:r>
          </w:p>
        </w:tc>
      </w:tr>
      <w:tr>
        <w:tc>
          <w:tcPr/>
          <w:p>
            <w:pPr>
              <w:pStyle w:val="Compact"/>
            </w:pPr>
            <w:r>
              <w:t xml:space="preserve">Motions and remediation: correcting the record; opposing hallucinated filings</w:t>
            </w:r>
          </w:p>
        </w:tc>
        <w:tc>
          <w:tcPr/>
          <w:p>
            <w:pPr>
              <w:pStyle w:val="Compact"/>
              <w:jc w:val="right"/>
            </w:pPr>
            <w:r>
              <w:t xml:space="preserve">400</w:t>
            </w:r>
          </w:p>
        </w:tc>
      </w:tr>
      <w:tr>
        <w:tc>
          <w:tcPr/>
          <w:p>
            <w:pPr>
              <w:pStyle w:val="Compact"/>
            </w:pPr>
            <w:r>
              <w:t xml:space="preserve">Open issues: disclosure mandates; AI tool audits; malpractice/insurance</w:t>
            </w:r>
          </w:p>
        </w:tc>
        <w:tc>
          <w:tcPr/>
          <w:p>
            <w:pPr>
              <w:pStyle w:val="Compact"/>
              <w:jc w:val="right"/>
            </w:pPr>
            <w:r>
              <w:t xml:space="preserve">300</w:t>
            </w:r>
          </w:p>
        </w:tc>
      </w:tr>
    </w:tbl>
    <w:p>
      <w:pPr>
        <w:pStyle w:val="BodyText"/>
      </w:pPr>
      <w:r>
        <w:rPr>
          <w:b/>
          <w:bCs/>
        </w:rPr>
        <w:t xml:space="preserve">Primary sources to cite</w:t>
      </w:r>
      <w:r>
        <w:br/>
      </w:r>
      <w:r>
        <w:t xml:space="preserve">- Fifth Circuit sanctions order (Feb. 18, 2026) (AI-drafted brief; failure to verify; sanction; discussion of proposed rule and reliance on existing rules).</w:t>
      </w:r>
      <w:r>
        <w:t xml:space="preserve"> </w:t>
      </w:r>
      <w:hyperlink r:id="rId42">
        <w:r>
          <w:rPr>
            <w:rStyle w:val="Hyperlink"/>
          </w:rPr>
          <w:t xml:space="preserve">[36]</w:t>
        </w:r>
      </w:hyperlink>
      <w:r>
        <w:br/>
      </w:r>
      <w:r>
        <w:t xml:space="preserve">- Fed. R. Civ. P. 11 (attorney certification duties and sanctions).</w:t>
      </w:r>
      <w:r>
        <w:t xml:space="preserve"> </w:t>
      </w:r>
      <w:hyperlink r:id="rId21">
        <w:r>
          <w:rPr>
            <w:rStyle w:val="Hyperlink"/>
          </w:rPr>
          <w:t xml:space="preserve">[16]</w:t>
        </w:r>
      </w:hyperlink>
      <w:r>
        <w:br/>
      </w:r>
      <w:r>
        <w:t xml:space="preserve">- ABA Formal Opinion 512 (July 29, 2024) (duties implicated by GAI; hallucinations; verification expectations).</w:t>
      </w:r>
      <w:r>
        <w:t xml:space="preserve"> </w:t>
      </w:r>
      <w:hyperlink r:id="rId43">
        <w:r>
          <w:rPr>
            <w:rStyle w:val="Hyperlink"/>
          </w:rPr>
          <w:t xml:space="preserve">[37]</w:t>
        </w:r>
      </w:hyperlink>
      <w:r>
        <w:br/>
      </w:r>
      <w:r>
        <w:t xml:space="preserve">-</w:t>
      </w:r>
      <w:r>
        <w:t xml:space="preserve"> </w:t>
      </w:r>
      <w:r>
        <w:rPr>
          <w:i/>
          <w:iCs/>
        </w:rPr>
        <w:t xml:space="preserve">Mata v. Avianca, Inc.</w:t>
      </w:r>
      <w:r>
        <w:t xml:space="preserve">, 678 F. Supp. 3d 443 (S.D.N.Y. 2023) (sanctions for fake AI-generated case citations; canonical early trial-court exemplar).</w:t>
      </w:r>
      <w:r>
        <w:t xml:space="preserve"> </w:t>
      </w:r>
      <w:hyperlink r:id="rId44">
        <w:r>
          <w:rPr>
            <w:rStyle w:val="Hyperlink"/>
          </w:rPr>
          <w:t xml:space="preserve">[39]</w:t>
        </w:r>
      </w:hyperlink>
      <w:r>
        <w:br/>
      </w:r>
      <w:r>
        <w:t xml:space="preserve">- State bar ethics guidance: The Florida Bar</w:t>
      </w:r>
      <w:hyperlink r:id="rId21">
        <w:r>
          <w:rPr>
            <w:rStyle w:val="Hyperlink"/>
          </w:rPr>
          <w:t xml:space="preserve">[40]</w:t>
        </w:r>
      </w:hyperlink>
      <w:r>
        <w:t xml:space="preserve"> </w:t>
      </w:r>
      <w:r>
        <w:t xml:space="preserve">Opinion 24-1 (competence, confidentiality, billing, advertising issues in GAI).</w:t>
      </w:r>
      <w:r>
        <w:t xml:space="preserve"> </w:t>
      </w:r>
      <w:hyperlink r:id="rId45">
        <w:r>
          <w:rPr>
            <w:rStyle w:val="Hyperlink"/>
          </w:rPr>
          <w:t xml:space="preserve">[41]</w:t>
        </w:r>
      </w:hyperlink>
      <w:r>
        <w:br/>
      </w:r>
      <w:r>
        <w:t xml:space="preserve">- State bar guidance (California) on practical GAI use and confidentiality/security.</w:t>
      </w:r>
      <w:r>
        <w:t xml:space="preserve"> </w:t>
      </w:r>
      <w:hyperlink r:id="rId46">
        <w:r>
          <w:rPr>
            <w:rStyle w:val="Hyperlink"/>
          </w:rPr>
          <w:t xml:space="preserve">[42]</w:t>
        </w:r>
      </w:hyperlink>
    </w:p>
    <w:p>
      <w:pPr>
        <w:pStyle w:val="BodyText"/>
      </w:pPr>
      <w:r>
        <w:rPr>
          <w:b/>
          <w:bCs/>
        </w:rPr>
        <w:t xml:space="preserve">Key secondary sources</w:t>
      </w:r>
      <w:r>
        <w:br/>
      </w:r>
      <w:r>
        <w:t xml:space="preserve">- Stanford Tech Law Review article arguing Rule 11 is structurally misfit for generative AI risk (useful for presenting the academic critique, even where courts rely on Rule 11 anyway).</w:t>
      </w:r>
      <w:r>
        <w:t xml:space="preserve"> </w:t>
      </w:r>
      <w:hyperlink r:id="rId47">
        <w:r>
          <w:rPr>
            <w:rStyle w:val="Hyperlink"/>
          </w:rPr>
          <w:t xml:space="preserve">[43]</w:t>
        </w:r>
      </w:hyperlink>
      <w:r>
        <w:br/>
      </w:r>
      <w:r>
        <w:t xml:space="preserve">- Professional discipline/ethics literature documenting sanction trends (example: Illinois ARDC publication on fallout of AI hallucinations).</w:t>
      </w:r>
      <w:r>
        <w:t xml:space="preserve"> </w:t>
      </w:r>
      <w:hyperlink r:id="rId48">
        <w:r>
          <w:rPr>
            <w:rStyle w:val="Hyperlink"/>
          </w:rPr>
          <w:t xml:space="preserve">[44]</w:t>
        </w:r>
      </w:hyperlink>
    </w:p>
    <w:p>
      <w:pPr>
        <w:pStyle w:val="BodyText"/>
      </w:pPr>
      <w:r>
        <w:rPr>
          <w:b/>
          <w:bCs/>
        </w:rPr>
        <w:t xml:space="preserve">Research notes</w:t>
      </w:r>
      <w:r>
        <w:br/>
      </w:r>
      <w:r>
        <w:t xml:space="preserve">Current law: Courts are increasingly explicit that “AI did it” is not an excuse; lawyers remain responsible for accuracy and candor, and courts may sanction when inaccurate citations/quotes are submitted without verification.</w:t>
      </w:r>
      <w:r>
        <w:t xml:space="preserve"> </w:t>
      </w:r>
      <w:hyperlink r:id="rId42">
        <w:r>
          <w:rPr>
            <w:rStyle w:val="Hyperlink"/>
          </w:rPr>
          <w:t xml:space="preserve">[45]</w:t>
        </w:r>
      </w:hyperlink>
      <w:r>
        <w:br/>
      </w:r>
      <w:r>
        <w:t xml:space="preserve">Jurisdictional variation: Some courts have experimented with AI-specific certification rules; the Fifth Circuit studied and declined to adopt a specific rule in favor of existing sanctions authorities, while still sanctioning counsel in a case involving inaccurate AI-generated content.</w:t>
      </w:r>
      <w:r>
        <w:t xml:space="preserve"> </w:t>
      </w:r>
      <w:hyperlink r:id="rId42">
        <w:r>
          <w:rPr>
            <w:rStyle w:val="Hyperlink"/>
          </w:rPr>
          <w:t xml:space="preserve">[46]</w:t>
        </w:r>
      </w:hyperlink>
      <w:r>
        <w:br/>
      </w:r>
      <w:r>
        <w:t xml:space="preserve">Practical implications: Risk is highest in high-volume motion practice, where lawyers historically recycled templates and citations; AI makes the error mode more dangerous because output can look authoritative while being wrong. ABA 512 treats ongoing vigilance as part of competence given rapid tool changes.</w:t>
      </w:r>
      <w:r>
        <w:t xml:space="preserve"> </w:t>
      </w:r>
      <w:hyperlink r:id="rId43">
        <w:r>
          <w:rPr>
            <w:rStyle w:val="Hyperlink"/>
          </w:rPr>
          <w:t xml:space="preserve">[47]</w:t>
        </w:r>
      </w:hyperlink>
      <w:r>
        <w:br/>
      </w:r>
      <w:r>
        <w:t xml:space="preserve">Open questions: Evidence-rule proposals focused on AI-generated evidence (as distinct from AI-generated legal argument) indicate emerging regulatory pressure; rulemaking remains in flux.</w:t>
      </w:r>
      <w:r>
        <w:t xml:space="preserve"> </w:t>
      </w:r>
      <w:hyperlink r:id="rId37">
        <w:r>
          <w:rPr>
            <w:rStyle w:val="Hyperlink"/>
          </w:rPr>
          <w:t xml:space="preserve">[26]</w:t>
        </w:r>
      </w:hyperlink>
    </w:p>
    <w:p>
      <w:pPr>
        <w:pStyle w:val="BodyText"/>
      </w:pPr>
      <w:r>
        <w:rPr>
          <w:b/>
          <w:bCs/>
        </w:rPr>
        <w:t xml:space="preserve">Recommended canonical citations with annotation</w:t>
      </w:r>
      <w:r>
        <w:br/>
      </w:r>
      <w:r>
        <w:t xml:space="preserve">- Fifth Circuit order (Feb. 18, 2026) — Modern appellate sanctions anchor; explicitly frames hallucinations as an ongoing systemic problem.</w:t>
      </w:r>
      <w:r>
        <w:t xml:space="preserve"> </w:t>
      </w:r>
      <w:hyperlink r:id="rId42">
        <w:r>
          <w:rPr>
            <w:rStyle w:val="Hyperlink"/>
          </w:rPr>
          <w:t xml:space="preserve">[36]</w:t>
        </w:r>
      </w:hyperlink>
      <w:r>
        <w:br/>
      </w:r>
      <w:r>
        <w:t xml:space="preserve">- ABA Formal Opinion 512 — National ethics framework; ties GAI use to competence/candor/fees/confidentiality.</w:t>
      </w:r>
      <w:r>
        <w:t xml:space="preserve"> </w:t>
      </w:r>
      <w:hyperlink r:id="rId43">
        <w:r>
          <w:rPr>
            <w:rStyle w:val="Hyperlink"/>
          </w:rPr>
          <w:t xml:space="preserve">[37]</w:t>
        </w:r>
      </w:hyperlink>
      <w:r>
        <w:br/>
      </w:r>
      <w:r>
        <w:t xml:space="preserve">- Fed. R. Civ. P. 11 — Procedural backbone for sanctions analysis in federal civil cases and a persuasive analogue in many states.</w:t>
      </w:r>
      <w:r>
        <w:t xml:space="preserve"> </w:t>
      </w:r>
      <w:hyperlink r:id="rId21">
        <w:r>
          <w:rPr>
            <w:rStyle w:val="Hyperlink"/>
          </w:rPr>
          <w:t xml:space="preserve">[16]</w:t>
        </w:r>
      </w:hyperlink>
    </w:p>
    <w:p>
      <w:pPr>
        <w:pStyle w:val="BodyText"/>
      </w:pPr>
      <w:r>
        <w:rPr>
          <w:b/>
          <w:bCs/>
        </w:rPr>
        <w:t xml:space="preserve">Evidentiary/filing checklist (GAI use)</w:t>
      </w:r>
      <w:r>
        <w:br/>
      </w:r>
      <w:r>
        <w:t xml:space="preserve">- Verify every citation directly in primary law (official reporter/PDF).</w:t>
      </w:r>
      <w:r>
        <w:t xml:space="preserve"> </w:t>
      </w:r>
      <w:hyperlink r:id="rId43">
        <w:r>
          <w:rPr>
            <w:rStyle w:val="Hyperlink"/>
          </w:rPr>
          <w:t xml:space="preserve">[47]</w:t>
        </w:r>
      </w:hyperlink>
      <w:r>
        <w:br/>
      </w:r>
      <w:r>
        <w:t xml:space="preserve">- Verify quoted language against the source (no “secondary quote chains”).</w:t>
      </w:r>
      <w:r>
        <w:br/>
      </w:r>
      <w:r>
        <w:t xml:space="preserve">- Verify record cites (docket item/page/line) and factual assertions tied to exhibits.</w:t>
      </w:r>
      <w:r>
        <w:br/>
      </w:r>
      <w:r>
        <w:t xml:space="preserve">- Keep a verification log (who checked, when, what was checked).</w:t>
      </w:r>
      <w:r>
        <w:br/>
      </w:r>
      <w:r>
        <w:t xml:space="preserve">- If an error is discovered, promptly correct and notify the tribunal/opposing counsel consistent with duties of candor.</w:t>
      </w:r>
      <w:r>
        <w:t xml:space="preserve"> </w:t>
      </w:r>
      <w:hyperlink r:id="rId43">
        <w:r>
          <w:rPr>
            <w:rStyle w:val="Hyperlink"/>
          </w:rPr>
          <w:t xml:space="preserve">[37]</w:t>
        </w:r>
      </w:hyperlink>
      <w:r>
        <w:br/>
      </w:r>
      <w:r>
        <w:t xml:space="preserve">- Do not input confidential client information into tools lacking adequate confidentiality/security protections; anonymize where required.</w:t>
      </w:r>
      <w:r>
        <w:t xml:space="preserve"> </w:t>
      </w:r>
      <w:hyperlink r:id="rId43">
        <w:r>
          <w:rPr>
            <w:rStyle w:val="Hyperlink"/>
          </w:rPr>
          <w:t xml:space="preserve">[48]</w:t>
        </w:r>
      </w:hyperlink>
    </w:p>
    <w:p>
      <w:pPr>
        <w:pStyle w:val="BodyText"/>
      </w:pPr>
      <w:r>
        <w:rPr>
          <w:b/>
          <w:bCs/>
        </w:rPr>
        <w:t xml:space="preserve">Sample motion language (generic)</w:t>
      </w:r>
      <w:r>
        <w:br/>
      </w:r>
      <w:r>
        <w:rPr>
          <w:i/>
          <w:iCs/>
        </w:rPr>
        <w:t xml:space="preserve">Motion to Strike or for Sanctions Based on Fabricated Citations/Authorities</w:t>
      </w:r>
      <w:r>
        <w:br/>
      </w:r>
      <w:r>
        <w:t xml:space="preserve">Movant requests that the Court strike the offending filing and/or impose appropriate sanctions because the filing contains citations/quotations that are not supported by the cited authorities and appear to be fabricated or hallucinated. Counsel’s failure to conduct a reasonable inquiry before filing violates applicable certification duties and wastes judicial and party resources.</w:t>
      </w:r>
      <w:r>
        <w:t xml:space="preserve"> </w:t>
      </w:r>
      <w:hyperlink r:id="rId21">
        <w:r>
          <w:rPr>
            <w:rStyle w:val="Hyperlink"/>
          </w:rPr>
          <w:t xml:space="preserve">[49]</w:t>
        </w:r>
      </w:hyperlink>
    </w:p>
    <w:p>
      <w:pPr>
        <w:pStyle w:val="BodyText"/>
      </w:pPr>
      <w:r>
        <w:rPr>
          <w:b/>
          <w:bCs/>
        </w:rPr>
        <w:t xml:space="preserve">Best-practice workflow (mermaid)</w:t>
      </w:r>
      <w:r>
        <w:br/>
      </w:r>
    </w:p>
    <w:p>
      <w:pPr>
        <w:pStyle w:val="SourceCode"/>
      </w:pPr>
      <w:r>
        <w:rPr>
          <w:rStyle w:val="VerbatimChar"/>
        </w:rPr>
        <w:t xml:space="preserve">flowchart TD</w:t>
      </w:r>
      <w:r>
        <w:br/>
      </w:r>
      <w:r>
        <w:rPr>
          <w:rStyle w:val="VerbatimChar"/>
        </w:rPr>
        <w:t xml:space="preserve">  A[Draft using human + tools] --&gt; B[Primary-source validation of every citation]</w:t>
      </w:r>
      <w:r>
        <w:br/>
      </w:r>
      <w:r>
        <w:rPr>
          <w:rStyle w:val="VerbatimChar"/>
        </w:rPr>
        <w:t xml:space="preserve">  B --&gt; C[Quote check against official PDF/report]</w:t>
      </w:r>
      <w:r>
        <w:br/>
      </w:r>
      <w:r>
        <w:rPr>
          <w:rStyle w:val="VerbatimChar"/>
        </w:rPr>
        <w:t xml:space="preserve">  C --&gt; D[Record cite check against exhibits/docket]</w:t>
      </w:r>
      <w:r>
        <w:br/>
      </w:r>
      <w:r>
        <w:rPr>
          <w:rStyle w:val="VerbatimChar"/>
        </w:rPr>
        <w:t xml:space="preserve">  D --&gt; E[Confidentiality review: prompts and outputs]</w:t>
      </w:r>
      <w:r>
        <w:br/>
      </w:r>
      <w:r>
        <w:rPr>
          <w:rStyle w:val="VerbatimChar"/>
        </w:rPr>
        <w:t xml:space="preserve">  E --&gt; F[Partner/second-review sign-off + verification log]</w:t>
      </w:r>
      <w:r>
        <w:br/>
      </w:r>
      <w:r>
        <w:rPr>
          <w:rStyle w:val="VerbatimChar"/>
        </w:rPr>
        <w:t xml:space="preserve">  F --&gt; G[File]</w:t>
      </w:r>
      <w:r>
        <w:br/>
      </w:r>
      <w:r>
        <w:rPr>
          <w:rStyle w:val="VerbatimChar"/>
        </w:rPr>
        <w:t xml:space="preserve">  G --&gt; H{Error discovered?}</w:t>
      </w:r>
      <w:r>
        <w:br/>
      </w:r>
      <w:r>
        <w:rPr>
          <w:rStyle w:val="VerbatimChar"/>
        </w:rPr>
        <w:t xml:space="preserve">  H --&gt;|No| I[Maintain verification archive]</w:t>
      </w:r>
      <w:r>
        <w:br/>
      </w:r>
      <w:r>
        <w:rPr>
          <w:rStyle w:val="VerbatimChar"/>
        </w:rPr>
        <w:t xml:space="preserve">  H --&gt;|Yes| J[Prompt correction: errata/notice + amended filing]</w:t>
      </w:r>
    </w:p>
    <w:p>
      <w:r>
        <w:pict>
          <v:rect style="width:0;height:1.5pt" o:hralign="center" o:hrstd="t" o:hr="t"/>
        </w:pict>
      </w:r>
    </w:p>
    <w:bookmarkEnd w:id="49"/>
    <w:bookmarkStart w:id="51" w:name="contemporaneous-record-doctrine"/>
    <w:p>
      <w:pPr>
        <w:pStyle w:val="Heading3"/>
      </w:pPr>
      <w:r>
        <w:t xml:space="preserve">Contemporaneous Record Doctrine</w:t>
      </w:r>
    </w:p>
    <w:p>
      <w:pPr>
        <w:pStyle w:val="FirstParagraph"/>
      </w:pPr>
      <w:r>
        <w:rPr>
          <w:b/>
          <w:bCs/>
        </w:rPr>
        <w:t xml:space="preserve">SEO title</w:t>
      </w:r>
      <w:r>
        <w:t xml:space="preserve">: Contemporaneous Records in Family Court: Reliability, Hearsay Exceptions, and Litigation Strategy</w:t>
      </w:r>
      <w:r>
        <w:br/>
      </w:r>
      <w:r>
        <w:rPr>
          <w:b/>
          <w:bCs/>
        </w:rPr>
        <w:t xml:space="preserve">Abstract</w:t>
      </w:r>
      <w:r>
        <w:t xml:space="preserve">: This article explains how “contemporaneity” functions legally—both as an explicit requirement in key hearsay exceptions and as a credibility heuristic used by courts when weighing disputed testimony. It provides guidance on building and challenging contemporaneous records in custody, support, and protective-order contexts.</w:t>
      </w:r>
      <w:r>
        <w:t xml:space="preserve"> </w:t>
      </w:r>
      <w:hyperlink r:id="rId22">
        <w:r>
          <w:rPr>
            <w:rStyle w:val="Hyperlink"/>
          </w:rPr>
          <w:t xml:space="preserve">[50]</w:t>
        </w:r>
      </w:hyperlink>
      <w:r>
        <w:br/>
      </w:r>
      <w:r>
        <w:rPr>
          <w:b/>
          <w:bCs/>
        </w:rPr>
        <w:t xml:space="preserve">Suggested metadata/tags</w:t>
      </w:r>
      <w:r>
        <w:t xml:space="preserve">: contemporaneous records; business records; present sense impression; recorded recollection; family court credibility; documentation</w:t>
      </w:r>
    </w:p>
    <w:p>
      <w:pPr>
        <w:pStyle w:val="BodyText"/>
      </w:pPr>
      <w:r>
        <w:rPr>
          <w:b/>
          <w:bCs/>
        </w:rPr>
        <w:t xml:space="preserve">Executive summary</w:t>
      </w:r>
      <w:r>
        <w:br/>
      </w:r>
      <w:r>
        <w:t xml:space="preserve">“Contemporaneous record doctrine” is best treated as two related ideas: (1) formal evidence-law requirements that certain records be made “at or near the time” to qualify for hearsay exceptions (especially business records); and (2) a practical credibility principle that contemporaneous documentation can be more persuasive than after-the-fact narratives in contested custody and support disputes.</w:t>
      </w:r>
      <w:r>
        <w:t xml:space="preserve"> </w:t>
      </w:r>
      <w:hyperlink r:id="rId29">
        <w:r>
          <w:rPr>
            <w:rStyle w:val="Hyperlink"/>
          </w:rPr>
          <w:t xml:space="preserve">[51]</w:t>
        </w:r>
      </w:hyperlink>
      <w:r>
        <w:br/>
      </w:r>
      <w:r>
        <w:t xml:space="preserve">New York’s CPLR 4518 business-record framework—summarized in the New York Courts evidence guide—illustrates the centrality of contemporaneity and also emphasizes that third-party statements within a business record remain hearsay unless independently admissible, echoing</w:t>
      </w:r>
      <w:r>
        <w:t xml:space="preserve"> </w:t>
      </w:r>
      <w:r>
        <w:rPr>
          <w:i/>
          <w:iCs/>
        </w:rPr>
        <w:t xml:space="preserve">Leon RR</w:t>
      </w:r>
      <w:r>
        <w:t xml:space="preserve">.</w:t>
      </w:r>
      <w:r>
        <w:t xml:space="preserve"> </w:t>
      </w:r>
      <w:hyperlink r:id="rId29">
        <w:r>
          <w:rPr>
            <w:rStyle w:val="Hyperlink"/>
          </w:rPr>
          <w:t xml:space="preserve">[10]</w:t>
        </w:r>
      </w:hyperlink>
      <w:r>
        <w:br/>
      </w:r>
      <w:r>
        <w:t xml:space="preserve">For digital evidence, contemporaneity is also operational: credible chain-of-custody and preservation practices depend on logging actions when performed, consistent with institutional digital-evidence guidance emphasizing full documentation of seizure/examination/transfer steps.</w:t>
      </w:r>
      <w:r>
        <w:t xml:space="preserve"> </w:t>
      </w:r>
      <w:hyperlink r:id="rId39">
        <w:r>
          <w:rPr>
            <w:rStyle w:val="Hyperlink"/>
          </w:rPr>
          <w:t xml:space="preserve">[52]</w:t>
        </w:r>
      </w:hyperlink>
    </w:p>
    <w:p>
      <w:pPr>
        <w:pStyle w:val="BodyText"/>
      </w:pPr>
      <w:r>
        <w:rPr>
          <w:b/>
          <w:bCs/>
        </w:rPr>
        <w:t xml:space="preserve">Proposed detailed outline with target word counts (2,800–3,400 words)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jc w:val="right"/>
            </w:pPr>
            <w:r>
              <w:t xml:space="preserve">Target words</w:t>
            </w:r>
          </w:p>
        </w:tc>
      </w:tr>
      <w:tr>
        <w:tc>
          <w:tcPr/>
          <w:p>
            <w:pPr>
              <w:pStyle w:val="Compact"/>
            </w:pPr>
            <w:r>
              <w:t xml:space="preserve">Executive summary</w:t>
            </w:r>
          </w:p>
        </w:tc>
        <w:tc>
          <w:tcPr/>
          <w:p>
            <w:pPr>
              <w:pStyle w:val="Compact"/>
              <w:jc w:val="right"/>
            </w:pPr>
            <w:r>
              <w:t xml:space="preserve">200</w:t>
            </w:r>
          </w:p>
        </w:tc>
      </w:tr>
      <w:tr>
        <w:tc>
          <w:tcPr/>
          <w:p>
            <w:pPr>
              <w:pStyle w:val="Compact"/>
            </w:pPr>
            <w:r>
              <w:t xml:space="preserve">Defining “contemporaneous” in evidence law vs. trial persuasion</w:t>
            </w:r>
          </w:p>
        </w:tc>
        <w:tc>
          <w:tcPr/>
          <w:p>
            <w:pPr>
              <w:pStyle w:val="Compact"/>
              <w:jc w:val="right"/>
            </w:pPr>
            <w:r>
              <w:t xml:space="preserve">450</w:t>
            </w:r>
          </w:p>
        </w:tc>
      </w:tr>
      <w:tr>
        <w:tc>
          <w:tcPr/>
          <w:p>
            <w:pPr>
              <w:pStyle w:val="Compact"/>
            </w:pPr>
            <w:r>
              <w:t xml:space="preserve">Business records: “at or near the time,” duty to record, multi-layer hearsay</w:t>
            </w:r>
          </w:p>
        </w:tc>
        <w:tc>
          <w:tcPr/>
          <w:p>
            <w:pPr>
              <w:pStyle w:val="Compact"/>
              <w:jc w:val="right"/>
            </w:pPr>
            <w:r>
              <w:t xml:space="preserve">650</w:t>
            </w:r>
          </w:p>
        </w:tc>
      </w:tr>
      <w:tr>
        <w:tc>
          <w:tcPr/>
          <w:p>
            <w:pPr>
              <w:pStyle w:val="Compact"/>
            </w:pPr>
            <w:r>
              <w:t xml:space="preserve">Other “timing-linked” doctrines: present sense impression; recorded recollection</w:t>
            </w:r>
          </w:p>
        </w:tc>
        <w:tc>
          <w:tcPr/>
          <w:p>
            <w:pPr>
              <w:pStyle w:val="Compact"/>
              <w:jc w:val="right"/>
            </w:pPr>
            <w:r>
              <w:t xml:space="preserve">450</w:t>
            </w:r>
          </w:p>
        </w:tc>
      </w:tr>
      <w:tr>
        <w:tc>
          <w:tcPr/>
          <w:p>
            <w:pPr>
              <w:pStyle w:val="Compact"/>
            </w:pPr>
            <w:r>
              <w:t xml:space="preserve">Family-court application: diaries, parenting logs, medical/school records</w:t>
            </w:r>
          </w:p>
        </w:tc>
        <w:tc>
          <w:tcPr/>
          <w:p>
            <w:pPr>
              <w:pStyle w:val="Compact"/>
              <w:jc w:val="right"/>
            </w:pPr>
            <w:r>
              <w:t xml:space="preserve">600</w:t>
            </w:r>
          </w:p>
        </w:tc>
      </w:tr>
      <w:tr>
        <w:tc>
          <w:tcPr/>
          <w:p>
            <w:pPr>
              <w:pStyle w:val="Compact"/>
            </w:pPr>
            <w:r>
              <w:t xml:space="preserve">Digital contemporaneity: timestamp integrity; audit logs; documentation</w:t>
            </w:r>
          </w:p>
        </w:tc>
        <w:tc>
          <w:tcPr/>
          <w:p>
            <w:pPr>
              <w:pStyle w:val="Compact"/>
              <w:jc w:val="right"/>
            </w:pPr>
            <w:r>
              <w:t xml:space="preserve">400</w:t>
            </w:r>
          </w:p>
        </w:tc>
      </w:tr>
      <w:tr>
        <w:tc>
          <w:tcPr/>
          <w:p>
            <w:pPr>
              <w:pStyle w:val="Compact"/>
            </w:pPr>
            <w:r>
              <w:t xml:space="preserve">Practice toolkit: creating reliable records and challenging unreliable ones</w:t>
            </w:r>
          </w:p>
        </w:tc>
        <w:tc>
          <w:tcPr/>
          <w:p>
            <w:pPr>
              <w:pStyle w:val="Compact"/>
              <w:jc w:val="right"/>
            </w:pPr>
            <w:r>
              <w:t xml:space="preserve">550</w:t>
            </w:r>
          </w:p>
        </w:tc>
      </w:tr>
    </w:tbl>
    <w:p>
      <w:pPr>
        <w:pStyle w:val="BodyText"/>
      </w:pPr>
      <w:r>
        <w:rPr>
          <w:b/>
          <w:bCs/>
        </w:rPr>
        <w:t xml:space="preserve">Primary sources to cite</w:t>
      </w:r>
      <w:r>
        <w:br/>
      </w:r>
      <w:r>
        <w:t xml:space="preserve">- Fed. R. Evid. hearsay exceptions and related rules (business records and related structure).</w:t>
      </w:r>
      <w:r>
        <w:t xml:space="preserve"> </w:t>
      </w:r>
      <w:hyperlink r:id="rId22">
        <w:r>
          <w:rPr>
            <w:rStyle w:val="Hyperlink"/>
          </w:rPr>
          <w:t xml:space="preserve">[15]</w:t>
        </w:r>
      </w:hyperlink>
      <w:r>
        <w:br/>
      </w:r>
      <w:r>
        <w:t xml:space="preserve">- New York Courts evidence guide on business records (CPLR 4518 discussion;</w:t>
      </w:r>
      <w:r>
        <w:t xml:space="preserve"> </w:t>
      </w:r>
      <w:r>
        <w:rPr>
          <w:i/>
          <w:iCs/>
        </w:rPr>
        <w:t xml:space="preserve">Leon RR</w:t>
      </w:r>
      <w:r>
        <w:t xml:space="preserve">).</w:t>
      </w:r>
      <w:r>
        <w:t xml:space="preserve"> </w:t>
      </w:r>
      <w:hyperlink r:id="rId29">
        <w:r>
          <w:rPr>
            <w:rStyle w:val="Hyperlink"/>
          </w:rPr>
          <w:t xml:space="preserve">[53]</w:t>
        </w:r>
      </w:hyperlink>
      <w:r>
        <w:br/>
      </w:r>
      <w:r>
        <w:t xml:space="preserve">-</w:t>
      </w:r>
      <w:r>
        <w:t xml:space="preserve"> </w:t>
      </w:r>
      <w:r>
        <w:rPr>
          <w:i/>
          <w:iCs/>
        </w:rPr>
        <w:t xml:space="preserve">Matter of Leon RR</w:t>
      </w:r>
      <w:r>
        <w:t xml:space="preserve"> </w:t>
      </w:r>
      <w:r>
        <w:t xml:space="preserve">principle against wholesale admission of files with inadmissible embedded hearsay.</w:t>
      </w:r>
      <w:r>
        <w:t xml:space="preserve"> </w:t>
      </w:r>
      <w:hyperlink r:id="rId50">
        <w:r>
          <w:rPr>
            <w:rStyle w:val="Hyperlink"/>
          </w:rPr>
          <w:t xml:space="preserve">[54]</w:t>
        </w:r>
      </w:hyperlink>
      <w:r>
        <w:br/>
      </w:r>
      <w:r>
        <w:t xml:space="preserve">- Institutional digital-evidence documentation principles for contemporaneous logging.</w:t>
      </w:r>
      <w:r>
        <w:t xml:space="preserve"> </w:t>
      </w:r>
      <w:hyperlink r:id="rId39">
        <w:r>
          <w:rPr>
            <w:rStyle w:val="Hyperlink"/>
          </w:rPr>
          <w:t xml:space="preserve">[52]</w:t>
        </w:r>
      </w:hyperlink>
    </w:p>
    <w:p>
      <w:pPr>
        <w:pStyle w:val="BodyText"/>
      </w:pPr>
      <w:r>
        <w:rPr>
          <w:b/>
          <w:bCs/>
        </w:rPr>
        <w:t xml:space="preserve">Key secondary sources</w:t>
      </w:r>
      <w:r>
        <w:br/>
      </w:r>
      <w:r>
        <w:t xml:space="preserve">- Family-court evidentiary training materials identifying hearsay as a recurrent obstacle and emphasizing record-by-record admissibility analysis.</w:t>
      </w:r>
      <w:r>
        <w:t xml:space="preserve"> </w:t>
      </w:r>
      <w:hyperlink r:id="rId50">
        <w:r>
          <w:rPr>
            <w:rStyle w:val="Hyperlink"/>
          </w:rPr>
          <w:t xml:space="preserve">[54]</w:t>
        </w:r>
      </w:hyperlink>
    </w:p>
    <w:p>
      <w:pPr>
        <w:pStyle w:val="BodyText"/>
      </w:pPr>
      <w:r>
        <w:rPr>
          <w:b/>
          <w:bCs/>
        </w:rPr>
        <w:t xml:space="preserve">Research notes</w:t>
      </w:r>
      <w:r>
        <w:br/>
      </w:r>
      <w:r>
        <w:t xml:space="preserve">Current law: “Contemporaneous” usually matters because it is tied to indicia of reliability—either explicitly (business records) or implicitly (credibility assessments). The hardest litigation problem is layered hearsay: “the record is kept in the ordinary course” does not automatically admit the truth of everything embedded inside.</w:t>
      </w:r>
      <w:r>
        <w:t xml:space="preserve"> </w:t>
      </w:r>
      <w:hyperlink r:id="rId29">
        <w:r>
          <w:rPr>
            <w:rStyle w:val="Hyperlink"/>
          </w:rPr>
          <w:t xml:space="preserve">[10]</w:t>
        </w:r>
      </w:hyperlink>
      <w:r>
        <w:br/>
      </w:r>
      <w:r>
        <w:t xml:space="preserve">Practical implications: Parties who keep structured logs (parenting time, communications, expenses) can improve persuasion, but only if logs are consistent, non-editable or well-audited, and corroborated. On the flip side, reconstructed logs created for litigation are vulnerable to authenticity and bias attacks.</w:t>
      </w:r>
      <w:r>
        <w:t xml:space="preserve"> </w:t>
      </w:r>
      <w:hyperlink r:id="rId26">
        <w:r>
          <w:rPr>
            <w:rStyle w:val="Hyperlink"/>
          </w:rPr>
          <w:t xml:space="preserve">[25]</w:t>
        </w:r>
      </w:hyperlink>
    </w:p>
    <w:p>
      <w:pPr>
        <w:pStyle w:val="BodyText"/>
      </w:pPr>
      <w:r>
        <w:rPr>
          <w:b/>
          <w:bCs/>
        </w:rPr>
        <w:t xml:space="preserve">Recommended canonical citations with annotation</w:t>
      </w:r>
      <w:r>
        <w:br/>
      </w:r>
      <w:r>
        <w:t xml:space="preserve">- NY Courts Evidence Guide: Business Records (CPLR 4518) — Court-authored explanation of contemporaneity and duty-to-report chain; integrates</w:t>
      </w:r>
      <w:r>
        <w:t xml:space="preserve"> </w:t>
      </w:r>
      <w:r>
        <w:rPr>
          <w:i/>
          <w:iCs/>
        </w:rPr>
        <w:t xml:space="preserve">Leon RR</w:t>
      </w:r>
      <w:r>
        <w:t xml:space="preserve"> </w:t>
      </w:r>
      <w:r>
        <w:t xml:space="preserve">cautions.</w:t>
      </w:r>
      <w:r>
        <w:t xml:space="preserve"> </w:t>
      </w:r>
      <w:hyperlink r:id="rId29">
        <w:r>
          <w:rPr>
            <w:rStyle w:val="Hyperlink"/>
          </w:rPr>
          <w:t xml:space="preserve">[53]</w:t>
        </w:r>
      </w:hyperlink>
      <w:r>
        <w:br/>
      </w:r>
      <w:r>
        <w:t xml:space="preserve">-</w:t>
      </w:r>
      <w:r>
        <w:t xml:space="preserve"> </w:t>
      </w:r>
      <w:r>
        <w:rPr>
          <w:i/>
          <w:iCs/>
        </w:rPr>
        <w:t xml:space="preserve">Matter of Leon RR</w:t>
      </w:r>
      <w:r>
        <w:t xml:space="preserve">, 48 N.Y.2d 117 — High-court warning against treating “case files” as automatically admissible.</w:t>
      </w:r>
      <w:r>
        <w:t xml:space="preserve"> </w:t>
      </w:r>
      <w:hyperlink r:id="rId50">
        <w:r>
          <w:rPr>
            <w:rStyle w:val="Hyperlink"/>
          </w:rPr>
          <w:t xml:space="preserve">[54]</w:t>
        </w:r>
      </w:hyperlink>
    </w:p>
    <w:p>
      <w:r>
        <w:pict>
          <v:rect style="width:0;height:1.5pt" o:hralign="center" o:hrstd="t" o:hr="t"/>
        </w:pict>
      </w:r>
    </w:p>
    <w:bookmarkEnd w:id="51"/>
    <w:bookmarkStart w:id="52" w:name="metadata-as-evidence"/>
    <w:p>
      <w:pPr>
        <w:pStyle w:val="Heading3"/>
      </w:pPr>
      <w:r>
        <w:t xml:space="preserve">Metadata as Evidence</w:t>
      </w:r>
    </w:p>
    <w:p>
      <w:pPr>
        <w:pStyle w:val="FirstParagraph"/>
      </w:pPr>
      <w:r>
        <w:rPr>
          <w:b/>
          <w:bCs/>
        </w:rPr>
        <w:t xml:space="preserve">SEO title</w:t>
      </w:r>
      <w:r>
        <w:t xml:space="preserve">: Metadata as Evidence: Authentication, Discovery, and Courtroom Use</w:t>
      </w:r>
      <w:r>
        <w:br/>
      </w:r>
      <w:r>
        <w:rPr>
          <w:b/>
          <w:bCs/>
        </w:rPr>
        <w:t xml:space="preserve">Abstract</w:t>
      </w:r>
      <w:r>
        <w:t xml:space="preserve">: This article explains what metadata is (in litigation-relevant terms), how courts treat metadata in discovery disputes, and how metadata can support or undermine authentication, timelines, and credibility. It includes technical checklists for preservation and production and sample motion language for requesting native files and specific metadata fields.</w:t>
      </w:r>
      <w:r>
        <w:t xml:space="preserve"> </w:t>
      </w:r>
      <w:hyperlink r:id="rId21">
        <w:r>
          <w:rPr>
            <w:rStyle w:val="Hyperlink"/>
          </w:rPr>
          <w:t xml:space="preserve">[55]</w:t>
        </w:r>
      </w:hyperlink>
      <w:r>
        <w:br/>
      </w:r>
      <w:r>
        <w:rPr>
          <w:b/>
          <w:bCs/>
        </w:rPr>
        <w:t xml:space="preserve">Suggested metadata/tags</w:t>
      </w:r>
      <w:r>
        <w:t xml:space="preserve">: metadata; ESI; native files; FRCP 34; spoliation; discovery; authenticity; EXIF; timestamps</w:t>
      </w:r>
    </w:p>
    <w:p>
      <w:pPr>
        <w:pStyle w:val="BodyText"/>
      </w:pPr>
      <w:r>
        <w:rPr>
          <w:b/>
          <w:bCs/>
        </w:rPr>
        <w:t xml:space="preserve">Executive summary</w:t>
      </w:r>
      <w:r>
        <w:br/>
      </w:r>
      <w:r>
        <w:t xml:space="preserve">Metadata is neither magic nor trivia: it is structured information about a digital object (creation/modification times, authorship fields, device/application identifiers, location fields, message IDs, etc.) that can corroborate or contradict human testimony. Its legal significance splits into two arenas: (1)</w:t>
      </w:r>
      <w:r>
        <w:t xml:space="preserve"> </w:t>
      </w:r>
      <w:r>
        <w:rPr>
          <w:b/>
          <w:bCs/>
        </w:rPr>
        <w:t xml:space="preserve">discovery</w:t>
      </w:r>
      <w:r>
        <w:t xml:space="preserve">, where courts decide what form ESI must be produced in and whether metadata fields are required; and (2)</w:t>
      </w:r>
      <w:r>
        <w:t xml:space="preserve"> </w:t>
      </w:r>
      <w:r>
        <w:rPr>
          <w:b/>
          <w:bCs/>
        </w:rPr>
        <w:t xml:space="preserve">evidence</w:t>
      </w:r>
      <w:r>
        <w:t xml:space="preserve">, where metadata can support authentication and timeline reconstruction, but also raises integrity questions (editability, time drift, conversion artifacts).</w:t>
      </w:r>
      <w:r>
        <w:t xml:space="preserve"> </w:t>
      </w:r>
      <w:hyperlink r:id="rId21">
        <w:r>
          <w:rPr>
            <w:rStyle w:val="Hyperlink"/>
          </w:rPr>
          <w:t xml:space="preserve">[56]</w:t>
        </w:r>
      </w:hyperlink>
      <w:r>
        <w:br/>
      </w:r>
      <w:r>
        <w:t xml:space="preserve">In</w:t>
      </w:r>
      <w:r>
        <w:t xml:space="preserve"> </w:t>
      </w:r>
      <w:r>
        <w:rPr>
          <w:i/>
          <w:iCs/>
        </w:rPr>
        <w:t xml:space="preserve">Aguilar v. ICE</w:t>
      </w:r>
      <w:r>
        <w:t xml:space="preserve">, the court addressed metadata requests in the context of delayed discussion of production format, illustrating the practical lesson that metadata fights are often won or lost at the Rule 26(f) planning stage and early proportionality framing.</w:t>
      </w:r>
      <w:r>
        <w:t xml:space="preserve"> </w:t>
      </w:r>
      <w:hyperlink r:id="rId35">
        <w:r>
          <w:rPr>
            <w:rStyle w:val="Hyperlink"/>
          </w:rPr>
          <w:t xml:space="preserve">[57]</w:t>
        </w:r>
      </w:hyperlink>
      <w:r>
        <w:br/>
      </w:r>
      <w:r>
        <w:t xml:space="preserve">Best practice in family litigation is to treat metadata needs as issue-driven: request native format and targeted fields when metadata is likely to matter (authorship, authenticity, timing, editing), and avoid overbroad metadata demands that invite burden objections and delay.</w:t>
      </w:r>
      <w:r>
        <w:t xml:space="preserve"> </w:t>
      </w:r>
      <w:hyperlink r:id="rId25">
        <w:r>
          <w:rPr>
            <w:rStyle w:val="Hyperlink"/>
          </w:rPr>
          <w:t xml:space="preserve">[58]</w:t>
        </w:r>
      </w:hyperlink>
    </w:p>
    <w:p>
      <w:pPr>
        <w:pStyle w:val="BodyText"/>
      </w:pPr>
      <w:r>
        <w:rPr>
          <w:b/>
          <w:bCs/>
        </w:rPr>
        <w:t xml:space="preserve">Proposed detailed outline with target word counts (3,000–3,700 words)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jc w:val="right"/>
            </w:pPr>
            <w:r>
              <w:t xml:space="preserve">Target words</w:t>
            </w:r>
          </w:p>
        </w:tc>
      </w:tr>
      <w:tr>
        <w:tc>
          <w:tcPr/>
          <w:p>
            <w:pPr>
              <w:pStyle w:val="Compact"/>
            </w:pPr>
            <w:r>
              <w:t xml:space="preserve">Executive summary</w:t>
            </w:r>
          </w:p>
        </w:tc>
        <w:tc>
          <w:tcPr/>
          <w:p>
            <w:pPr>
              <w:pStyle w:val="Compact"/>
              <w:jc w:val="right"/>
            </w:pPr>
            <w:r>
              <w:t xml:space="preserve">220</w:t>
            </w:r>
          </w:p>
        </w:tc>
      </w:tr>
      <w:tr>
        <w:tc>
          <w:tcPr/>
          <w:p>
            <w:pPr>
              <w:pStyle w:val="Compact"/>
            </w:pPr>
            <w:r>
              <w:t xml:space="preserve">Metadata taxonomy: system, file, application, platform, device</w:t>
            </w:r>
          </w:p>
        </w:tc>
        <w:tc>
          <w:tcPr/>
          <w:p>
            <w:pPr>
              <w:pStyle w:val="Compact"/>
              <w:jc w:val="right"/>
            </w:pPr>
            <w:r>
              <w:t xml:space="preserve">550</w:t>
            </w:r>
          </w:p>
        </w:tc>
      </w:tr>
      <w:tr>
        <w:tc>
          <w:tcPr/>
          <w:p>
            <w:pPr>
              <w:pStyle w:val="Compact"/>
            </w:pPr>
            <w:r>
              <w:t xml:space="preserve">Discovery law: FRCP 26/34 framework; early negotiation of form of production</w:t>
            </w:r>
          </w:p>
        </w:tc>
        <w:tc>
          <w:tcPr/>
          <w:p>
            <w:pPr>
              <w:pStyle w:val="Compact"/>
              <w:jc w:val="right"/>
            </w:pPr>
            <w:r>
              <w:t xml:space="preserve">700</w:t>
            </w:r>
          </w:p>
        </w:tc>
      </w:tr>
      <w:tr>
        <w:tc>
          <w:tcPr/>
          <w:p>
            <w:pPr>
              <w:pStyle w:val="Compact"/>
            </w:pPr>
            <w:r>
              <w:t xml:space="preserve">Key case law:</w:t>
            </w:r>
            <w:r>
              <w:t xml:space="preserve"> </w:t>
            </w:r>
            <w:r>
              <w:rPr>
                <w:i/>
                <w:iCs/>
              </w:rPr>
              <w:t xml:space="preserve">Aguilar</w:t>
            </w:r>
            <w:r>
              <w:t xml:space="preserve"> </w:t>
            </w:r>
            <w:r>
              <w:t xml:space="preserve">and lessons on timing and proportionality</w:t>
            </w:r>
          </w:p>
        </w:tc>
        <w:tc>
          <w:tcPr/>
          <w:p>
            <w:pPr>
              <w:pStyle w:val="Compact"/>
              <w:jc w:val="right"/>
            </w:pPr>
            <w:r>
              <w:t xml:space="preserve">450</w:t>
            </w:r>
          </w:p>
        </w:tc>
      </w:tr>
      <w:tr>
        <w:tc>
          <w:tcPr/>
          <w:p>
            <w:pPr>
              <w:pStyle w:val="Compact"/>
            </w:pPr>
            <w:r>
              <w:t xml:space="preserve">Metadata in authentication and impeachment</w:t>
            </w:r>
          </w:p>
        </w:tc>
        <w:tc>
          <w:tcPr/>
          <w:p>
            <w:pPr>
              <w:pStyle w:val="Compact"/>
              <w:jc w:val="right"/>
            </w:pPr>
            <w:r>
              <w:t xml:space="preserve">500</w:t>
            </w:r>
          </w:p>
        </w:tc>
      </w:tr>
      <w:tr>
        <w:tc>
          <w:tcPr/>
          <w:p>
            <w:pPr>
              <w:pStyle w:val="Compact"/>
            </w:pPr>
            <w:r>
              <w:t xml:space="preserve">Spoliation and conversion: what destroys metadata and how courts view it</w:t>
            </w:r>
          </w:p>
        </w:tc>
        <w:tc>
          <w:tcPr/>
          <w:p>
            <w:pPr>
              <w:pStyle w:val="Compact"/>
              <w:jc w:val="right"/>
            </w:pPr>
            <w:r>
              <w:t xml:space="preserve">450</w:t>
            </w:r>
          </w:p>
        </w:tc>
      </w:tr>
      <w:tr>
        <w:tc>
          <w:tcPr/>
          <w:p>
            <w:pPr>
              <w:pStyle w:val="Compact"/>
            </w:pPr>
            <w:r>
              <w:t xml:space="preserve">Practice toolkit: requests, protocols, checklists, motion language</w:t>
            </w:r>
          </w:p>
        </w:tc>
        <w:tc>
          <w:tcPr/>
          <w:p>
            <w:pPr>
              <w:pStyle w:val="Compact"/>
              <w:jc w:val="right"/>
            </w:pPr>
            <w:r>
              <w:t xml:space="preserve">650</w:t>
            </w:r>
          </w:p>
        </w:tc>
      </w:tr>
      <w:tr>
        <w:tc>
          <w:tcPr/>
          <w:p>
            <w:pPr>
              <w:pStyle w:val="Compact"/>
            </w:pPr>
            <w:r>
              <w:t xml:space="preserve">Open questions: AI-generated files and metadata provenance</w:t>
            </w:r>
          </w:p>
        </w:tc>
        <w:tc>
          <w:tcPr/>
          <w:p>
            <w:pPr>
              <w:pStyle w:val="Compact"/>
              <w:jc w:val="right"/>
            </w:pPr>
            <w:r>
              <w:t xml:space="preserve">250</w:t>
            </w:r>
          </w:p>
        </w:tc>
      </w:tr>
    </w:tbl>
    <w:p>
      <w:pPr>
        <w:pStyle w:val="BodyText"/>
      </w:pPr>
      <w:r>
        <w:rPr>
          <w:b/>
          <w:bCs/>
        </w:rPr>
        <w:t xml:space="preserve">Primary sources to cite</w:t>
      </w:r>
      <w:r>
        <w:br/>
      </w:r>
      <w:r>
        <w:t xml:space="preserve">- Fed. R. Civ. P. 26, 34, 37(e).</w:t>
      </w:r>
      <w:r>
        <w:t xml:space="preserve"> </w:t>
      </w:r>
      <w:hyperlink r:id="rId21">
        <w:r>
          <w:rPr>
            <w:rStyle w:val="Hyperlink"/>
          </w:rPr>
          <w:t xml:space="preserve">[16]</w:t>
        </w:r>
      </w:hyperlink>
      <w:r>
        <w:br/>
      </w:r>
      <w:r>
        <w:t xml:space="preserve">-</w:t>
      </w:r>
      <w:r>
        <w:t xml:space="preserve"> </w:t>
      </w:r>
      <w:r>
        <w:rPr>
          <w:i/>
          <w:iCs/>
        </w:rPr>
        <w:t xml:space="preserve">Aguilar v. ICE</w:t>
      </w:r>
      <w:r>
        <w:t xml:space="preserve">, 255 F.R.D. 350 (S.D.N.Y. 2008) (metadata production dispute; timing/proportionality context).</w:t>
      </w:r>
      <w:r>
        <w:t xml:space="preserve"> </w:t>
      </w:r>
      <w:hyperlink r:id="rId25">
        <w:r>
          <w:rPr>
            <w:rStyle w:val="Hyperlink"/>
          </w:rPr>
          <w:t xml:space="preserve">[59]</w:t>
        </w:r>
      </w:hyperlink>
      <w:r>
        <w:br/>
      </w:r>
      <w:r>
        <w:t xml:space="preserve">-</w:t>
      </w:r>
      <w:r>
        <w:t xml:space="preserve"> </w:t>
      </w:r>
      <w:r>
        <w:rPr>
          <w:i/>
          <w:iCs/>
        </w:rPr>
        <w:t xml:space="preserve">Lorraine</w:t>
      </w:r>
      <w:r>
        <w:t xml:space="preserve"> </w:t>
      </w:r>
      <w:r>
        <w:t xml:space="preserve">(metadata and authenticity discussion embedded in broader ESI admissibility structure).</w:t>
      </w:r>
      <w:r>
        <w:t xml:space="preserve"> </w:t>
      </w:r>
      <w:hyperlink r:id="rId26">
        <w:r>
          <w:rPr>
            <w:rStyle w:val="Hyperlink"/>
          </w:rPr>
          <w:t xml:space="preserve">[17]</w:t>
        </w:r>
      </w:hyperlink>
    </w:p>
    <w:p>
      <w:pPr>
        <w:pStyle w:val="BodyText"/>
      </w:pPr>
      <w:r>
        <w:rPr>
          <w:b/>
          <w:bCs/>
        </w:rPr>
        <w:t xml:space="preserve">Key secondary sources</w:t>
      </w:r>
      <w:r>
        <w:br/>
      </w:r>
      <w:r>
        <w:t xml:space="preserve">- The Sedona Conference</w:t>
      </w:r>
      <w:hyperlink r:id="rId34">
        <w:r>
          <w:rPr>
            <w:rStyle w:val="Hyperlink"/>
          </w:rPr>
          <w:t xml:space="preserve">[21]</w:t>
        </w:r>
      </w:hyperlink>
      <w:r>
        <w:t xml:space="preserve"> </w:t>
      </w:r>
      <w:r>
        <w:t xml:space="preserve">guidance and case summaries on metadata production disputes (use as synthesis and for citing how courts reason about form-of-production).</w:t>
      </w:r>
      <w:r>
        <w:t xml:space="preserve"> </w:t>
      </w:r>
      <w:hyperlink r:id="rId35">
        <w:r>
          <w:rPr>
            <w:rStyle w:val="Hyperlink"/>
          </w:rPr>
          <w:t xml:space="preserve">[60]</w:t>
        </w:r>
      </w:hyperlink>
      <w:r>
        <w:br/>
      </w:r>
      <w:r>
        <w:t xml:space="preserve">- National Institute of Standards and Technology</w:t>
      </w:r>
      <w:hyperlink r:id="rId32">
        <w:r>
          <w:rPr>
            <w:rStyle w:val="Hyperlink"/>
          </w:rPr>
          <w:t xml:space="preserve">[31]</w:t>
        </w:r>
      </w:hyperlink>
      <w:r>
        <w:t xml:space="preserve"> </w:t>
      </w:r>
      <w:r>
        <w:t xml:space="preserve">SP 800-101 Rev. 1 (procedural model for acquisition, analysis, and reporting of mobile-device data, including metadata-like fields).</w:t>
      </w:r>
      <w:r>
        <w:t xml:space="preserve"> </w:t>
      </w:r>
      <w:hyperlink r:id="rId40">
        <w:r>
          <w:rPr>
            <w:rStyle w:val="Hyperlink"/>
          </w:rPr>
          <w:t xml:space="preserve">[61]</w:t>
        </w:r>
      </w:hyperlink>
    </w:p>
    <w:p>
      <w:pPr>
        <w:pStyle w:val="BodyText"/>
      </w:pPr>
      <w:r>
        <w:rPr>
          <w:b/>
          <w:bCs/>
        </w:rPr>
        <w:t xml:space="preserve">Recommended canonical citations with annotation</w:t>
      </w:r>
      <w:r>
        <w:br/>
      </w:r>
      <w:r>
        <w:t xml:space="preserve">- Fed. R. Civ. P. 34 — Central rule for form of ESI production; the legal doorway for “native format” and metadata field disputes.</w:t>
      </w:r>
      <w:r>
        <w:t xml:space="preserve"> </w:t>
      </w:r>
      <w:hyperlink r:id="rId21">
        <w:r>
          <w:rPr>
            <w:rStyle w:val="Hyperlink"/>
          </w:rPr>
          <w:t xml:space="preserve">[16]</w:t>
        </w:r>
      </w:hyperlink>
      <w:r>
        <w:br/>
      </w:r>
      <w:r>
        <w:t xml:space="preserve">-</w:t>
      </w:r>
      <w:r>
        <w:t xml:space="preserve"> </w:t>
      </w:r>
      <w:r>
        <w:rPr>
          <w:i/>
          <w:iCs/>
        </w:rPr>
        <w:t xml:space="preserve">Aguilar v. ICE</w:t>
      </w:r>
      <w:r>
        <w:t xml:space="preserve">, 255 F.R.D. 350 — Illustrates how late-raised metadata demands interact with burden and proportionality.</w:t>
      </w:r>
      <w:r>
        <w:t xml:space="preserve"> </w:t>
      </w:r>
      <w:hyperlink r:id="rId25">
        <w:r>
          <w:rPr>
            <w:rStyle w:val="Hyperlink"/>
          </w:rPr>
          <w:t xml:space="preserve">[62]</w:t>
        </w:r>
      </w:hyperlink>
    </w:p>
    <w:p>
      <w:pPr>
        <w:pStyle w:val="BodyText"/>
      </w:pPr>
      <w:r>
        <w:rPr>
          <w:b/>
          <w:bCs/>
        </w:rPr>
        <w:t xml:space="preserve">Evidentiary checklist (metadata-focused)</w:t>
      </w:r>
      <w:r>
        <w:br/>
      </w:r>
      <w:r>
        <w:t xml:space="preserve">- Identify the litigation question metadata answers (timing, authorship, editing, location).</w:t>
      </w:r>
      <w:r>
        <w:br/>
      </w:r>
      <w:r>
        <w:t xml:space="preserve">- Preserve in native form (avoid “print to PDF,” forwarding, or resaving that overwrites fields).</w:t>
      </w:r>
      <w:r>
        <w:br/>
      </w:r>
      <w:r>
        <w:t xml:space="preserve">- For mobile/app data, consider whether device extraction or provider download better preserves identifiers and timestamps.</w:t>
      </w:r>
      <w:r>
        <w:t xml:space="preserve"> </w:t>
      </w:r>
      <w:hyperlink r:id="rId40">
        <w:r>
          <w:rPr>
            <w:rStyle w:val="Hyperlink"/>
          </w:rPr>
          <w:t xml:space="preserve">[63]</w:t>
        </w:r>
      </w:hyperlink>
      <w:r>
        <w:br/>
      </w:r>
      <w:r>
        <w:t xml:space="preserve">- Specify metadata fields requested and justify proportionality (why those fields matter).</w:t>
      </w:r>
      <w:r>
        <w:t xml:space="preserve"> </w:t>
      </w:r>
      <w:hyperlink r:id="rId21">
        <w:r>
          <w:rPr>
            <w:rStyle w:val="Hyperlink"/>
          </w:rPr>
          <w:t xml:space="preserve">[64]</w:t>
        </w:r>
      </w:hyperlink>
    </w:p>
    <w:p>
      <w:pPr>
        <w:pStyle w:val="BodyText"/>
      </w:pPr>
      <w:r>
        <w:rPr>
          <w:b/>
          <w:bCs/>
        </w:rPr>
        <w:t xml:space="preserve">Sample motion language (generic)</w:t>
      </w:r>
      <w:r>
        <w:br/>
      </w:r>
      <w:r>
        <w:rPr>
          <w:i/>
          <w:iCs/>
        </w:rPr>
        <w:t xml:space="preserve">Motion to Compel Production of Native Files and Associated Metadata</w:t>
      </w:r>
      <w:r>
        <w:br/>
      </w:r>
      <w:r>
        <w:t xml:space="preserve">Movant requests an order compelling production of specified ESI in native format with associated metadata fields necessary to evaluate authenticity, timing, and authorship. Production as flat images/PDFs would remove or significantly degrade metadata and impair Movant’s ability to test the accuracy of the producing party’s factual assertions.</w:t>
      </w:r>
      <w:r>
        <w:t xml:space="preserve"> </w:t>
      </w:r>
      <w:hyperlink r:id="rId21">
        <w:r>
          <w:rPr>
            <w:rStyle w:val="Hyperlink"/>
          </w:rPr>
          <w:t xml:space="preserve">[64]</w:t>
        </w:r>
      </w:hyperlink>
    </w:p>
    <w:p>
      <w:pPr>
        <w:pStyle w:val="BodyText"/>
      </w:pPr>
      <w:r>
        <w:rPr>
          <w:b/>
          <w:bCs/>
        </w:rPr>
        <w:t xml:space="preserve">Best-practice workflow (mermaid)</w:t>
      </w:r>
      <w:r>
        <w:br/>
      </w:r>
    </w:p>
    <w:p>
      <w:pPr>
        <w:pStyle w:val="SourceCode"/>
      </w:pPr>
      <w:r>
        <w:rPr>
          <w:rStyle w:val="VerbatimChar"/>
        </w:rPr>
        <w:t xml:space="preserve">flowchart TD</w:t>
      </w:r>
      <w:r>
        <w:br/>
      </w:r>
      <w:r>
        <w:rPr>
          <w:rStyle w:val="VerbatimChar"/>
        </w:rPr>
        <w:t xml:space="preserve">  A[Identify issue needing metadata] --&gt; B[Send targeted preservation notice]</w:t>
      </w:r>
      <w:r>
        <w:br/>
      </w:r>
      <w:r>
        <w:rPr>
          <w:rStyle w:val="VerbatimChar"/>
        </w:rPr>
        <w:t xml:space="preserve">  B --&gt; C[Negotiate form of production at early conference]</w:t>
      </w:r>
      <w:r>
        <w:br/>
      </w:r>
      <w:r>
        <w:rPr>
          <w:rStyle w:val="VerbatimChar"/>
        </w:rPr>
        <w:t xml:space="preserve">  C --&gt; D[Request native + defined metadata fields]</w:t>
      </w:r>
      <w:r>
        <w:br/>
      </w:r>
      <w:r>
        <w:rPr>
          <w:rStyle w:val="VerbatimChar"/>
        </w:rPr>
        <w:t xml:space="preserve">  D --&gt; E[Review metadata for timeline/authorship anomalies]</w:t>
      </w:r>
      <w:r>
        <w:br/>
      </w:r>
      <w:r>
        <w:rPr>
          <w:rStyle w:val="VerbatimChar"/>
        </w:rPr>
        <w:t xml:space="preserve">  E --&gt; F[Corroborate with other sources: logs, messages, witness testimony]</w:t>
      </w:r>
      <w:r>
        <w:br/>
      </w:r>
      <w:r>
        <w:rPr>
          <w:rStyle w:val="VerbatimChar"/>
        </w:rPr>
        <w:t xml:space="preserve">  F --&gt; G{Dispute?}</w:t>
      </w:r>
      <w:r>
        <w:br/>
      </w:r>
      <w:r>
        <w:rPr>
          <w:rStyle w:val="VerbatimChar"/>
        </w:rPr>
        <w:t xml:space="preserve">  G --&gt;|No| H[Use as authentication/ impeachment support]</w:t>
      </w:r>
      <w:r>
        <w:br/>
      </w:r>
      <w:r>
        <w:rPr>
          <w:rStyle w:val="VerbatimChar"/>
        </w:rPr>
        <w:t xml:space="preserve">  G --&gt;|Yes| I[Move to compel / seek protocol / consider forensic review]</w:t>
      </w:r>
    </w:p>
    <w:p>
      <w:r>
        <w:pict>
          <v:rect style="width:0;height:1.5pt" o:hralign="center" o:hrstd="t" o:hr="t"/>
        </w:pict>
      </w:r>
    </w:p>
    <w:bookmarkEnd w:id="52"/>
    <w:bookmarkStart w:id="54" w:name="X8052265915bcb75c5d2f57f1387398c63a36c3f"/>
    <w:p>
      <w:pPr>
        <w:pStyle w:val="Heading3"/>
      </w:pPr>
      <w:r>
        <w:t xml:space="preserve">Motion Practice for Self-Represented Litigants</w:t>
      </w:r>
    </w:p>
    <w:p>
      <w:pPr>
        <w:pStyle w:val="FirstParagraph"/>
      </w:pPr>
      <w:r>
        <w:rPr>
          <w:b/>
          <w:bCs/>
        </w:rPr>
        <w:t xml:space="preserve">SEO title</w:t>
      </w:r>
      <w:r>
        <w:t xml:space="preserve">: Motion Practice for Self-Represented Litigants: Procedural Precision Without a Law Firm Budget</w:t>
      </w:r>
      <w:r>
        <w:br/>
      </w:r>
      <w:r>
        <w:rPr>
          <w:b/>
          <w:bCs/>
        </w:rPr>
        <w:t xml:space="preserve">Abstract</w:t>
      </w:r>
      <w:r>
        <w:t xml:space="preserve">: This article provides a practical framework for drafting, filing, serving, and arguing motions as a self-represented party in family court. It explains the functional logic of motion practice (relief requested, legal basis, evidence, procedure) and offers plain-language templates, organization checklists, and common pitfalls to avoid.</w:t>
      </w:r>
      <w:r>
        <w:t xml:space="preserve"> </w:t>
      </w:r>
      <w:hyperlink r:id="rId21">
        <w:r>
          <w:rPr>
            <w:rStyle w:val="Hyperlink"/>
          </w:rPr>
          <w:t xml:space="preserve">[65]</w:t>
        </w:r>
      </w:hyperlink>
      <w:r>
        <w:br/>
      </w:r>
      <w:r>
        <w:rPr>
          <w:b/>
          <w:bCs/>
        </w:rPr>
        <w:t xml:space="preserve">Suggested metadata/tags</w:t>
      </w:r>
      <w:r>
        <w:t xml:space="preserve">: pro se; self-represented; family court motions; declarations; service; evidence packets; continuances</w:t>
      </w:r>
    </w:p>
    <w:p>
      <w:pPr>
        <w:pStyle w:val="BodyText"/>
      </w:pPr>
      <w:r>
        <w:rPr>
          <w:b/>
          <w:bCs/>
        </w:rPr>
        <w:t xml:space="preserve">Executive summary</w:t>
      </w:r>
      <w:r>
        <w:br/>
      </w:r>
      <w:r>
        <w:t xml:space="preserve">Self-represented motion practice succeeds when treated as a constrained writing and operations task: ask for a specific order, cite the rule/statute authorizing it, attach admissible supporting facts, comply with formatting/timing/service requirements, and propose a workable order for the judge to sign. Federal-style motion mechanics (written motion stating grounds and relief; certification duties; procedural deadlines) strongly influence state practice even in family courts.</w:t>
      </w:r>
      <w:r>
        <w:t xml:space="preserve"> </w:t>
      </w:r>
      <w:hyperlink r:id="rId21">
        <w:r>
          <w:rPr>
            <w:rStyle w:val="Hyperlink"/>
          </w:rPr>
          <w:t xml:space="preserve">[66]</w:t>
        </w:r>
      </w:hyperlink>
      <w:r>
        <w:br/>
      </w:r>
      <w:r>
        <w:t xml:space="preserve">States increasingly publish standardized forms and instructions for common family matters, and those resources should be treated as the “default” drafting tool unless the motion is unusually complex. For example, Illinois’ statewide approved forms are designed to be accepted by all state courts, reflecting an institutional effort to reduce procedural failure among self-represented parties.</w:t>
      </w:r>
      <w:r>
        <w:t xml:space="preserve"> </w:t>
      </w:r>
      <w:hyperlink r:id="rId53">
        <w:r>
          <w:rPr>
            <w:rStyle w:val="Hyperlink"/>
          </w:rPr>
          <w:t xml:space="preserve">[67]</w:t>
        </w:r>
      </w:hyperlink>
      <w:r>
        <w:br/>
      </w:r>
      <w:r>
        <w:t xml:space="preserve">The key failure modes are predictable: unclear relief, missing evidence foundation, noncompliance with notice/service, and exhibits dumped without an index or authentication explanation. Well-organized evidence packets and short, rule-structured declarations fix most of these problems.</w:t>
      </w:r>
      <w:r>
        <w:t xml:space="preserve"> </w:t>
      </w:r>
      <w:hyperlink r:id="rId26">
        <w:r>
          <w:rPr>
            <w:rStyle w:val="Hyperlink"/>
          </w:rPr>
          <w:t xml:space="preserve">[7]</w:t>
        </w:r>
      </w:hyperlink>
    </w:p>
    <w:p>
      <w:pPr>
        <w:pStyle w:val="BodyText"/>
      </w:pPr>
      <w:r>
        <w:rPr>
          <w:b/>
          <w:bCs/>
        </w:rPr>
        <w:t xml:space="preserve">Proposed detailed outline with target word counts (2,700–3,300 words)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jc w:val="right"/>
            </w:pPr>
            <w:r>
              <w:t xml:space="preserve">Target words</w:t>
            </w:r>
          </w:p>
        </w:tc>
      </w:tr>
      <w:tr>
        <w:tc>
          <w:tcPr/>
          <w:p>
            <w:pPr>
              <w:pStyle w:val="Compact"/>
            </w:pPr>
            <w:r>
              <w:t xml:space="preserve">Executive summary</w:t>
            </w:r>
          </w:p>
        </w:tc>
        <w:tc>
          <w:tcPr/>
          <w:p>
            <w:pPr>
              <w:pStyle w:val="Compact"/>
              <w:jc w:val="right"/>
            </w:pPr>
            <w:r>
              <w:t xml:space="preserve">200</w:t>
            </w:r>
          </w:p>
        </w:tc>
      </w:tr>
      <w:tr>
        <w:tc>
          <w:tcPr/>
          <w:p>
            <w:pPr>
              <w:pStyle w:val="Compact"/>
            </w:pPr>
            <w:r>
              <w:t xml:space="preserve">What a motion is: relief, legal basis, facts, evidence, procedure</w:t>
            </w:r>
          </w:p>
        </w:tc>
        <w:tc>
          <w:tcPr/>
          <w:p>
            <w:pPr>
              <w:pStyle w:val="Compact"/>
              <w:jc w:val="right"/>
            </w:pPr>
            <w:r>
              <w:t xml:space="preserve">600</w:t>
            </w:r>
          </w:p>
        </w:tc>
      </w:tr>
      <w:tr>
        <w:tc>
          <w:tcPr/>
          <w:p>
            <w:pPr>
              <w:pStyle w:val="Compact"/>
            </w:pPr>
            <w:r>
              <w:t xml:space="preserve">Filing and service fundamentals (timing, notice, proof of service)</w:t>
            </w:r>
          </w:p>
        </w:tc>
        <w:tc>
          <w:tcPr/>
          <w:p>
            <w:pPr>
              <w:pStyle w:val="Compact"/>
              <w:jc w:val="right"/>
            </w:pPr>
            <w:r>
              <w:t xml:space="preserve">500</w:t>
            </w:r>
          </w:p>
        </w:tc>
      </w:tr>
      <w:tr>
        <w:tc>
          <w:tcPr/>
          <w:p>
            <w:pPr>
              <w:pStyle w:val="Compact"/>
            </w:pPr>
            <w:r>
              <w:t xml:space="preserve">Evidence mechanics for declarations and exhibits</w:t>
            </w:r>
          </w:p>
        </w:tc>
        <w:tc>
          <w:tcPr/>
          <w:p>
            <w:pPr>
              <w:pStyle w:val="Compact"/>
              <w:jc w:val="right"/>
            </w:pPr>
            <w:r>
              <w:t xml:space="preserve">600</w:t>
            </w:r>
          </w:p>
        </w:tc>
      </w:tr>
      <w:tr>
        <w:tc>
          <w:tcPr/>
          <w:p>
            <w:pPr>
              <w:pStyle w:val="Compact"/>
            </w:pPr>
            <w:r>
              <w:t xml:space="preserve">The hearing: offers of proof, objections, courtroom logistics</w:t>
            </w:r>
          </w:p>
        </w:tc>
        <w:tc>
          <w:tcPr/>
          <w:p>
            <w:pPr>
              <w:pStyle w:val="Compact"/>
              <w:jc w:val="right"/>
            </w:pPr>
            <w:r>
              <w:t xml:space="preserve">450</w:t>
            </w:r>
          </w:p>
        </w:tc>
      </w:tr>
      <w:tr>
        <w:tc>
          <w:tcPr/>
          <w:p>
            <w:pPr>
              <w:pStyle w:val="Compact"/>
            </w:pPr>
            <w:r>
              <w:t xml:space="preserve">Plain-language motion templates and checklists</w:t>
            </w:r>
          </w:p>
        </w:tc>
        <w:tc>
          <w:tcPr/>
          <w:p>
            <w:pPr>
              <w:pStyle w:val="Compact"/>
              <w:jc w:val="right"/>
            </w:pPr>
            <w:r>
              <w:t xml:space="preserve">750</w:t>
            </w:r>
          </w:p>
        </w:tc>
      </w:tr>
      <w:tr>
        <w:tc>
          <w:tcPr/>
          <w:p>
            <w:pPr>
              <w:pStyle w:val="Compact"/>
            </w:pPr>
            <w:r>
              <w:t xml:space="preserve">Common pitfalls and how courts react</w:t>
            </w:r>
          </w:p>
        </w:tc>
        <w:tc>
          <w:tcPr/>
          <w:p>
            <w:pPr>
              <w:pStyle w:val="Compact"/>
              <w:jc w:val="right"/>
            </w:pPr>
            <w:r>
              <w:t xml:space="preserve">400</w:t>
            </w:r>
          </w:p>
        </w:tc>
      </w:tr>
    </w:tbl>
    <w:p>
      <w:pPr>
        <w:pStyle w:val="BodyText"/>
      </w:pPr>
      <w:r>
        <w:rPr>
          <w:b/>
          <w:bCs/>
        </w:rPr>
        <w:t xml:space="preserve">Primary sources to cite</w:t>
      </w:r>
      <w:r>
        <w:br/>
      </w:r>
      <w:r>
        <w:t xml:space="preserve">- Fed. R. Civ. P. (baseline structure; useful model even in state-court motion drafting).</w:t>
      </w:r>
      <w:r>
        <w:t xml:space="preserve"> </w:t>
      </w:r>
      <w:hyperlink r:id="rId21">
        <w:r>
          <w:rPr>
            <w:rStyle w:val="Hyperlink"/>
          </w:rPr>
          <w:t xml:space="preserve">[16]</w:t>
        </w:r>
      </w:hyperlink>
      <w:r>
        <w:br/>
      </w:r>
      <w:r>
        <w:t xml:space="preserve">- State family procedure rules and form systems (representative):</w:t>
      </w:r>
      <w:r>
        <w:br/>
      </w:r>
      <w:r>
        <w:t xml:space="preserve">- Illinois statewide approved divorce/child support/maintenance forms (institutional pro se infrastructure).</w:t>
      </w:r>
      <w:r>
        <w:t xml:space="preserve"> </w:t>
      </w:r>
      <w:hyperlink r:id="rId53">
        <w:r>
          <w:rPr>
            <w:rStyle w:val="Hyperlink"/>
          </w:rPr>
          <w:t xml:space="preserve">[67]</w:t>
        </w:r>
      </w:hyperlink>
      <w:r>
        <w:br/>
      </w:r>
      <w:r>
        <w:t xml:space="preserve">- Florida family law procedure rules (statewide procedural architecture).</w:t>
      </w:r>
      <w:r>
        <w:t xml:space="preserve"> </w:t>
      </w:r>
      <w:hyperlink r:id="rId24">
        <w:r>
          <w:rPr>
            <w:rStyle w:val="Hyperlink"/>
          </w:rPr>
          <w:t xml:space="preserve">[68]</w:t>
        </w:r>
      </w:hyperlink>
    </w:p>
    <w:p>
      <w:pPr>
        <w:pStyle w:val="BodyText"/>
      </w:pPr>
      <w:r>
        <w:rPr>
          <w:b/>
          <w:bCs/>
        </w:rPr>
        <w:t xml:space="preserve">Key secondary sources</w:t>
      </w:r>
      <w:r>
        <w:br/>
      </w:r>
      <w:r>
        <w:t xml:space="preserve">- State court self-help form instructions and access-to-justice materials (where available) as institutional drafting guides.</w:t>
      </w:r>
      <w:r>
        <w:t xml:space="preserve"> </w:t>
      </w:r>
      <w:hyperlink r:id="rId53">
        <w:r>
          <w:rPr>
            <w:rStyle w:val="Hyperlink"/>
          </w:rPr>
          <w:t xml:space="preserve">[67]</w:t>
        </w:r>
      </w:hyperlink>
    </w:p>
    <w:p>
      <w:pPr>
        <w:pStyle w:val="BodyText"/>
      </w:pPr>
      <w:r>
        <w:rPr>
          <w:b/>
          <w:bCs/>
        </w:rPr>
        <w:t xml:space="preserve">Plain-language templates (illustrative, jurisdiction-neutral)</w:t>
      </w:r>
      <w:r>
        <w:br/>
      </w:r>
      <w:r>
        <w:rPr>
          <w:i/>
          <w:iCs/>
        </w:rPr>
        <w:t xml:space="preserve">Short Motion Template (Plain-Language)</w:t>
      </w:r>
      <w:r>
        <w:br/>
      </w:r>
      <w:r>
        <w:t xml:space="preserve">-</w:t>
      </w:r>
      <w:r>
        <w:t xml:space="preserve"> </w:t>
      </w:r>
      <w:r>
        <w:rPr>
          <w:b/>
          <w:bCs/>
        </w:rPr>
        <w:t xml:space="preserve">Who you are</w:t>
      </w:r>
      <w:r>
        <w:t xml:space="preserve">: “I am the [petitioner/respondent], self-represented.”</w:t>
      </w:r>
      <w:r>
        <w:br/>
      </w:r>
      <w:r>
        <w:t xml:space="preserve">-</w:t>
      </w:r>
      <w:r>
        <w:t xml:space="preserve"> </w:t>
      </w:r>
      <w:r>
        <w:rPr>
          <w:b/>
          <w:bCs/>
        </w:rPr>
        <w:t xml:space="preserve">What you want</w:t>
      </w:r>
      <w:r>
        <w:t xml:space="preserve">: “I ask the Court to order: (1)</w:t>
      </w:r>
      <w:r>
        <w:t xml:space="preserve"> </w:t>
      </w:r>
      <w:r>
        <w:rPr>
          <w:b/>
          <w:bCs/>
          <w:i/>
          <w:iCs/>
        </w:rPr>
        <w:t xml:space="preserve">_, (2)</w:t>
      </w:r>
      <w:r>
        <w:t xml:space="preserve"> </w:t>
      </w:r>
      <w:r>
        <w:rPr>
          <w:i/>
          <w:iCs/>
        </w:rPr>
        <w:t xml:space="preserve">, (3)</w:t>
      </w:r>
      <w:r>
        <w:rPr>
          <w:i/>
          <w:iCs/>
        </w:rPr>
        <w:t xml:space="preserve"> </w:t>
      </w:r>
      <w:r>
        <w:rPr>
          <w:b/>
          <w:bCs/>
          <w:i/>
          <w:i/>
          <w:iCs/>
          <w:iCs/>
        </w:rPr>
        <w:t xml:space="preserve">_.”</w:t>
      </w:r>
      <w:r>
        <w:br/>
      </w:r>
      <w:r>
        <w:rPr>
          <w:b/>
          <w:bCs/>
          <w:i/>
          <w:i/>
          <w:iCs/>
          <w:iCs/>
        </w:rPr>
        <w:t xml:space="preserve">-</w:t>
      </w:r>
      <w:r>
        <w:rPr>
          <w:b/>
          <w:bCs/>
          <w:i/>
          <w:i/>
          <w:iCs/>
          <w:iCs/>
        </w:rPr>
        <w:t xml:space="preserve"> </w:t>
      </w:r>
      <w:r>
        <w:rPr>
          <w:b/>
          <w:b/>
          <w:bCs/>
          <w:bCs/>
          <w:i/>
          <w:i/>
          <w:iCs/>
          <w:iCs/>
        </w:rPr>
        <w:t xml:space="preserve">Why the Court can do it</w:t>
      </w:r>
      <w:r>
        <w:rPr>
          <w:b/>
          <w:bCs/>
          <w:i/>
          <w:i/>
          <w:iCs/>
          <w:iCs/>
        </w:rPr>
        <w:t xml:space="preserve">: “The Court has authority under [rule/statute] to</w:t>
      </w:r>
      <w:r>
        <w:t xml:space="preserve"> </w:t>
      </w:r>
      <w:r>
        <w:t xml:space="preserve">.”</w:t>
      </w:r>
      <w:r>
        <w:br/>
      </w:r>
      <w:r>
        <w:t xml:space="preserve">-</w:t>
      </w:r>
      <w:r>
        <w:t xml:space="preserve"> </w:t>
      </w:r>
      <w:r>
        <w:rPr>
          <w:b/>
          <w:bCs/>
        </w:rPr>
        <w:t xml:space="preserve">Key facts</w:t>
      </w:r>
      <w:r>
        <w:t xml:space="preserve"> </w:t>
      </w:r>
      <w:r>
        <w:t xml:space="preserve">(numbered): “1)</w:t>
      </w:r>
      <w:r>
        <w:t xml:space="preserve"> </w:t>
      </w:r>
      <w:r>
        <w:rPr>
          <w:b/>
          <w:bCs/>
          <w:i/>
          <w:iCs/>
        </w:rPr>
        <w:t xml:space="preserve">_. 2)</w:t>
      </w:r>
      <w:r>
        <w:t xml:space="preserve"> </w:t>
      </w:r>
      <w:r>
        <w:t xml:space="preserve">_.”</w:t>
      </w:r>
      <w:r>
        <w:br/>
      </w:r>
      <w:r>
        <w:t xml:space="preserve">-</w:t>
      </w:r>
      <w:r>
        <w:t xml:space="preserve"> </w:t>
      </w:r>
      <w:r>
        <w:rPr>
          <w:b/>
          <w:bCs/>
        </w:rPr>
        <w:t xml:space="preserve">Evidence list</w:t>
      </w:r>
      <w:r>
        <w:t xml:space="preserve">: “I support this motion with Declaration of __ and Exhibits A–__.”</w:t>
      </w:r>
      <w:r>
        <w:br/>
      </w:r>
      <w:r>
        <w:t xml:space="preserve">-</w:t>
      </w:r>
      <w:r>
        <w:t xml:space="preserve"> </w:t>
      </w:r>
      <w:r>
        <w:rPr>
          <w:b/>
          <w:bCs/>
        </w:rPr>
        <w:t xml:space="preserve">Requested order</w:t>
      </w:r>
      <w:r>
        <w:t xml:space="preserve">: attach a proposed order.</w:t>
      </w:r>
    </w:p>
    <w:p>
      <w:pPr>
        <w:pStyle w:val="BodyText"/>
      </w:pPr>
      <w:r>
        <w:rPr>
          <w:i/>
          <w:iCs/>
        </w:rPr>
        <w:t xml:space="preserve">Evidence Packet Organization Checklist</w:t>
      </w:r>
      <w:r>
        <w:br/>
      </w:r>
      <w:r>
        <w:t xml:space="preserve">- Cover sheet and exhibit list.</w:t>
      </w:r>
      <w:r>
        <w:br/>
      </w:r>
      <w:r>
        <w:t xml:space="preserve">- One exhibit per tab/label; highlight key lines sparingly.</w:t>
      </w:r>
      <w:r>
        <w:br/>
      </w:r>
      <w:r>
        <w:t xml:space="preserve">- Declaration paragraphs that cite exhibit labels (“Exhibit B,” not “the screenshot”).</w:t>
      </w:r>
      <w:r>
        <w:br/>
      </w:r>
      <w:r>
        <w:t xml:space="preserve">- Proof of service and service method compliance.</w:t>
      </w:r>
    </w:p>
    <w:p>
      <w:r>
        <w:pict>
          <v:rect style="width:0;height:1.5pt" o:hralign="center" o:hrstd="t" o:hr="t"/>
        </w:pict>
      </w:r>
    </w:p>
    <w:bookmarkEnd w:id="54"/>
    <w:bookmarkStart w:id="61" w:name="family-court-rule-variations-by-state"/>
    <w:p>
      <w:pPr>
        <w:pStyle w:val="Heading3"/>
      </w:pPr>
      <w:r>
        <w:t xml:space="preserve">Family Court Rule Variations by State</w:t>
      </w:r>
    </w:p>
    <w:p>
      <w:pPr>
        <w:pStyle w:val="FirstParagraph"/>
      </w:pPr>
      <w:r>
        <w:rPr>
          <w:b/>
          <w:bCs/>
        </w:rPr>
        <w:t xml:space="preserve">SEO title</w:t>
      </w:r>
      <w:r>
        <w:t xml:space="preserve">: Family Court Rule Variations by State: A Comparative, Practitioner-Oriented Map</w:t>
      </w:r>
      <w:r>
        <w:br/>
      </w:r>
      <w:r>
        <w:rPr>
          <w:b/>
          <w:bCs/>
        </w:rPr>
        <w:t xml:space="preserve">Abstract</w:t>
      </w:r>
      <w:r>
        <w:t xml:space="preserve">: This article compares family-court procedural rules across five representative large jurisdictions, highlighting differences that routinely affect evidence presentation, motion timelines, mandatory processes (e.g., mediation), and self-represented litigant pathways. It includes a state-variation table and identifies which differences are truly outcome-relevant.</w:t>
      </w:r>
      <w:r>
        <w:t xml:space="preserve"> </w:t>
      </w:r>
      <w:hyperlink r:id="rId55">
        <w:r>
          <w:rPr>
            <w:rStyle w:val="Hyperlink"/>
          </w:rPr>
          <w:t xml:space="preserve">[69]</w:t>
        </w:r>
      </w:hyperlink>
      <w:r>
        <w:br/>
      </w:r>
      <w:r>
        <w:rPr>
          <w:b/>
          <w:bCs/>
        </w:rPr>
        <w:t xml:space="preserve">Suggested metadata/tags</w:t>
      </w:r>
      <w:r>
        <w:t xml:space="preserve">: family court rules; state variations; procedure; evidence; disclosures; mediation; self-help forms; comparisons</w:t>
      </w:r>
    </w:p>
    <w:p>
      <w:pPr>
        <w:pStyle w:val="BodyText"/>
      </w:pPr>
      <w:r>
        <w:rPr>
          <w:b/>
          <w:bCs/>
        </w:rPr>
        <w:t xml:space="preserve">Executive summary</w:t>
      </w:r>
      <w:r>
        <w:br/>
      </w:r>
      <w:r>
        <w:t xml:space="preserve">“Family court” is a functional label, not a uniform procedural system. Each state layers family-specific procedural rules on top of general civil procedure, and those layers can materially change outcomes by shaping timing, admissible proof, and the ability to obtain live testimony.</w:t>
      </w:r>
      <w:r>
        <w:t xml:space="preserve"> </w:t>
      </w:r>
      <w:hyperlink r:id="rId55">
        <w:r>
          <w:rPr>
            <w:rStyle w:val="Hyperlink"/>
          </w:rPr>
          <w:t xml:space="preserve">[70]</w:t>
        </w:r>
      </w:hyperlink>
      <w:r>
        <w:br/>
      </w:r>
      <w:r>
        <w:t xml:space="preserve">A standout example is California’s statutory and rule-based insistence on live testimony at many family-law hearings unless the parties stipulate or the court makes a good-cause finding, with witness-list procedures embedded in statewide rules.</w:t>
      </w:r>
      <w:r>
        <w:t xml:space="preserve"> </w:t>
      </w:r>
      <w:hyperlink r:id="rId33">
        <w:r>
          <w:rPr>
            <w:rStyle w:val="Hyperlink"/>
          </w:rPr>
          <w:t xml:space="preserve">[71]</w:t>
        </w:r>
      </w:hyperlink>
      <w:r>
        <w:br/>
      </w:r>
      <w:r>
        <w:t xml:space="preserve">New York’s family-court procedural and evidence environment places particular emphasis on hearsay obstacles and the admissibility limits of agency records, with court-published evidence guidance integrating</w:t>
      </w:r>
      <w:r>
        <w:t xml:space="preserve"> </w:t>
      </w:r>
      <w:r>
        <w:rPr>
          <w:i/>
          <w:iCs/>
        </w:rPr>
        <w:t xml:space="preserve">Leon RR</w:t>
      </w:r>
      <w:r>
        <w:t xml:space="preserve"> </w:t>
      </w:r>
      <w:r>
        <w:t xml:space="preserve">principles.</w:t>
      </w:r>
      <w:r>
        <w:t xml:space="preserve"> </w:t>
      </w:r>
      <w:hyperlink r:id="rId56">
        <w:r>
          <w:rPr>
            <w:rStyle w:val="Hyperlink"/>
          </w:rPr>
          <w:t xml:space="preserve">[72]</w:t>
        </w:r>
      </w:hyperlink>
      <w:r>
        <w:br/>
      </w:r>
      <w:r>
        <w:t xml:space="preserve">Illinois exemplifies institutional pro se infrastructure through statewide approved forms required to be accepted by all courts, which can materially reduce procedural default.</w:t>
      </w:r>
      <w:r>
        <w:t xml:space="preserve"> </w:t>
      </w:r>
      <w:hyperlink r:id="rId53">
        <w:r>
          <w:rPr>
            <w:rStyle w:val="Hyperlink"/>
          </w:rPr>
          <w:t xml:space="preserve">[67]</w:t>
        </w:r>
      </w:hyperlink>
    </w:p>
    <w:p>
      <w:pPr>
        <w:pStyle w:val="BodyText"/>
      </w:pPr>
      <w:r>
        <w:rPr>
          <w:b/>
          <w:bCs/>
        </w:rPr>
        <w:t xml:space="preserve">Proposed detailed outline with target word counts (2,800–3,500 words)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jc w:val="right"/>
            </w:pPr>
            <w:r>
              <w:t xml:space="preserve">Target words</w:t>
            </w:r>
          </w:p>
        </w:tc>
      </w:tr>
      <w:tr>
        <w:tc>
          <w:tcPr/>
          <w:p>
            <w:pPr>
              <w:pStyle w:val="Compact"/>
            </w:pPr>
            <w:r>
              <w:t xml:space="preserve">Executive summary</w:t>
            </w:r>
          </w:p>
        </w:tc>
        <w:tc>
          <w:tcPr/>
          <w:p>
            <w:pPr>
              <w:pStyle w:val="Compact"/>
              <w:jc w:val="right"/>
            </w:pPr>
            <w:r>
              <w:t xml:space="preserve">220</w:t>
            </w:r>
          </w:p>
        </w:tc>
      </w:tr>
      <w:tr>
        <w:tc>
          <w:tcPr/>
          <w:p>
            <w:pPr>
              <w:pStyle w:val="Compact"/>
            </w:pPr>
            <w:r>
              <w:t xml:space="preserve">What varies (and what doesn’t): evidence codes vs procedure vs local practice</w:t>
            </w:r>
          </w:p>
        </w:tc>
        <w:tc>
          <w:tcPr/>
          <w:p>
            <w:pPr>
              <w:pStyle w:val="Compact"/>
              <w:jc w:val="right"/>
            </w:pPr>
            <w:r>
              <w:t xml:space="preserve">450</w:t>
            </w:r>
          </w:p>
        </w:tc>
      </w:tr>
      <w:tr>
        <w:tc>
          <w:tcPr/>
          <w:p>
            <w:pPr>
              <w:pStyle w:val="Compact"/>
            </w:pPr>
            <w:r>
              <w:t xml:space="preserve">Comparative table and interpretation notes</w:t>
            </w:r>
          </w:p>
        </w:tc>
        <w:tc>
          <w:tcPr/>
          <w:p>
            <w:pPr>
              <w:pStyle w:val="Compact"/>
              <w:jc w:val="right"/>
            </w:pPr>
            <w:r>
              <w:t xml:space="preserve">900</w:t>
            </w:r>
          </w:p>
        </w:tc>
      </w:tr>
      <w:tr>
        <w:tc>
          <w:tcPr/>
          <w:p>
            <w:pPr>
              <w:pStyle w:val="Compact"/>
            </w:pPr>
            <w:r>
              <w:t xml:space="preserve">Evidence-related procedural levers (live testimony, declarations, exhibits)</w:t>
            </w:r>
          </w:p>
        </w:tc>
        <w:tc>
          <w:tcPr/>
          <w:p>
            <w:pPr>
              <w:pStyle w:val="Compact"/>
              <w:jc w:val="right"/>
            </w:pPr>
            <w:r>
              <w:t xml:space="preserve">550</w:t>
            </w:r>
          </w:p>
        </w:tc>
      </w:tr>
      <w:tr>
        <w:tc>
          <w:tcPr/>
          <w:p>
            <w:pPr>
              <w:pStyle w:val="Compact"/>
            </w:pPr>
            <w:r>
              <w:t xml:space="preserve">Filing/service and motion timelines (practical consequences)</w:t>
            </w:r>
          </w:p>
        </w:tc>
        <w:tc>
          <w:tcPr/>
          <w:p>
            <w:pPr>
              <w:pStyle w:val="Compact"/>
              <w:jc w:val="right"/>
            </w:pPr>
            <w:r>
              <w:t xml:space="preserve">500</w:t>
            </w:r>
          </w:p>
        </w:tc>
      </w:tr>
      <w:tr>
        <w:tc>
          <w:tcPr/>
          <w:p>
            <w:pPr>
              <w:pStyle w:val="Compact"/>
            </w:pPr>
            <w:r>
              <w:t xml:space="preserve">Pro se ecosystems: statewide forms, self-help pathways, electronic filing</w:t>
            </w:r>
          </w:p>
        </w:tc>
        <w:tc>
          <w:tcPr/>
          <w:p>
            <w:pPr>
              <w:pStyle w:val="Compact"/>
              <w:jc w:val="right"/>
            </w:pPr>
            <w:r>
              <w:t xml:space="preserve">500</w:t>
            </w:r>
          </w:p>
        </w:tc>
      </w:tr>
      <w:tr>
        <w:tc>
          <w:tcPr/>
          <w:p>
            <w:pPr>
              <w:pStyle w:val="Compact"/>
            </w:pPr>
            <w:r>
              <w:t xml:space="preserve">“Outcome-relevant” variation index</w:t>
            </w:r>
          </w:p>
        </w:tc>
        <w:tc>
          <w:tcPr/>
          <w:p>
            <w:pPr>
              <w:pStyle w:val="Compact"/>
              <w:jc w:val="right"/>
            </w:pPr>
            <w:r>
              <w:t xml:space="preserve">350</w:t>
            </w:r>
          </w:p>
        </w:tc>
      </w:tr>
    </w:tbl>
    <w:p>
      <w:pPr>
        <w:pStyle w:val="BodyText"/>
      </w:pPr>
      <w:r>
        <w:rPr>
          <w:b/>
          <w:bCs/>
        </w:rPr>
        <w:t xml:space="preserve">Comparative state-variation table (high-impact procedural points)</w:t>
      </w:r>
      <w:r>
        <w:br/>
      </w:r>
      <w:r>
        <w:t xml:space="preserve">(Representative sample; always confirm local rules and standing orders.)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Topic</w:t>
            </w:r>
          </w:p>
        </w:tc>
        <w:tc>
          <w:tcPr/>
          <w:p>
            <w:pPr>
              <w:pStyle w:val="Compact"/>
            </w:pPr>
            <w:r>
              <w:t xml:space="preserve">California</w:t>
            </w:r>
          </w:p>
        </w:tc>
        <w:tc>
          <w:tcPr/>
          <w:p>
            <w:pPr>
              <w:pStyle w:val="Compact"/>
            </w:pPr>
            <w:r>
              <w:t xml:space="preserve">New York</w:t>
            </w:r>
          </w:p>
        </w:tc>
        <w:tc>
          <w:tcPr/>
          <w:p>
            <w:pPr>
              <w:pStyle w:val="Compact"/>
            </w:pPr>
            <w:r>
              <w:t xml:space="preserve">Texas</w:t>
            </w:r>
          </w:p>
        </w:tc>
        <w:tc>
          <w:tcPr/>
          <w:p>
            <w:pPr>
              <w:pStyle w:val="Compact"/>
            </w:pPr>
            <w:r>
              <w:t xml:space="preserve">Florida</w:t>
            </w:r>
          </w:p>
        </w:tc>
        <w:tc>
          <w:tcPr/>
          <w:p>
            <w:pPr>
              <w:pStyle w:val="Compact"/>
            </w:pPr>
            <w:r>
              <w:t xml:space="preserve">Illinois</w:t>
            </w:r>
          </w:p>
        </w:tc>
      </w:tr>
      <w:tr>
        <w:tc>
          <w:tcPr/>
          <w:p>
            <w:pPr>
              <w:pStyle w:val="Compact"/>
            </w:pPr>
            <w:r>
              <w:t xml:space="preserve">Family-court procedural rule set</w:t>
            </w:r>
          </w:p>
        </w:tc>
        <w:tc>
          <w:tcPr/>
          <w:p>
            <w:pPr>
              <w:pStyle w:val="Compact"/>
            </w:pPr>
            <w:r>
              <w:t xml:space="preserve">CRC Family Law rules (Title 5)</w:t>
            </w:r>
            <w:r>
              <w:t xml:space="preserve"> </w:t>
            </w:r>
            <w:hyperlink r:id="rId55">
              <w:r>
                <w:rPr>
                  <w:rStyle w:val="Hyperlink"/>
                </w:rPr>
                <w:t xml:space="preserve">[73]</w:t>
              </w:r>
            </w:hyperlink>
          </w:p>
        </w:tc>
        <w:tc>
          <w:tcPr/>
          <w:p>
            <w:pPr>
              <w:pStyle w:val="Compact"/>
            </w:pPr>
            <w:r>
              <w:t xml:space="preserve">Uniform Rules for Family Court (Part 205)</w:t>
            </w:r>
            <w:r>
              <w:t xml:space="preserve"> </w:t>
            </w:r>
            <w:hyperlink r:id="rId56">
              <w:r>
                <w:rPr>
                  <w:rStyle w:val="Hyperlink"/>
                </w:rPr>
                <w:t xml:space="preserve">[74]</w:t>
              </w:r>
            </w:hyperlink>
          </w:p>
        </w:tc>
        <w:tc>
          <w:tcPr/>
          <w:p>
            <w:pPr>
              <w:pStyle w:val="Compact"/>
            </w:pPr>
            <w:r>
              <w:t xml:space="preserve">Family Code + TRCP/TRE baseline</w:t>
            </w:r>
            <w:r>
              <w:t xml:space="preserve"> </w:t>
            </w:r>
            <w:hyperlink r:id="rId23">
              <w:r>
                <w:rPr>
                  <w:rStyle w:val="Hyperlink"/>
                </w:rPr>
                <w:t xml:space="preserve">[75]</w:t>
              </w:r>
            </w:hyperlink>
          </w:p>
        </w:tc>
        <w:tc>
          <w:tcPr/>
          <w:p>
            <w:pPr>
              <w:pStyle w:val="Compact"/>
            </w:pPr>
            <w:r>
              <w:t xml:space="preserve">Florida Family Law Rules of Procedure</w:t>
            </w:r>
            <w:r>
              <w:t xml:space="preserve"> </w:t>
            </w:r>
            <w:hyperlink r:id="rId24">
              <w:r>
                <w:rPr>
                  <w:rStyle w:val="Hyperlink"/>
                </w:rPr>
                <w:t xml:space="preserve">[68]</w:t>
              </w:r>
            </w:hyperlink>
          </w:p>
        </w:tc>
        <w:tc>
          <w:tcPr/>
          <w:p>
            <w:pPr>
              <w:pStyle w:val="Compact"/>
            </w:pPr>
            <w:r>
              <w:t xml:space="preserve">Illinois Supreme Court Rules + local DR rules</w:t>
            </w:r>
            <w:r>
              <w:t xml:space="preserve"> </w:t>
            </w:r>
            <w:hyperlink r:id="rId57">
              <w:r>
                <w:rPr>
                  <w:rStyle w:val="Hyperlink"/>
                </w:rPr>
                <w:t xml:space="preserve">[76]</w:t>
              </w:r>
            </w:hyperlink>
          </w:p>
        </w:tc>
      </w:tr>
      <w:tr>
        <w:tc>
          <w:tcPr/>
          <w:p>
            <w:pPr>
              <w:pStyle w:val="Compact"/>
            </w:pPr>
            <w:r>
              <w:t xml:space="preserve">Live testimony expectation in family hearings</w:t>
            </w:r>
          </w:p>
        </w:tc>
        <w:tc>
          <w:tcPr/>
          <w:p>
            <w:pPr>
              <w:pStyle w:val="Compact"/>
            </w:pPr>
            <w:r>
              <w:t xml:space="preserve">Statewide rule addresses live testimony and witness lists tied to Fam. Code § 217</w:t>
            </w:r>
            <w:r>
              <w:t xml:space="preserve"> </w:t>
            </w:r>
            <w:hyperlink r:id="rId33">
              <w:r>
                <w:rPr>
                  <w:rStyle w:val="Hyperlink"/>
                </w:rPr>
                <w:t xml:space="preserve">[71]</w:t>
              </w:r>
            </w:hyperlink>
          </w:p>
        </w:tc>
        <w:tc>
          <w:tcPr/>
          <w:p>
            <w:pPr>
              <w:pStyle w:val="Compact"/>
            </w:pPr>
            <w:r>
              <w:t xml:space="preserve">Varies by proceeding; hearsay disputes acute in neglect/TPR contexts</w:t>
            </w:r>
            <w:r>
              <w:t xml:space="preserve"> </w:t>
            </w:r>
            <w:hyperlink r:id="rId50">
              <w:r>
                <w:rPr>
                  <w:rStyle w:val="Hyperlink"/>
                </w:rPr>
                <w:t xml:space="preserve">[77]</w:t>
              </w:r>
            </w:hyperlink>
          </w:p>
        </w:tc>
        <w:tc>
          <w:tcPr/>
          <w:p>
            <w:pPr>
              <w:pStyle w:val="Compact"/>
            </w:pPr>
            <w:r>
              <w:t xml:space="preserve">Generally governed by TRE; live testimony common where credibility disputed</w:t>
            </w:r>
            <w:r>
              <w:t xml:space="preserve"> </w:t>
            </w:r>
            <w:hyperlink r:id="rId58">
              <w:r>
                <w:rPr>
                  <w:rStyle w:val="Hyperlink"/>
                </w:rPr>
                <w:t xml:space="preserve">[78]</w:t>
              </w:r>
            </w:hyperlink>
          </w:p>
        </w:tc>
        <w:tc>
          <w:tcPr/>
          <w:p>
            <w:pPr>
              <w:pStyle w:val="Compact"/>
            </w:pPr>
            <w:r>
              <w:t xml:space="preserve">Family rules structure hearings; evidence code applies</w:t>
            </w:r>
            <w:r>
              <w:t xml:space="preserve"> </w:t>
            </w:r>
            <w:hyperlink r:id="rId24">
              <w:r>
                <w:rPr>
                  <w:rStyle w:val="Hyperlink"/>
                </w:rPr>
                <w:t xml:space="preserve">[79]</w:t>
              </w:r>
            </w:hyperlink>
          </w:p>
        </w:tc>
        <w:tc>
          <w:tcPr/>
          <w:p>
            <w:pPr>
              <w:pStyle w:val="Compact"/>
            </w:pPr>
            <w:r>
              <w:t xml:space="preserve">Governed by IL evidence/rules; local rules can affect hearing practice</w:t>
            </w:r>
            <w:r>
              <w:t xml:space="preserve"> </w:t>
            </w:r>
            <w:hyperlink r:id="rId57">
              <w:r>
                <w:rPr>
                  <w:rStyle w:val="Hyperlink"/>
                </w:rPr>
                <w:t xml:space="preserve">[76]</w:t>
              </w:r>
            </w:hyperlink>
          </w:p>
        </w:tc>
      </w:tr>
      <w:tr>
        <w:tc>
          <w:tcPr/>
          <w:p>
            <w:pPr>
              <w:pStyle w:val="Compact"/>
            </w:pPr>
            <w:r>
              <w:t xml:space="preserve">Evidence code baseline</w:t>
            </w:r>
          </w:p>
        </w:tc>
        <w:tc>
          <w:tcPr/>
          <w:p>
            <w:pPr>
              <w:pStyle w:val="Compact"/>
            </w:pPr>
            <w:r>
              <w:t xml:space="preserve">State evidence code applies; family procedure rules shape presentation</w:t>
            </w:r>
            <w:r>
              <w:t xml:space="preserve"> </w:t>
            </w:r>
            <w:hyperlink r:id="rId55">
              <w:r>
                <w:rPr>
                  <w:rStyle w:val="Hyperlink"/>
                </w:rPr>
                <w:t xml:space="preserve">[80]</w:t>
              </w:r>
            </w:hyperlink>
          </w:p>
        </w:tc>
        <w:tc>
          <w:tcPr/>
          <w:p>
            <w:pPr>
              <w:pStyle w:val="Compact"/>
            </w:pPr>
            <w:r>
              <w:t xml:space="preserve">NY evidence practice relies on statutes/rules; CPLR 4518 business-record doctrine central</w:t>
            </w:r>
            <w:r>
              <w:t xml:space="preserve"> </w:t>
            </w:r>
            <w:hyperlink r:id="rId29">
              <w:r>
                <w:rPr>
                  <w:rStyle w:val="Hyperlink"/>
                </w:rPr>
                <w:t xml:space="preserve">[53]</w:t>
              </w:r>
            </w:hyperlink>
          </w:p>
        </w:tc>
        <w:tc>
          <w:tcPr/>
          <w:p>
            <w:pPr>
              <w:pStyle w:val="Compact"/>
            </w:pPr>
            <w:r>
              <w:t xml:space="preserve">Texas Rules of Evidence apply</w:t>
            </w:r>
            <w:r>
              <w:t xml:space="preserve"> </w:t>
            </w:r>
            <w:hyperlink r:id="rId58">
              <w:r>
                <w:rPr>
                  <w:rStyle w:val="Hyperlink"/>
                </w:rPr>
                <w:t xml:space="preserve">[78]</w:t>
              </w:r>
            </w:hyperlink>
          </w:p>
        </w:tc>
        <w:tc>
          <w:tcPr/>
          <w:p>
            <w:pPr>
              <w:pStyle w:val="Compact"/>
            </w:pPr>
            <w:r>
              <w:t xml:space="preserve">Fla. Stat. ch. 90 (authentication and self-authentication sections)</w:t>
            </w:r>
            <w:r>
              <w:t xml:space="preserve"> </w:t>
            </w:r>
            <w:hyperlink r:id="rId59">
              <w:r>
                <w:rPr>
                  <w:rStyle w:val="Hyperlink"/>
                </w:rPr>
                <w:t xml:space="preserve">[81]</w:t>
              </w:r>
            </w:hyperlink>
          </w:p>
        </w:tc>
        <w:tc>
          <w:tcPr/>
          <w:p>
            <w:pPr>
              <w:pStyle w:val="Compact"/>
            </w:pPr>
            <w:r>
              <w:t xml:space="preserve">IL Supreme Court rules + IL evidence framework</w:t>
            </w:r>
            <w:r>
              <w:t xml:space="preserve"> </w:t>
            </w:r>
            <w:hyperlink r:id="rId57">
              <w:r>
                <w:rPr>
                  <w:rStyle w:val="Hyperlink"/>
                </w:rPr>
                <w:t xml:space="preserve">[82]</w:t>
              </w:r>
            </w:hyperlink>
          </w:p>
        </w:tc>
      </w:tr>
      <w:tr>
        <w:tc>
          <w:tcPr/>
          <w:p>
            <w:pPr>
              <w:pStyle w:val="Compact"/>
            </w:pPr>
            <w:r>
              <w:t xml:space="preserve">Pro se standardized forms ecosystem</w:t>
            </w:r>
          </w:p>
        </w:tc>
        <w:tc>
          <w:tcPr/>
          <w:p>
            <w:pPr>
              <w:pStyle w:val="Compact"/>
            </w:pPr>
            <w:r>
              <w:t xml:space="preserve">Court-provided forms and rules; practice varies by county</w:t>
            </w:r>
            <w:r>
              <w:t xml:space="preserve"> </w:t>
            </w:r>
            <w:hyperlink r:id="rId55">
              <w:r>
                <w:rPr>
                  <w:rStyle w:val="Hyperlink"/>
                </w:rPr>
                <w:t xml:space="preserve">[73]</w:t>
              </w:r>
            </w:hyperlink>
          </w:p>
        </w:tc>
        <w:tc>
          <w:tcPr/>
          <w:p>
            <w:pPr>
              <w:pStyle w:val="Compact"/>
            </w:pPr>
            <w:r>
              <w:t xml:space="preserve">Court system forms and rules; practice varies by county</w:t>
            </w:r>
            <w:r>
              <w:t xml:space="preserve"> </w:t>
            </w:r>
            <w:hyperlink r:id="rId56">
              <w:r>
                <w:rPr>
                  <w:rStyle w:val="Hyperlink"/>
                </w:rPr>
                <w:t xml:space="preserve">[74]</w:t>
              </w:r>
            </w:hyperlink>
          </w:p>
        </w:tc>
        <w:tc>
          <w:tcPr/>
          <w:p>
            <w:pPr>
              <w:pStyle w:val="Compact"/>
            </w:pPr>
            <w:r>
              <w:t xml:space="preserve">Mix of state resources and local requirements; e-filing varies</w:t>
            </w:r>
            <w:r>
              <w:t xml:space="preserve"> </w:t>
            </w:r>
            <w:hyperlink r:id="rId60">
              <w:r>
                <w:rPr>
                  <w:rStyle w:val="Hyperlink"/>
                </w:rPr>
                <w:t xml:space="preserve">[83]</w:t>
              </w:r>
            </w:hyperlink>
          </w:p>
        </w:tc>
        <w:tc>
          <w:tcPr/>
          <w:p>
            <w:pPr>
              <w:pStyle w:val="Compact"/>
            </w:pPr>
            <w:r>
              <w:t xml:space="preserve">Statewide family forms and instructions commonly used</w:t>
            </w:r>
            <w:r>
              <w:t xml:space="preserve"> </w:t>
            </w:r>
            <w:hyperlink r:id="rId24">
              <w:r>
                <w:rPr>
                  <w:rStyle w:val="Hyperlink"/>
                </w:rPr>
                <w:t xml:space="preserve">[68]</w:t>
              </w:r>
            </w:hyperlink>
          </w:p>
        </w:tc>
        <w:tc>
          <w:tcPr/>
          <w:p>
            <w:pPr>
              <w:pStyle w:val="Compact"/>
            </w:pPr>
            <w:r>
              <w:t xml:space="preserve">Statewide approved DR forms must be accepted by all courts</w:t>
            </w:r>
            <w:r>
              <w:t xml:space="preserve"> </w:t>
            </w:r>
            <w:hyperlink r:id="rId53">
              <w:r>
                <w:rPr>
                  <w:rStyle w:val="Hyperlink"/>
                </w:rPr>
                <w:t xml:space="preserve">[67]</w:t>
              </w:r>
            </w:hyperlink>
          </w:p>
        </w:tc>
      </w:tr>
    </w:tbl>
    <w:p>
      <w:pPr>
        <w:pStyle w:val="BodyText"/>
      </w:pPr>
      <w:r>
        <w:rPr>
          <w:b/>
          <w:bCs/>
        </w:rPr>
        <w:t xml:space="preserve">Primary sources to cite</w:t>
      </w:r>
      <w:r>
        <w:br/>
      </w:r>
      <w:r>
        <w:t xml:space="preserve">- California Rules of Court (family law rules).</w:t>
      </w:r>
      <w:r>
        <w:t xml:space="preserve"> </w:t>
      </w:r>
      <w:hyperlink r:id="rId55">
        <w:r>
          <w:rPr>
            <w:rStyle w:val="Hyperlink"/>
          </w:rPr>
          <w:t xml:space="preserve">[73]</w:t>
        </w:r>
      </w:hyperlink>
      <w:r>
        <w:br/>
      </w:r>
      <w:r>
        <w:t xml:space="preserve">- New York Trial Courts rules index and Family Court rules (Part 205).</w:t>
      </w:r>
      <w:r>
        <w:t xml:space="preserve"> </w:t>
      </w:r>
      <w:hyperlink r:id="rId56">
        <w:r>
          <w:rPr>
            <w:rStyle w:val="Hyperlink"/>
          </w:rPr>
          <w:t xml:space="preserve">[84]</w:t>
        </w:r>
      </w:hyperlink>
      <w:r>
        <w:br/>
      </w:r>
      <w:r>
        <w:t xml:space="preserve">- Texas Family Code (statutory backbone) and Texas Rules of Evidence/Civil Procedure PDFs.</w:t>
      </w:r>
      <w:r>
        <w:t xml:space="preserve"> </w:t>
      </w:r>
      <w:hyperlink r:id="rId23">
        <w:r>
          <w:rPr>
            <w:rStyle w:val="Hyperlink"/>
          </w:rPr>
          <w:t xml:space="preserve">[85]</w:t>
        </w:r>
      </w:hyperlink>
      <w:r>
        <w:br/>
      </w:r>
      <w:r>
        <w:t xml:space="preserve">- Florida Family Law Rules of Procedure and Florida Evidence Code sections on authentication.</w:t>
      </w:r>
      <w:r>
        <w:t xml:space="preserve"> </w:t>
      </w:r>
      <w:hyperlink r:id="rId24">
        <w:r>
          <w:rPr>
            <w:rStyle w:val="Hyperlink"/>
          </w:rPr>
          <w:t xml:space="preserve">[79]</w:t>
        </w:r>
      </w:hyperlink>
      <w:r>
        <w:br/>
      </w:r>
      <w:r>
        <w:t xml:space="preserve">- Illinois Supreme Court Rules and Illinois statewide approved forms.</w:t>
      </w:r>
      <w:r>
        <w:t xml:space="preserve"> </w:t>
      </w:r>
      <w:hyperlink r:id="rId57">
        <w:r>
          <w:rPr>
            <w:rStyle w:val="Hyperlink"/>
          </w:rPr>
          <w:t xml:space="preserve">[86]</w:t>
        </w:r>
      </w:hyperlink>
    </w:p>
    <w:p>
      <w:pPr>
        <w:pStyle w:val="BodyText"/>
      </w:pPr>
      <w:r>
        <w:rPr>
          <w:b/>
          <w:bCs/>
        </w:rPr>
        <w:t xml:space="preserve">Research notes</w:t>
      </w:r>
      <w:r>
        <w:br/>
      </w:r>
      <w:r>
        <w:t xml:space="preserve">Major conflicts among jurisdictions often look small on paper but matter in practice: live testimony expectations, motion scheduling conventions, and standardized-form acceptance. These differences determine whether a party can meaningfully test credibility and whether self-represented filings survive procedural screening.</w:t>
      </w:r>
      <w:r>
        <w:t xml:space="preserve"> </w:t>
      </w:r>
      <w:hyperlink r:id="rId33">
        <w:r>
          <w:rPr>
            <w:rStyle w:val="Hyperlink"/>
          </w:rPr>
          <w:t xml:space="preserve">[87]</w:t>
        </w:r>
      </w:hyperlink>
    </w:p>
    <w:p>
      <w:r>
        <w:pict>
          <v:rect style="width:0;height:1.5pt" o:hralign="center" o:hrstd="t" o:hr="t"/>
        </w:pict>
      </w:r>
    </w:p>
    <w:bookmarkEnd w:id="61"/>
    <w:bookmarkStart w:id="66" w:name="chain-of-custody-for-digital-files"/>
    <w:p>
      <w:pPr>
        <w:pStyle w:val="Heading3"/>
      </w:pPr>
      <w:r>
        <w:t xml:space="preserve">Chain of Custody for Digital Files</w:t>
      </w:r>
    </w:p>
    <w:p>
      <w:pPr>
        <w:pStyle w:val="FirstParagraph"/>
      </w:pPr>
      <w:r>
        <w:rPr>
          <w:b/>
          <w:bCs/>
        </w:rPr>
        <w:t xml:space="preserve">SEO title</w:t>
      </w:r>
      <w:r>
        <w:t xml:space="preserve">: Chain of Custody for Digital Files: Integrity, Hashing, and Courtroom Proof</w:t>
      </w:r>
      <w:r>
        <w:br/>
      </w:r>
      <w:r>
        <w:rPr>
          <w:b/>
          <w:bCs/>
        </w:rPr>
        <w:t xml:space="preserve">Abstract</w:t>
      </w:r>
      <w:r>
        <w:t xml:space="preserve">: This article explains chain-of-custody principles as applied to digital files, including how courts assess gaps, what documentation matters most, and how technical integrity methods (hash values, write blockers, forensic imaging) map onto legal admissibility frameworks. It provides checklists, sample motion language, and a best-practice flowchart for civil family-court contexts.</w:t>
      </w:r>
      <w:r>
        <w:t xml:space="preserve"> </w:t>
      </w:r>
      <w:hyperlink r:id="rId62">
        <w:r>
          <w:rPr>
            <w:rStyle w:val="Hyperlink"/>
          </w:rPr>
          <w:t xml:space="preserve">[88]</w:t>
        </w:r>
      </w:hyperlink>
      <w:r>
        <w:br/>
      </w:r>
      <w:r>
        <w:rPr>
          <w:b/>
          <w:bCs/>
        </w:rPr>
        <w:t xml:space="preserve">Suggested metadata/tags</w:t>
      </w:r>
      <w:r>
        <w:t xml:space="preserve">: chain of custody; digital files; hashing; forensic imaging; integrity; spoliation; admissibility; Rule 901</w:t>
      </w:r>
    </w:p>
    <w:p>
      <w:pPr>
        <w:pStyle w:val="BodyText"/>
      </w:pPr>
      <w:r>
        <w:rPr>
          <w:b/>
          <w:bCs/>
        </w:rPr>
        <w:t xml:space="preserve">Executive summary</w:t>
      </w:r>
      <w:r>
        <w:br/>
      </w:r>
      <w:r>
        <w:t xml:space="preserve">Chain of custody is the discipline of proving evidence integrity across time and handlers. Digital files complicate this because perfect copies are easy to make, but undetectable alteration is also easy without controls. Institutional forensic guidance emphasizes that actions to secure and collect electronic evidence should not change the evidence and that activity relating to seizure/examination/storage/transfer should be fully documented.</w:t>
      </w:r>
      <w:r>
        <w:t xml:space="preserve"> </w:t>
      </w:r>
      <w:hyperlink r:id="rId63">
        <w:r>
          <w:rPr>
            <w:rStyle w:val="Hyperlink"/>
          </w:rPr>
          <w:t xml:space="preserve">[89]</w:t>
        </w:r>
      </w:hyperlink>
      <w:r>
        <w:br/>
      </w:r>
      <w:r>
        <w:t xml:space="preserve">On the legal side, courts often treat chain-of-custody “gaps” as affecting weight rather than admissibility when there is sufficient showing of identity and integrity; even the Supreme Court has described that general principle (in a different context) by quoting lower-court authority that chain gaps “normally go to weight … rather than admissibility.”</w:t>
      </w:r>
      <w:r>
        <w:t xml:space="preserve"> </w:t>
      </w:r>
      <w:hyperlink r:id="rId62">
        <w:r>
          <w:rPr>
            <w:rStyle w:val="Hyperlink"/>
          </w:rPr>
          <w:t xml:space="preserve">[90]</w:t>
        </w:r>
      </w:hyperlink>
      <w:r>
        <w:br/>
      </w:r>
      <w:r>
        <w:t xml:space="preserve">For family court, the practical goal is not perfect forensic rigor for every text message; it is a defensible integrity story proportionate to the dispute. When allegations involve fabrication, deepfake-like manipulation, or high-stakes credibility contests, more rigorous methods (forensic imaging, hash verification, provider records) become outcome-relevant.</w:t>
      </w:r>
      <w:r>
        <w:t xml:space="preserve"> </w:t>
      </w:r>
      <w:hyperlink r:id="rId64">
        <w:r>
          <w:rPr>
            <w:rStyle w:val="Hyperlink"/>
          </w:rPr>
          <w:t xml:space="preserve">[91]</w:t>
        </w:r>
      </w:hyperlink>
    </w:p>
    <w:p>
      <w:pPr>
        <w:pStyle w:val="BodyText"/>
      </w:pPr>
      <w:r>
        <w:rPr>
          <w:b/>
          <w:bCs/>
        </w:rPr>
        <w:t xml:space="preserve">Proposed detailed outline with target word counts (3,200–3,900 words)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jc w:val="right"/>
            </w:pPr>
            <w:r>
              <w:t xml:space="preserve">Target words</w:t>
            </w:r>
          </w:p>
        </w:tc>
      </w:tr>
      <w:tr>
        <w:tc>
          <w:tcPr/>
          <w:p>
            <w:pPr>
              <w:pStyle w:val="Compact"/>
            </w:pPr>
            <w:r>
              <w:t xml:space="preserve">Executive summary</w:t>
            </w:r>
          </w:p>
        </w:tc>
        <w:tc>
          <w:tcPr/>
          <w:p>
            <w:pPr>
              <w:pStyle w:val="Compact"/>
              <w:jc w:val="right"/>
            </w:pPr>
            <w:r>
              <w:t xml:space="preserve">220</w:t>
            </w:r>
          </w:p>
        </w:tc>
      </w:tr>
      <w:tr>
        <w:tc>
          <w:tcPr/>
          <w:p>
            <w:pPr>
              <w:pStyle w:val="Compact"/>
            </w:pPr>
            <w:r>
              <w:t xml:space="preserve">Chain of custody concept: legal vs technical definitions</w:t>
            </w:r>
          </w:p>
        </w:tc>
        <w:tc>
          <w:tcPr/>
          <w:p>
            <w:pPr>
              <w:pStyle w:val="Compact"/>
              <w:jc w:val="right"/>
            </w:pPr>
            <w:r>
              <w:t xml:space="preserve">500</w:t>
            </w:r>
          </w:p>
        </w:tc>
      </w:tr>
      <w:tr>
        <w:tc>
          <w:tcPr/>
          <w:p>
            <w:pPr>
              <w:pStyle w:val="Compact"/>
            </w:pPr>
            <w:r>
              <w:t xml:space="preserve">Documentation requirements and common failure modes</w:t>
            </w:r>
          </w:p>
        </w:tc>
        <w:tc>
          <w:tcPr/>
          <w:p>
            <w:pPr>
              <w:pStyle w:val="Compact"/>
              <w:jc w:val="right"/>
            </w:pPr>
            <w:r>
              <w:t xml:space="preserve">650</w:t>
            </w:r>
          </w:p>
        </w:tc>
      </w:tr>
      <w:tr>
        <w:tc>
          <w:tcPr/>
          <w:p>
            <w:pPr>
              <w:pStyle w:val="Compact"/>
            </w:pPr>
            <w:r>
              <w:t xml:space="preserve">Technical integrity methods: hashes, imaging, write blockers, audit trails</w:t>
            </w:r>
          </w:p>
        </w:tc>
        <w:tc>
          <w:tcPr/>
          <w:p>
            <w:pPr>
              <w:pStyle w:val="Compact"/>
              <w:jc w:val="right"/>
            </w:pPr>
            <w:r>
              <w:t xml:space="preserve">750</w:t>
            </w:r>
          </w:p>
        </w:tc>
      </w:tr>
      <w:tr>
        <w:tc>
          <w:tcPr/>
          <w:p>
            <w:pPr>
              <w:pStyle w:val="Compact"/>
            </w:pPr>
            <w:r>
              <w:t xml:space="preserve">Legal assessment: admissibility vs weight; objections and rebuttals</w:t>
            </w:r>
          </w:p>
        </w:tc>
        <w:tc>
          <w:tcPr/>
          <w:p>
            <w:pPr>
              <w:pStyle w:val="Compact"/>
              <w:jc w:val="right"/>
            </w:pPr>
            <w:r>
              <w:t xml:space="preserve">600</w:t>
            </w:r>
          </w:p>
        </w:tc>
      </w:tr>
      <w:tr>
        <w:tc>
          <w:tcPr/>
          <w:p>
            <w:pPr>
              <w:pStyle w:val="Compact"/>
            </w:pPr>
            <w:r>
              <w:t xml:space="preserve">Family-court proportionality: when “full forensics” is justified</w:t>
            </w:r>
          </w:p>
        </w:tc>
        <w:tc>
          <w:tcPr/>
          <w:p>
            <w:pPr>
              <w:pStyle w:val="Compact"/>
              <w:jc w:val="right"/>
            </w:pPr>
            <w:r>
              <w:t xml:space="preserve">500</w:t>
            </w:r>
          </w:p>
        </w:tc>
      </w:tr>
      <w:tr>
        <w:tc>
          <w:tcPr/>
          <w:p>
            <w:pPr>
              <w:pStyle w:val="Compact"/>
            </w:pPr>
            <w:r>
              <w:t xml:space="preserve">Toolkit: checklists, custodial declarations, motions, flowchart</w:t>
            </w:r>
          </w:p>
        </w:tc>
        <w:tc>
          <w:tcPr/>
          <w:p>
            <w:pPr>
              <w:pStyle w:val="Compact"/>
              <w:jc w:val="right"/>
            </w:pPr>
            <w:r>
              <w:t xml:space="preserve">650</w:t>
            </w:r>
          </w:p>
        </w:tc>
      </w:tr>
    </w:tbl>
    <w:p>
      <w:pPr>
        <w:pStyle w:val="BodyText"/>
      </w:pPr>
      <w:r>
        <w:rPr>
          <w:b/>
          <w:bCs/>
        </w:rPr>
        <w:t xml:space="preserve">Primary sources to cite</w:t>
      </w:r>
      <w:r>
        <w:br/>
      </w:r>
      <w:r>
        <w:t xml:space="preserve">- NIJ</w:t>
      </w:r>
      <w:r>
        <w:t xml:space="preserve"> </w:t>
      </w:r>
      <w:r>
        <w:rPr>
          <w:i/>
          <w:iCs/>
        </w:rPr>
        <w:t xml:space="preserve">Forensic Examination of Digital Evidence: A Guide for Law Enforcement</w:t>
      </w:r>
      <w:r>
        <w:t xml:space="preserve"> </w:t>
      </w:r>
      <w:r>
        <w:t xml:space="preserve">(documentation/integrity principles).</w:t>
      </w:r>
      <w:r>
        <w:t xml:space="preserve"> </w:t>
      </w:r>
      <w:hyperlink r:id="rId64">
        <w:r>
          <w:rPr>
            <w:rStyle w:val="Hyperlink"/>
          </w:rPr>
          <w:t xml:space="preserve">[92]</w:t>
        </w:r>
      </w:hyperlink>
      <w:r>
        <w:br/>
      </w:r>
      <w:r>
        <w:t xml:space="preserve">- NIJ</w:t>
      </w:r>
      <w:r>
        <w:t xml:space="preserve"> </w:t>
      </w:r>
      <w:r>
        <w:rPr>
          <w:i/>
          <w:iCs/>
        </w:rPr>
        <w:t xml:space="preserve">Electronic Crime Scene Investigation</w:t>
      </w:r>
      <w:r>
        <w:t xml:space="preserve"> </w:t>
      </w:r>
      <w:r>
        <w:t xml:space="preserve">(first-responder preservation principles).</w:t>
      </w:r>
      <w:r>
        <w:t xml:space="preserve"> </w:t>
      </w:r>
      <w:hyperlink r:id="rId39">
        <w:r>
          <w:rPr>
            <w:rStyle w:val="Hyperlink"/>
          </w:rPr>
          <w:t xml:space="preserve">[30]</w:t>
        </w:r>
      </w:hyperlink>
      <w:r>
        <w:br/>
      </w:r>
      <w:r>
        <w:t xml:space="preserve">- ISO</w:t>
      </w:r>
      <w:hyperlink r:id="rId26">
        <w:r>
          <w:rPr>
            <w:rStyle w:val="Hyperlink"/>
          </w:rPr>
          <w:t xml:space="preserve">[93]</w:t>
        </w:r>
      </w:hyperlink>
      <w:r>
        <w:t xml:space="preserve"> </w:t>
      </w:r>
      <w:r>
        <w:t xml:space="preserve">/ International Electrotechnical Commission</w:t>
      </w:r>
      <w:hyperlink r:id="rId56">
        <w:r>
          <w:rPr>
            <w:rStyle w:val="Hyperlink"/>
          </w:rPr>
          <w:t xml:space="preserve">[94]</w:t>
        </w:r>
      </w:hyperlink>
      <w:r>
        <w:t xml:space="preserve"> </w:t>
      </w:r>
      <w:r>
        <w:t xml:space="preserve">ISO/IEC 27037 overview and scope (identification, collection, acquisition, preservation).</w:t>
      </w:r>
      <w:r>
        <w:t xml:space="preserve"> </w:t>
      </w:r>
      <w:hyperlink r:id="rId34">
        <w:r>
          <w:rPr>
            <w:rStyle w:val="Hyperlink"/>
          </w:rPr>
          <w:t xml:space="preserve">[95]</w:t>
        </w:r>
      </w:hyperlink>
      <w:r>
        <w:br/>
      </w:r>
      <w:r>
        <w:t xml:space="preserve">- Supreme Court discussion referencing the “weight not admissibility” chain-of-custody concept (contextual anchor; not digital-specific but doctrinally influential).</w:t>
      </w:r>
      <w:r>
        <w:t xml:space="preserve"> </w:t>
      </w:r>
      <w:hyperlink r:id="rId62">
        <w:r>
          <w:rPr>
            <w:rStyle w:val="Hyperlink"/>
          </w:rPr>
          <w:t xml:space="preserve">[90]</w:t>
        </w:r>
      </w:hyperlink>
      <w:r>
        <w:br/>
      </w:r>
      <w:r>
        <w:t xml:space="preserve">- Fed. R. Evid. 901 (authentication requirement).</w:t>
      </w:r>
      <w:r>
        <w:t xml:space="preserve"> </w:t>
      </w:r>
      <w:hyperlink r:id="rId22">
        <w:r>
          <w:rPr>
            <w:rStyle w:val="Hyperlink"/>
          </w:rPr>
          <w:t xml:space="preserve">[15]</w:t>
        </w:r>
      </w:hyperlink>
    </w:p>
    <w:p>
      <w:pPr>
        <w:pStyle w:val="BodyText"/>
      </w:pPr>
      <w:r>
        <w:rPr>
          <w:b/>
          <w:bCs/>
        </w:rPr>
        <w:t xml:space="preserve">Key secondary sources</w:t>
      </w:r>
      <w:r>
        <w:br/>
      </w:r>
      <w:r>
        <w:t xml:space="preserve">- Scientific Working Group on Digital Evidence</w:t>
      </w:r>
      <w:hyperlink r:id="rId63">
        <w:r>
          <w:rPr>
            <w:rStyle w:val="Hyperlink"/>
          </w:rPr>
          <w:t xml:space="preserve">[96]</w:t>
        </w:r>
      </w:hyperlink>
      <w:r>
        <w:t xml:space="preserve"> </w:t>
      </w:r>
      <w:r>
        <w:t xml:space="preserve">best-practices publications (procedural guidance for digital examinations; helpful for describing accepted practices).</w:t>
      </w:r>
      <w:r>
        <w:t xml:space="preserve"> </w:t>
      </w:r>
      <w:hyperlink r:id="rId65">
        <w:r>
          <w:rPr>
            <w:rStyle w:val="Hyperlink"/>
          </w:rPr>
          <w:t xml:space="preserve">[97]</w:t>
        </w:r>
      </w:hyperlink>
    </w:p>
    <w:p>
      <w:pPr>
        <w:pStyle w:val="BodyText"/>
      </w:pPr>
      <w:r>
        <w:rPr>
          <w:b/>
          <w:bCs/>
        </w:rPr>
        <w:t xml:space="preserve">Recommended canonical citations with annotation</w:t>
      </w:r>
      <w:r>
        <w:br/>
      </w:r>
      <w:r>
        <w:t xml:space="preserve">- ISO/IEC 27037 — Widely referenced international guideline framework for handling digital evidence (use as persuasive technical standard; legal effect depends on jurisdiction).</w:t>
      </w:r>
      <w:r>
        <w:t xml:space="preserve"> </w:t>
      </w:r>
      <w:hyperlink r:id="rId34">
        <w:r>
          <w:rPr>
            <w:rStyle w:val="Hyperlink"/>
          </w:rPr>
          <w:t xml:space="preserve">[95]</w:t>
        </w:r>
      </w:hyperlink>
      <w:r>
        <w:br/>
      </w:r>
      <w:r>
        <w:t xml:space="preserve">- NIJ Digital Evidence guides — U.S. institutional baseline for documentation and integrity principles.</w:t>
      </w:r>
      <w:r>
        <w:t xml:space="preserve"> </w:t>
      </w:r>
      <w:hyperlink r:id="rId64">
        <w:r>
          <w:rPr>
            <w:rStyle w:val="Hyperlink"/>
          </w:rPr>
          <w:t xml:space="preserve">[98]</w:t>
        </w:r>
      </w:hyperlink>
      <w:r>
        <w:br/>
      </w:r>
      <w:r>
        <w:t xml:space="preserve">- Fed. R. Evid. 901 — Litigation gateway for linking technical integrity work to admissibility.</w:t>
      </w:r>
      <w:r>
        <w:t xml:space="preserve"> </w:t>
      </w:r>
      <w:hyperlink r:id="rId22">
        <w:r>
          <w:rPr>
            <w:rStyle w:val="Hyperlink"/>
          </w:rPr>
          <w:t xml:space="preserve">[15]</w:t>
        </w:r>
      </w:hyperlink>
    </w:p>
    <w:p>
      <w:pPr>
        <w:pStyle w:val="BodyText"/>
      </w:pPr>
      <w:r>
        <w:rPr>
          <w:b/>
          <w:bCs/>
        </w:rPr>
        <w:t xml:space="preserve">Evidentiary checklist (digital chain of custody)</w:t>
      </w:r>
      <w:r>
        <w:br/>
      </w:r>
      <w:r>
        <w:t xml:space="preserve">- Identify the “original” source (device/account/platform) and the “court exhibit” form (export/printout).</w:t>
      </w:r>
      <w:r>
        <w:br/>
      </w:r>
      <w:r>
        <w:t xml:space="preserve">- Record who collected, when, and how; preserve originals where feasible.</w:t>
      </w:r>
      <w:r>
        <w:t xml:space="preserve"> </w:t>
      </w:r>
      <w:hyperlink r:id="rId39">
        <w:r>
          <w:rPr>
            <w:rStyle w:val="Hyperlink"/>
          </w:rPr>
          <w:t xml:space="preserve">[33]</w:t>
        </w:r>
      </w:hyperlink>
      <w:r>
        <w:br/>
      </w:r>
      <w:r>
        <w:t xml:space="preserve">- Use integrity indicators proportional to the dispute: hash values where possible; controlled exports; limited handling.</w:t>
      </w:r>
      <w:r>
        <w:t xml:space="preserve"> </w:t>
      </w:r>
      <w:hyperlink r:id="rId64">
        <w:r>
          <w:rPr>
            <w:rStyle w:val="Hyperlink"/>
          </w:rPr>
          <w:t xml:space="preserve">[99]</w:t>
        </w:r>
      </w:hyperlink>
      <w:r>
        <w:br/>
      </w:r>
      <w:r>
        <w:t xml:space="preserve">- Log every transfer and access; store in read-only or controlled repository.</w:t>
      </w:r>
      <w:r>
        <w:t xml:space="preserve"> </w:t>
      </w:r>
      <w:hyperlink r:id="rId63">
        <w:r>
          <w:rPr>
            <w:rStyle w:val="Hyperlink"/>
          </w:rPr>
          <w:t xml:space="preserve">[100]</w:t>
        </w:r>
      </w:hyperlink>
    </w:p>
    <w:p>
      <w:pPr>
        <w:pStyle w:val="BodyText"/>
      </w:pPr>
      <w:r>
        <w:rPr>
          <w:b/>
          <w:bCs/>
        </w:rPr>
        <w:t xml:space="preserve">Sample motion language (generic)</w:t>
      </w:r>
      <w:r>
        <w:br/>
      </w:r>
      <w:r>
        <w:rPr>
          <w:i/>
          <w:iCs/>
        </w:rPr>
        <w:t xml:space="preserve">Motion to Exclude or Limit Digital Evidence for Broken Chain of Custody / Unreliable Integrity</w:t>
      </w:r>
      <w:r>
        <w:br/>
      </w:r>
      <w:r>
        <w:t xml:space="preserve">Movant requests exclusion or limitation of Exhibit __ because the proponent cannot establish a reliable chain of custody and integrity for the underlying digital file. The proponent has not documented collection method, intermediate handling, storage conditions, or any integrity verification steps, leaving material risk of alteration and rendering authentication insufficient.</w:t>
      </w:r>
      <w:r>
        <w:t xml:space="preserve"> </w:t>
      </w:r>
      <w:hyperlink r:id="rId22">
        <w:r>
          <w:rPr>
            <w:rStyle w:val="Hyperlink"/>
          </w:rPr>
          <w:t xml:space="preserve">[101]</w:t>
        </w:r>
      </w:hyperlink>
    </w:p>
    <w:p>
      <w:pPr>
        <w:pStyle w:val="BodyText"/>
      </w:pPr>
      <w:r>
        <w:rPr>
          <w:b/>
          <w:bCs/>
        </w:rPr>
        <w:t xml:space="preserve">Best-practice workflow (mermaid)</w:t>
      </w:r>
      <w:r>
        <w:br/>
      </w:r>
    </w:p>
    <w:p>
      <w:pPr>
        <w:pStyle w:val="SourceCode"/>
      </w:pPr>
      <w:r>
        <w:rPr>
          <w:rStyle w:val="VerbatimChar"/>
        </w:rPr>
        <w:t xml:space="preserve">flowchart TD</w:t>
      </w:r>
      <w:r>
        <w:br/>
      </w:r>
      <w:r>
        <w:rPr>
          <w:rStyle w:val="VerbatimChar"/>
        </w:rPr>
        <w:t xml:space="preserve">  A[Identify device/account source] --&gt; B[Preserve: avoid altering; isolate if needed]</w:t>
      </w:r>
      <w:r>
        <w:br/>
      </w:r>
      <w:r>
        <w:rPr>
          <w:rStyle w:val="VerbatimChar"/>
        </w:rPr>
        <w:t xml:space="preserve">  B --&gt; C[Acquire: export or forensic image depending on stakes]</w:t>
      </w:r>
      <w:r>
        <w:br/>
      </w:r>
      <w:r>
        <w:rPr>
          <w:rStyle w:val="VerbatimChar"/>
        </w:rPr>
        <w:t xml:space="preserve">  C --&gt; D[Generate integrity markers (hash) where feasible]</w:t>
      </w:r>
      <w:r>
        <w:br/>
      </w:r>
      <w:r>
        <w:rPr>
          <w:rStyle w:val="VerbatimChar"/>
        </w:rPr>
        <w:t xml:space="preserve">  D --&gt; E[Document chain: handler, time, action, storage location]</w:t>
      </w:r>
      <w:r>
        <w:br/>
      </w:r>
      <w:r>
        <w:rPr>
          <w:rStyle w:val="VerbatimChar"/>
        </w:rPr>
        <w:t xml:space="preserve">  E --&gt; F[Store securely with access logging]</w:t>
      </w:r>
      <w:r>
        <w:br/>
      </w:r>
      <w:r>
        <w:rPr>
          <w:rStyle w:val="VerbatimChar"/>
        </w:rPr>
        <w:t xml:space="preserve">  F --&gt; G[Prepare exhibit copy + foundation declaration]</w:t>
      </w:r>
      <w:r>
        <w:br/>
      </w:r>
      <w:r>
        <w:rPr>
          <w:rStyle w:val="VerbatimChar"/>
        </w:rPr>
        <w:t xml:space="preserve">  G --&gt; H[Serve/produce per rules; be ready for forensic challenge]</w:t>
      </w:r>
    </w:p>
    <w:p>
      <w:r>
        <w:pict>
          <v:rect style="width:0;height:1.5pt" o:hralign="center" o:hrstd="t" o:hr="t"/>
        </w:pict>
      </w:r>
    </w:p>
    <w:bookmarkEnd w:id="66"/>
    <w:bookmarkStart w:id="69" w:name="X3f58a4bd99181c845ab3051311a9b40aab335a0"/>
    <w:p>
      <w:pPr>
        <w:pStyle w:val="Heading3"/>
      </w:pPr>
      <w:r>
        <w:t xml:space="preserve">Judicial Treatment of AI-Assisted Drafting</w:t>
      </w:r>
    </w:p>
    <w:p>
      <w:pPr>
        <w:pStyle w:val="FirstParagraph"/>
      </w:pPr>
      <w:r>
        <w:rPr>
          <w:b/>
          <w:bCs/>
        </w:rPr>
        <w:t xml:space="preserve">SEO title</w:t>
      </w:r>
      <w:r>
        <w:t xml:space="preserve">: Judicial Treatment of AI-Assisted Drafting: Disclosure, Reliability, and Court Policy</w:t>
      </w:r>
      <w:r>
        <w:br/>
      </w:r>
      <w:r>
        <w:rPr>
          <w:b/>
          <w:bCs/>
        </w:rPr>
        <w:t xml:space="preserve">Abstract</w:t>
      </w:r>
      <w:r>
        <w:t xml:space="preserve">: This article synthesizes how courts and court systems are regulating AI use by judges and staff, and how courts are responding to AI-assisted briefing by parties. It covers policy trends, ethics guidance, sanctions decisions, and open issues around disclosure mandates and judicial reliance on AI-generated summaries.</w:t>
      </w:r>
      <w:r>
        <w:t xml:space="preserve"> </w:t>
      </w:r>
      <w:hyperlink r:id="rId67">
        <w:r>
          <w:rPr>
            <w:rStyle w:val="Hyperlink"/>
          </w:rPr>
          <w:t xml:space="preserve">[102]</w:t>
        </w:r>
      </w:hyperlink>
      <w:r>
        <w:br/>
      </w:r>
      <w:r>
        <w:rPr>
          <w:b/>
          <w:bCs/>
        </w:rPr>
        <w:t xml:space="preserve">Suggested metadata/tags</w:t>
      </w:r>
      <w:r>
        <w:t xml:space="preserve">: judicial AI policy; AI-assisted drafting; court rules; disclosure; verification; sanctions; ethics</w:t>
      </w:r>
    </w:p>
    <w:p>
      <w:pPr>
        <w:pStyle w:val="BodyText"/>
      </w:pPr>
      <w:r>
        <w:rPr>
          <w:b/>
          <w:bCs/>
        </w:rPr>
        <w:t xml:space="preserve">Executive summary</w:t>
      </w:r>
      <w:r>
        <w:br/>
      </w:r>
      <w:r>
        <w:t xml:space="preserve">Judicial systems are increasingly formalizing internal AI governance even where they resist imposing litigant-facing AI certification rules. California adopted a statewide rule requiring courts to either prohibit generative AI use by court staff/judicial officers or adopt a compliant use policy by a specified deadline, prescribing policy scope and requirements.</w:t>
      </w:r>
      <w:r>
        <w:t xml:space="preserve"> </w:t>
      </w:r>
      <w:hyperlink r:id="rId67">
        <w:r>
          <w:rPr>
            <w:rStyle w:val="Hyperlink"/>
          </w:rPr>
          <w:t xml:space="preserve">[103]</w:t>
        </w:r>
      </w:hyperlink>
      <w:r>
        <w:br/>
      </w:r>
      <w:r>
        <w:t xml:space="preserve">New York’s court system has produced institutional reporting and governance materials emphasizing fairness, transparency, and public trust in AI integration.</w:t>
      </w:r>
      <w:r>
        <w:t xml:space="preserve"> </w:t>
      </w:r>
      <w:hyperlink r:id="rId68">
        <w:r>
          <w:rPr>
            <w:rStyle w:val="Hyperlink"/>
          </w:rPr>
          <w:t xml:space="preserve">[104]</w:t>
        </w:r>
      </w:hyperlink>
      <w:r>
        <w:br/>
      </w:r>
      <w:r>
        <w:t xml:space="preserve">Meanwhile, appellate and trial courts have sanctioned lawyers for AI-assisted drafting failures when verification was absent, reinforcing that AI use is treated as an internal work method—not a defense to inaccurate filings.</w:t>
      </w:r>
      <w:r>
        <w:t xml:space="preserve"> </w:t>
      </w:r>
      <w:hyperlink r:id="rId42">
        <w:r>
          <w:rPr>
            <w:rStyle w:val="Hyperlink"/>
          </w:rPr>
          <w:t xml:space="preserve">[45]</w:t>
        </w:r>
      </w:hyperlink>
    </w:p>
    <w:p>
      <w:pPr>
        <w:pStyle w:val="BodyText"/>
      </w:pPr>
      <w:r>
        <w:rPr>
          <w:b/>
          <w:bCs/>
        </w:rPr>
        <w:t xml:space="preserve">Proposed detailed outline with target word counts (3,000–3,600 words)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jc w:val="right"/>
            </w:pPr>
            <w:r>
              <w:t xml:space="preserve">Target words</w:t>
            </w:r>
          </w:p>
        </w:tc>
      </w:tr>
      <w:tr>
        <w:tc>
          <w:tcPr/>
          <w:p>
            <w:pPr>
              <w:pStyle w:val="Compact"/>
            </w:pPr>
            <w:r>
              <w:t xml:space="preserve">Executive summary</w:t>
            </w:r>
          </w:p>
        </w:tc>
        <w:tc>
          <w:tcPr/>
          <w:p>
            <w:pPr>
              <w:pStyle w:val="Compact"/>
              <w:jc w:val="right"/>
            </w:pPr>
            <w:r>
              <w:t xml:space="preserve">220</w:t>
            </w:r>
          </w:p>
        </w:tc>
      </w:tr>
      <w:tr>
        <w:tc>
          <w:tcPr/>
          <w:p>
            <w:pPr>
              <w:pStyle w:val="Compact"/>
            </w:pPr>
            <w:r>
              <w:t xml:space="preserve">Judicial AI use categories: staff operations vs adjudicative functions</w:t>
            </w:r>
          </w:p>
        </w:tc>
        <w:tc>
          <w:tcPr/>
          <w:p>
            <w:pPr>
              <w:pStyle w:val="Compact"/>
              <w:jc w:val="right"/>
            </w:pPr>
            <w:r>
              <w:t xml:space="preserve">450</w:t>
            </w:r>
          </w:p>
        </w:tc>
      </w:tr>
      <w:tr>
        <w:tc>
          <w:tcPr/>
          <w:p>
            <w:pPr>
              <w:pStyle w:val="Compact"/>
            </w:pPr>
            <w:r>
              <w:t xml:space="preserve">Court-system AI policies: examples and common requirements</w:t>
            </w:r>
          </w:p>
        </w:tc>
        <w:tc>
          <w:tcPr/>
          <w:p>
            <w:pPr>
              <w:pStyle w:val="Compact"/>
              <w:jc w:val="right"/>
            </w:pPr>
            <w:r>
              <w:t xml:space="preserve">700</w:t>
            </w:r>
          </w:p>
        </w:tc>
      </w:tr>
      <w:tr>
        <w:tc>
          <w:tcPr/>
          <w:p>
            <w:pPr>
              <w:pStyle w:val="Compact"/>
            </w:pPr>
            <w:r>
              <w:t xml:space="preserve">Party filings: sanctions and verification expectations</w:t>
            </w:r>
          </w:p>
        </w:tc>
        <w:tc>
          <w:tcPr/>
          <w:p>
            <w:pPr>
              <w:pStyle w:val="Compact"/>
              <w:jc w:val="right"/>
            </w:pPr>
            <w:r>
              <w:t xml:space="preserve">650</w:t>
            </w:r>
          </w:p>
        </w:tc>
      </w:tr>
      <w:tr>
        <w:tc>
          <w:tcPr/>
          <w:p>
            <w:pPr>
              <w:pStyle w:val="Compact"/>
            </w:pPr>
            <w:r>
              <w:t xml:space="preserve">Disclosure regimes: standing orders, proposed rules, and policy debates</w:t>
            </w:r>
          </w:p>
        </w:tc>
        <w:tc>
          <w:tcPr/>
          <w:p>
            <w:pPr>
              <w:pStyle w:val="Compact"/>
              <w:jc w:val="right"/>
            </w:pPr>
            <w:r>
              <w:t xml:space="preserve">550</w:t>
            </w:r>
          </w:p>
        </w:tc>
      </w:tr>
      <w:tr>
        <w:tc>
          <w:tcPr/>
          <w:p>
            <w:pPr>
              <w:pStyle w:val="Compact"/>
            </w:pPr>
            <w:r>
              <w:t xml:space="preserve">Risks: bias, confidentiality, hallucinations, record contamination</w:t>
            </w:r>
          </w:p>
        </w:tc>
        <w:tc>
          <w:tcPr/>
          <w:p>
            <w:pPr>
              <w:pStyle w:val="Compact"/>
              <w:jc w:val="right"/>
            </w:pPr>
            <w:r>
              <w:t xml:space="preserve">500</w:t>
            </w:r>
          </w:p>
        </w:tc>
      </w:tr>
      <w:tr>
        <w:tc>
          <w:tcPr/>
          <w:p>
            <w:pPr>
              <w:pStyle w:val="Compact"/>
            </w:pPr>
            <w:r>
              <w:t xml:space="preserve">Toolkit: policy elements, best practices, motion hooks</w:t>
            </w:r>
          </w:p>
        </w:tc>
        <w:tc>
          <w:tcPr/>
          <w:p>
            <w:pPr>
              <w:pStyle w:val="Compact"/>
              <w:jc w:val="right"/>
            </w:pPr>
            <w:r>
              <w:t xml:space="preserve">500</w:t>
            </w:r>
          </w:p>
        </w:tc>
      </w:tr>
    </w:tbl>
    <w:p>
      <w:pPr>
        <w:pStyle w:val="BodyText"/>
      </w:pPr>
      <w:r>
        <w:rPr>
          <w:b/>
          <w:bCs/>
        </w:rPr>
        <w:t xml:space="preserve">Primary sources to cite</w:t>
      </w:r>
      <w:r>
        <w:br/>
      </w:r>
      <w:r>
        <w:t xml:space="preserve">- California Rules of Court, rule 10.430 (generative AI use policies).</w:t>
      </w:r>
      <w:r>
        <w:t xml:space="preserve"> </w:t>
      </w:r>
      <w:hyperlink r:id="rId67">
        <w:r>
          <w:rPr>
            <w:rStyle w:val="Hyperlink"/>
          </w:rPr>
          <w:t xml:space="preserve">[103]</w:t>
        </w:r>
      </w:hyperlink>
      <w:r>
        <w:br/>
      </w:r>
      <w:r>
        <w:t xml:space="preserve">- Fifth Circuit sanctions order (example of judicial response to AI-assisted drafting failures).</w:t>
      </w:r>
      <w:r>
        <w:t xml:space="preserve"> </w:t>
      </w:r>
      <w:hyperlink r:id="rId42">
        <w:r>
          <w:rPr>
            <w:rStyle w:val="Hyperlink"/>
          </w:rPr>
          <w:t xml:space="preserve">[36]</w:t>
        </w:r>
      </w:hyperlink>
      <w:r>
        <w:br/>
      </w:r>
      <w:r>
        <w:t xml:space="preserve">- New York court system AI annual report (institutional governance perspective).</w:t>
      </w:r>
      <w:r>
        <w:t xml:space="preserve"> </w:t>
      </w:r>
      <w:hyperlink r:id="rId68">
        <w:r>
          <w:rPr>
            <w:rStyle w:val="Hyperlink"/>
          </w:rPr>
          <w:t xml:space="preserve">[104]</w:t>
        </w:r>
      </w:hyperlink>
    </w:p>
    <w:p>
      <w:pPr>
        <w:pStyle w:val="BodyText"/>
      </w:pPr>
      <w:r>
        <w:rPr>
          <w:b/>
          <w:bCs/>
        </w:rPr>
        <w:t xml:space="preserve">Key secondary sources</w:t>
      </w:r>
      <w:r>
        <w:br/>
      </w:r>
      <w:r>
        <w:t xml:space="preserve">- ABA Formal Opinion 512 (how BI-level ethics duties map to AI-assisted drafting).</w:t>
      </w:r>
      <w:r>
        <w:t xml:space="preserve"> </w:t>
      </w:r>
      <w:hyperlink r:id="rId43">
        <w:r>
          <w:rPr>
            <w:rStyle w:val="Hyperlink"/>
          </w:rPr>
          <w:t xml:space="preserve">[37]</w:t>
        </w:r>
      </w:hyperlink>
    </w:p>
    <w:p>
      <w:pPr>
        <w:pStyle w:val="BodyText"/>
      </w:pPr>
      <w:r>
        <w:rPr>
          <w:b/>
          <w:bCs/>
        </w:rPr>
        <w:t xml:space="preserve">Research notes</w:t>
      </w:r>
      <w:r>
        <w:br/>
      </w:r>
      <w:r>
        <w:t xml:space="preserve">Major conflict: Policymakers diverge on whether to impose explicit AI-use disclosure/certification requirements on litigants. The Fifth Circuit studied such a rule and declined it, while still using existing disciplinary/sanctions tools against inaccurate filings.</w:t>
      </w:r>
      <w:r>
        <w:t xml:space="preserve"> </w:t>
      </w:r>
      <w:hyperlink r:id="rId42">
        <w:r>
          <w:rPr>
            <w:rStyle w:val="Hyperlink"/>
          </w:rPr>
          <w:t xml:space="preserve">[46]</w:t>
        </w:r>
      </w:hyperlink>
      <w:r>
        <w:br/>
      </w:r>
      <w:r>
        <w:t xml:space="preserve">Open questions: Whether judges’ internal use of AI to summarize filings or evidence could create record-based challenges (e.g., reliance on non-record material, bias, or unreviewable reasoning) remains underdeveloped in most jurisdictions; current policies tend to emphasize controls and confidentiality but do not resolve litigation-facing due-process theory.</w:t>
      </w:r>
      <w:r>
        <w:t xml:space="preserve"> </w:t>
      </w:r>
      <w:hyperlink r:id="rId68">
        <w:r>
          <w:rPr>
            <w:rStyle w:val="Hyperlink"/>
          </w:rPr>
          <w:t xml:space="preserve">[105]</w:t>
        </w:r>
      </w:hyperlink>
    </w:p>
    <w:p>
      <w:r>
        <w:pict>
          <v:rect style="width:0;height:1.5pt" o:hralign="center" o:hrstd="t" o:hr="t"/>
        </w:pict>
      </w:r>
    </w:p>
    <w:bookmarkEnd w:id="69"/>
    <w:bookmarkStart w:id="70" w:name="pro-se-evidence-organization-standards"/>
    <w:p>
      <w:pPr>
        <w:pStyle w:val="Heading3"/>
      </w:pPr>
      <w:r>
        <w:t xml:space="preserve">Pro Se Evidence Organization Standards</w:t>
      </w:r>
    </w:p>
    <w:p>
      <w:pPr>
        <w:pStyle w:val="FirstParagraph"/>
      </w:pPr>
      <w:r>
        <w:rPr>
          <w:b/>
          <w:bCs/>
        </w:rPr>
        <w:t xml:space="preserve">SEO title</w:t>
      </w:r>
      <w:r>
        <w:t xml:space="preserve">: Pro Se Evidence Organization Standards: Building a Court-Usable Record in Family Cases</w:t>
      </w:r>
      <w:r>
        <w:br/>
      </w:r>
      <w:r>
        <w:rPr>
          <w:b/>
          <w:bCs/>
        </w:rPr>
        <w:t xml:space="preserve">Abstract</w:t>
      </w:r>
      <w:r>
        <w:t xml:space="preserve">: This article provides a standardized evidence organization system for self-represented parties, designed to improve admissibility and judicial usability without requiring expensive tools. It includes exhibit indexing conventions, declaration-to-exhibit linking methods, and plain-language templates for common family-court evidence packets.</w:t>
      </w:r>
      <w:r>
        <w:t xml:space="preserve"> </w:t>
      </w:r>
      <w:hyperlink r:id="rId26">
        <w:r>
          <w:rPr>
            <w:rStyle w:val="Hyperlink"/>
          </w:rPr>
          <w:t xml:space="preserve">[106]</w:t>
        </w:r>
      </w:hyperlink>
      <w:r>
        <w:br/>
      </w:r>
      <w:r>
        <w:rPr>
          <w:b/>
          <w:bCs/>
        </w:rPr>
        <w:t xml:space="preserve">Suggested metadata/tags</w:t>
      </w:r>
      <w:r>
        <w:t xml:space="preserve">: pro se evidence; exhibit binder; declarations; authentication; family court; hearing preparation</w:t>
      </w:r>
    </w:p>
    <w:p>
      <w:pPr>
        <w:pStyle w:val="BodyText"/>
      </w:pPr>
      <w:r>
        <w:rPr>
          <w:b/>
          <w:bCs/>
        </w:rPr>
        <w:t xml:space="preserve">Executive summary</w:t>
      </w:r>
      <w:r>
        <w:br/>
      </w:r>
      <w:r>
        <w:t xml:space="preserve">Self-represented parties lose evidentiary battles disproportionately because they present disorganized, unauthenticated piles of documents rather than a navigable record tied to specific requested relief. Courts evaluate admissibility through structured gates, and those gates are easier to satisfy when exhibits are packaged with (1) an index, (2) a declaration laying foundation, (3) clear relevance linked to the requested order, and (4) minimal redundancy.</w:t>
      </w:r>
      <w:r>
        <w:t xml:space="preserve"> </w:t>
      </w:r>
      <w:hyperlink r:id="rId26">
        <w:r>
          <w:rPr>
            <w:rStyle w:val="Hyperlink"/>
          </w:rPr>
          <w:t xml:space="preserve">[7]</w:t>
        </w:r>
      </w:hyperlink>
      <w:r>
        <w:br/>
      </w:r>
      <w:r>
        <w:t xml:space="preserve">Institutional efforts to standardize filings—such as statewide approved family forms—reduce procedural failure but do not solve evidence organization; a separate “evidence packet protocol” is needed.</w:t>
      </w:r>
      <w:r>
        <w:t xml:space="preserve"> </w:t>
      </w:r>
      <w:hyperlink r:id="rId53">
        <w:r>
          <w:rPr>
            <w:rStyle w:val="Hyperlink"/>
          </w:rPr>
          <w:t xml:space="preserve">[67]</w:t>
        </w:r>
      </w:hyperlink>
    </w:p>
    <w:p>
      <w:pPr>
        <w:pStyle w:val="BodyText"/>
      </w:pPr>
      <w:r>
        <w:rPr>
          <w:b/>
          <w:bCs/>
        </w:rPr>
        <w:t xml:space="preserve">Proposed detailed outline with target word counts (2,500–3,200 words)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jc w:val="right"/>
            </w:pPr>
            <w:r>
              <w:t xml:space="preserve">Target words</w:t>
            </w:r>
          </w:p>
        </w:tc>
      </w:tr>
      <w:tr>
        <w:tc>
          <w:tcPr/>
          <w:p>
            <w:pPr>
              <w:pStyle w:val="Compact"/>
            </w:pPr>
            <w:r>
              <w:t xml:space="preserve">Executive summary</w:t>
            </w:r>
          </w:p>
        </w:tc>
        <w:tc>
          <w:tcPr/>
          <w:p>
            <w:pPr>
              <w:pStyle w:val="Compact"/>
              <w:jc w:val="right"/>
            </w:pPr>
            <w:r>
              <w:t xml:space="preserve">200</w:t>
            </w:r>
          </w:p>
        </w:tc>
      </w:tr>
      <w:tr>
        <w:tc>
          <w:tcPr/>
          <w:p>
            <w:pPr>
              <w:pStyle w:val="Compact"/>
            </w:pPr>
            <w:r>
              <w:t xml:space="preserve">What judges need: usability, credibility, and rule compliance</w:t>
            </w:r>
          </w:p>
        </w:tc>
        <w:tc>
          <w:tcPr/>
          <w:p>
            <w:pPr>
              <w:pStyle w:val="Compact"/>
              <w:jc w:val="right"/>
            </w:pPr>
            <w:r>
              <w:t xml:space="preserve">450</w:t>
            </w:r>
          </w:p>
        </w:tc>
      </w:tr>
      <w:tr>
        <w:tc>
          <w:tcPr/>
          <w:p>
            <w:pPr>
              <w:pStyle w:val="Compact"/>
            </w:pPr>
            <w:r>
              <w:t xml:space="preserve">Evidence packet architecture: index, tabs, labels, pagination</w:t>
            </w:r>
          </w:p>
        </w:tc>
        <w:tc>
          <w:tcPr/>
          <w:p>
            <w:pPr>
              <w:pStyle w:val="Compact"/>
              <w:jc w:val="right"/>
            </w:pPr>
            <w:r>
              <w:t xml:space="preserve">600</w:t>
            </w:r>
          </w:p>
        </w:tc>
      </w:tr>
      <w:tr>
        <w:tc>
          <w:tcPr/>
          <w:p>
            <w:pPr>
              <w:pStyle w:val="Compact"/>
            </w:pPr>
            <w:r>
              <w:t xml:space="preserve">Foundation via declarations: linking facts to exhibits</w:t>
            </w:r>
          </w:p>
        </w:tc>
        <w:tc>
          <w:tcPr/>
          <w:p>
            <w:pPr>
              <w:pStyle w:val="Compact"/>
              <w:jc w:val="right"/>
            </w:pPr>
            <w:r>
              <w:t xml:space="preserve">600</w:t>
            </w:r>
          </w:p>
        </w:tc>
      </w:tr>
      <w:tr>
        <w:tc>
          <w:tcPr/>
          <w:p>
            <w:pPr>
              <w:pStyle w:val="Compact"/>
            </w:pPr>
            <w:r>
              <w:t xml:space="preserve">Digital exhibits: screenshots, exports, context, and authentication tactics</w:t>
            </w:r>
          </w:p>
        </w:tc>
        <w:tc>
          <w:tcPr/>
          <w:p>
            <w:pPr>
              <w:pStyle w:val="Compact"/>
              <w:jc w:val="right"/>
            </w:pPr>
            <w:r>
              <w:t xml:space="preserve">700</w:t>
            </w:r>
          </w:p>
        </w:tc>
      </w:tr>
      <w:tr>
        <w:tc>
          <w:tcPr/>
          <w:p>
            <w:pPr>
              <w:pStyle w:val="Compact"/>
            </w:pPr>
            <w:r>
              <w:t xml:space="preserve">Plain-language templates and checklists</w:t>
            </w:r>
          </w:p>
        </w:tc>
        <w:tc>
          <w:tcPr/>
          <w:p>
            <w:pPr>
              <w:pStyle w:val="Compact"/>
              <w:jc w:val="right"/>
            </w:pPr>
            <w:r>
              <w:t xml:space="preserve">650</w:t>
            </w:r>
          </w:p>
        </w:tc>
      </w:tr>
    </w:tbl>
    <w:p>
      <w:pPr>
        <w:pStyle w:val="BodyText"/>
      </w:pPr>
      <w:r>
        <w:rPr>
          <w:b/>
          <w:bCs/>
        </w:rPr>
        <w:t xml:space="preserve">Primary sources to cite</w:t>
      </w:r>
      <w:r>
        <w:br/>
      </w:r>
      <w:r>
        <w:t xml:space="preserve">- Fed. R. Evid. 901 and general admissibility structure (baseline model).</w:t>
      </w:r>
      <w:r>
        <w:t xml:space="preserve"> </w:t>
      </w:r>
      <w:hyperlink r:id="rId22">
        <w:r>
          <w:rPr>
            <w:rStyle w:val="Hyperlink"/>
          </w:rPr>
          <w:t xml:space="preserve">[12]</w:t>
        </w:r>
      </w:hyperlink>
      <w:r>
        <w:br/>
      </w:r>
      <w:r>
        <w:t xml:space="preserve">- Illinois statewide approved family forms (pro se infrastructure reference point).</w:t>
      </w:r>
      <w:r>
        <w:t xml:space="preserve"> </w:t>
      </w:r>
      <w:hyperlink r:id="rId53">
        <w:r>
          <w:rPr>
            <w:rStyle w:val="Hyperlink"/>
          </w:rPr>
          <w:t xml:space="preserve">[67]</w:t>
        </w:r>
      </w:hyperlink>
    </w:p>
    <w:p>
      <w:pPr>
        <w:pStyle w:val="BodyText"/>
      </w:pPr>
      <w:r>
        <w:rPr>
          <w:b/>
          <w:bCs/>
        </w:rPr>
        <w:t xml:space="preserve">Plain-language templates</w:t>
      </w:r>
      <w:r>
        <w:br/>
      </w:r>
      <w:r>
        <w:rPr>
          <w:i/>
          <w:iCs/>
        </w:rPr>
        <w:t xml:space="preserve">Exhibit Index Template</w:t>
      </w:r>
      <w:r>
        <w:br/>
      </w:r>
      <w:r>
        <w:t xml:space="preserve">- Exhibit A — [Title] — [Date] — [What it proves in one sentence]</w:t>
      </w:r>
      <w:r>
        <w:br/>
      </w:r>
      <w:r>
        <w:t xml:space="preserve">- Exhibit B — [Title] — [Date] — [What it proves]</w:t>
      </w:r>
    </w:p>
    <w:p>
      <w:pPr>
        <w:pStyle w:val="BodyText"/>
      </w:pPr>
      <w:r>
        <w:rPr>
          <w:i/>
          <w:iCs/>
        </w:rPr>
        <w:t xml:space="preserve">Foundation Declaration Template (Plain Language)</w:t>
      </w:r>
      <w:r>
        <w:br/>
      </w:r>
      <w:r>
        <w:t xml:space="preserve">1. I am</w:t>
      </w:r>
      <w:r>
        <w:t xml:space="preserve"> </w:t>
      </w:r>
      <w:r>
        <w:rPr>
          <w:b/>
          <w:bCs/>
        </w:rPr>
        <w:t xml:space="preserve">.</w:t>
      </w:r>
      <w:r>
        <w:br/>
      </w:r>
      <w:r>
        <w:rPr>
          <w:b/>
          <w:bCs/>
        </w:rPr>
        <w:t xml:space="preserve">2. Exhibit __ is a true and correct copy of</w:t>
      </w:r>
      <w:r>
        <w:t xml:space="preserve"> </w:t>
      </w:r>
      <w:r>
        <w:t xml:space="preserve">.</w:t>
      </w:r>
      <w:r>
        <w:br/>
      </w:r>
      <w:r>
        <w:t xml:space="preserve">3. I obtained it by __ on [date/time].</w:t>
      </w:r>
      <w:r>
        <w:br/>
      </w:r>
      <w:r>
        <w:t xml:space="preserve">4. It has not been edited except for [redactions if any].</w:t>
      </w:r>
      <w:r>
        <w:br/>
      </w:r>
      <w:r>
        <w:t xml:space="preserve">5. I offer it to show __.</w:t>
      </w:r>
    </w:p>
    <w:p>
      <w:pPr>
        <w:pStyle w:val="BodyText"/>
      </w:pPr>
      <w:r>
        <w:rPr>
          <w:i/>
          <w:iCs/>
        </w:rPr>
        <w:t xml:space="preserve">Hearing-Day Organization Checklist</w:t>
      </w:r>
      <w:r>
        <w:br/>
      </w:r>
      <w:r>
        <w:t xml:space="preserve">- Two hard copies: one for the court, one for opposing party (plus your copy).</w:t>
      </w:r>
      <w:r>
        <w:br/>
      </w:r>
      <w:r>
        <w:t xml:space="preserve">- Digital backup on a read-only medium when permitted (and a printed index).</w:t>
      </w:r>
      <w:r>
        <w:br/>
      </w:r>
      <w:r>
        <w:t xml:space="preserve">- One-page “issues + exhibits map” so the judge can follow.</w:t>
      </w:r>
    </w:p>
    <w:p>
      <w:r>
        <w:pict>
          <v:rect style="width:0;height:1.5pt" o:hralign="center" o:hrstd="t" o:hr="t"/>
        </w:pict>
      </w:r>
    </w:p>
    <w:bookmarkEnd w:id="70"/>
    <w:bookmarkEnd w:id="71"/>
    <w:bookmarkStart w:id="72" w:name="Xfebe637cf1439cd2eb53e50e484c5bfad3043d9"/>
    <w:p>
      <w:pPr>
        <w:pStyle w:val="Heading2"/>
      </w:pPr>
      <w:r>
        <w:t xml:space="preserve">Notes on completeness and emerging issues</w:t>
      </w:r>
    </w:p>
    <w:p>
      <w:pPr>
        <w:pStyle w:val="FirstParagraph"/>
      </w:pPr>
      <w:r>
        <w:t xml:space="preserve">Across all topics involving AI and digital evidence, the most unsettled area is the interface between (a) rapid technological change (deepfakes, synthetic audio/video, AI-generated documents) and (b) evidentiary reliability doctrines and rulemaking. Federal rulemakers have been actively discussing AI-generated evidence regulation, signaling likely doctrinal development rather than stability.</w:t>
      </w:r>
      <w:r>
        <w:t xml:space="preserve"> </w:t>
      </w:r>
      <w:hyperlink r:id="rId37">
        <w:r>
          <w:rPr>
            <w:rStyle w:val="Hyperlink"/>
          </w:rPr>
          <w:t xml:space="preserve">[107]</w:t>
        </w:r>
      </w:hyperlink>
    </w:p>
    <w:bookmarkEnd w:id="72"/>
    <w:bookmarkEnd w:id="73"/>
    <w:bookmarkEnd w:id="74"/>
    <w:p>
      <w:r>
        <w:pict>
          <v:rect style="width:0;height:1.5pt" o:hralign="center" o:hrstd="t" o:hr="t"/>
        </w:pict>
      </w:r>
    </w:p>
    <w:bookmarkStart w:id="75" w:name="citations"/>
    <w:p>
      <w:pPr>
        <w:pStyle w:val="FirstParagraph"/>
      </w:pPr>
      <w:hyperlink r:id="rId21">
        <w:r>
          <w:rPr>
            <w:rStyle w:val="Hyperlink"/>
          </w:rPr>
          <w:t xml:space="preserve">[1]</w:t>
        </w:r>
      </w:hyperlink>
      <w:r>
        <w:t xml:space="preserve"> </w:t>
      </w:r>
      <w:hyperlink r:id="rId21">
        <w:r>
          <w:rPr>
            <w:rStyle w:val="Hyperlink"/>
          </w:rPr>
          <w:t xml:space="preserve">[16]</w:t>
        </w:r>
      </w:hyperlink>
      <w:r>
        <w:t xml:space="preserve"> </w:t>
      </w:r>
      <w:hyperlink r:id="rId21">
        <w:r>
          <w:rPr>
            <w:rStyle w:val="Hyperlink"/>
          </w:rPr>
          <w:t xml:space="preserve">[40]</w:t>
        </w:r>
      </w:hyperlink>
      <w:r>
        <w:t xml:space="preserve"> </w:t>
      </w:r>
      <w:hyperlink r:id="rId21">
        <w:r>
          <w:rPr>
            <w:rStyle w:val="Hyperlink"/>
          </w:rPr>
          <w:t xml:space="preserve">[49]</w:t>
        </w:r>
      </w:hyperlink>
      <w:r>
        <w:t xml:space="preserve"> </w:t>
      </w:r>
      <w:hyperlink r:id="rId21">
        <w:r>
          <w:rPr>
            <w:rStyle w:val="Hyperlink"/>
          </w:rPr>
          <w:t xml:space="preserve">[55]</w:t>
        </w:r>
      </w:hyperlink>
      <w:r>
        <w:t xml:space="preserve"> </w:t>
      </w:r>
      <w:hyperlink r:id="rId21">
        <w:r>
          <w:rPr>
            <w:rStyle w:val="Hyperlink"/>
          </w:rPr>
          <w:t xml:space="preserve">[56]</w:t>
        </w:r>
      </w:hyperlink>
      <w:r>
        <w:t xml:space="preserve"> </w:t>
      </w:r>
      <w:hyperlink r:id="rId21">
        <w:r>
          <w:rPr>
            <w:rStyle w:val="Hyperlink"/>
          </w:rPr>
          <w:t xml:space="preserve">[64]</w:t>
        </w:r>
      </w:hyperlink>
      <w:r>
        <w:t xml:space="preserve"> </w:t>
      </w:r>
      <w:hyperlink r:id="rId21">
        <w:r>
          <w:rPr>
            <w:rStyle w:val="Hyperlink"/>
          </w:rPr>
          <w:t xml:space="preserve">[65]</w:t>
        </w:r>
      </w:hyperlink>
      <w:r>
        <w:t xml:space="preserve"> </w:t>
      </w:r>
      <w:hyperlink r:id="rId21">
        <w:r>
          <w:rPr>
            <w:rStyle w:val="Hyperlink"/>
          </w:rPr>
          <w:t xml:space="preserve">[66]</w:t>
        </w:r>
      </w:hyperlink>
      <w:r>
        <w:t xml:space="preserve"> </w:t>
      </w:r>
      <w:r>
        <w:t xml:space="preserve">https://www.uscourts.gov/sites/default/files/2025-02/federal-rules-of-civil-procedure-dec-1-2024_0.pdf</w:t>
      </w:r>
    </w:p>
    <w:p>
      <w:pPr>
        <w:pStyle w:val="BodyText"/>
      </w:pPr>
      <w:hyperlink r:id="rId21">
        <w:r>
          <w:rPr>
            <w:rStyle w:val="Hyperlink"/>
          </w:rPr>
          <w:t xml:space="preserve">https://www.uscourts.gov/sites/default/files/2025-02/federal-rules-of-civil-procedure-dec-1-2024_0.pdf</w:t>
        </w:r>
      </w:hyperlink>
    </w:p>
    <w:p>
      <w:pPr>
        <w:pStyle w:val="BodyText"/>
      </w:pPr>
      <w:hyperlink r:id="rId22">
        <w:r>
          <w:rPr>
            <w:rStyle w:val="Hyperlink"/>
          </w:rPr>
          <w:t xml:space="preserve">[2]</w:t>
        </w:r>
      </w:hyperlink>
      <w:r>
        <w:t xml:space="preserve"> </w:t>
      </w:r>
      <w:hyperlink r:id="rId22">
        <w:r>
          <w:rPr>
            <w:rStyle w:val="Hyperlink"/>
          </w:rPr>
          <w:t xml:space="preserve">[6]</w:t>
        </w:r>
      </w:hyperlink>
      <w:r>
        <w:t xml:space="preserve"> </w:t>
      </w:r>
      <w:hyperlink r:id="rId22">
        <w:r>
          <w:rPr>
            <w:rStyle w:val="Hyperlink"/>
          </w:rPr>
          <w:t xml:space="preserve">[11]</w:t>
        </w:r>
      </w:hyperlink>
      <w:r>
        <w:t xml:space="preserve"> </w:t>
      </w:r>
      <w:hyperlink r:id="rId22">
        <w:r>
          <w:rPr>
            <w:rStyle w:val="Hyperlink"/>
          </w:rPr>
          <w:t xml:space="preserve">[12]</w:t>
        </w:r>
      </w:hyperlink>
      <w:r>
        <w:t xml:space="preserve"> </w:t>
      </w:r>
      <w:hyperlink r:id="rId22">
        <w:r>
          <w:rPr>
            <w:rStyle w:val="Hyperlink"/>
          </w:rPr>
          <w:t xml:space="preserve">[15]</w:t>
        </w:r>
      </w:hyperlink>
      <w:r>
        <w:t xml:space="preserve"> </w:t>
      </w:r>
      <w:hyperlink r:id="rId22">
        <w:r>
          <w:rPr>
            <w:rStyle w:val="Hyperlink"/>
          </w:rPr>
          <w:t xml:space="preserve">[34]</w:t>
        </w:r>
      </w:hyperlink>
      <w:r>
        <w:t xml:space="preserve"> </w:t>
      </w:r>
      <w:hyperlink r:id="rId22">
        <w:r>
          <w:rPr>
            <w:rStyle w:val="Hyperlink"/>
          </w:rPr>
          <w:t xml:space="preserve">[50]</w:t>
        </w:r>
      </w:hyperlink>
      <w:r>
        <w:t xml:space="preserve"> </w:t>
      </w:r>
      <w:hyperlink r:id="rId22">
        <w:r>
          <w:rPr>
            <w:rStyle w:val="Hyperlink"/>
          </w:rPr>
          <w:t xml:space="preserve">[101]</w:t>
        </w:r>
      </w:hyperlink>
      <w:r>
        <w:t xml:space="preserve"> </w:t>
      </w:r>
      <w:r>
        <w:t xml:space="preserve">https://www.uscourts.gov/sites/default/files/2025-02/federal-rules-of-evidence-dec-1-2024_0.pdf</w:t>
      </w:r>
    </w:p>
    <w:p>
      <w:pPr>
        <w:pStyle w:val="BodyText"/>
      </w:pPr>
      <w:hyperlink r:id="rId22">
        <w:r>
          <w:rPr>
            <w:rStyle w:val="Hyperlink"/>
          </w:rPr>
          <w:t xml:space="preserve">https://www.uscourts.gov/sites/default/files/2025-02/federal-rules-of-evidence-dec-1-2024_0.pdf</w:t>
        </w:r>
      </w:hyperlink>
    </w:p>
    <w:p>
      <w:pPr>
        <w:pStyle w:val="BodyText"/>
      </w:pPr>
      <w:hyperlink r:id="rId23">
        <w:r>
          <w:rPr>
            <w:rStyle w:val="Hyperlink"/>
          </w:rPr>
          <w:t xml:space="preserve">[3]</w:t>
        </w:r>
      </w:hyperlink>
      <w:r>
        <w:t xml:space="preserve"> </w:t>
      </w:r>
      <w:hyperlink r:id="rId23">
        <w:r>
          <w:rPr>
            <w:rStyle w:val="Hyperlink"/>
          </w:rPr>
          <w:t xml:space="preserve">[75]</w:t>
        </w:r>
      </w:hyperlink>
      <w:r>
        <w:t xml:space="preserve"> </w:t>
      </w:r>
      <w:hyperlink r:id="rId23">
        <w:r>
          <w:rPr>
            <w:rStyle w:val="Hyperlink"/>
          </w:rPr>
          <w:t xml:space="preserve">[85]</w:t>
        </w:r>
      </w:hyperlink>
      <w:r>
        <w:t xml:space="preserve"> </w:t>
      </w:r>
      <w:r>
        <w:t xml:space="preserve">https://statutes.capitol.texas.gov/GetStatute.aspx?Code=FA&amp;Value=104.006</w:t>
      </w:r>
    </w:p>
    <w:p>
      <w:pPr>
        <w:pStyle w:val="BodyText"/>
      </w:pPr>
      <w:hyperlink r:id="rId23">
        <w:r>
          <w:rPr>
            <w:rStyle w:val="Hyperlink"/>
          </w:rPr>
          <w:t xml:space="preserve">https://statutes.capitol.texas.gov/GetStatute.aspx?Code=FA&amp;Value=104.006</w:t>
        </w:r>
      </w:hyperlink>
    </w:p>
    <w:p>
      <w:pPr>
        <w:pStyle w:val="BodyText"/>
      </w:pPr>
      <w:hyperlink r:id="rId24">
        <w:r>
          <w:rPr>
            <w:rStyle w:val="Hyperlink"/>
          </w:rPr>
          <w:t xml:space="preserve">[4]</w:t>
        </w:r>
      </w:hyperlink>
      <w:r>
        <w:t xml:space="preserve"> </w:t>
      </w:r>
      <w:hyperlink r:id="rId24">
        <w:r>
          <w:rPr>
            <w:rStyle w:val="Hyperlink"/>
          </w:rPr>
          <w:t xml:space="preserve">[68]</w:t>
        </w:r>
      </w:hyperlink>
      <w:r>
        <w:t xml:space="preserve"> </w:t>
      </w:r>
      <w:hyperlink r:id="rId24">
        <w:r>
          <w:rPr>
            <w:rStyle w:val="Hyperlink"/>
          </w:rPr>
          <w:t xml:space="preserve">[79]</w:t>
        </w:r>
      </w:hyperlink>
      <w:r>
        <w:t xml:space="preserve"> </w:t>
      </w:r>
      <w:r>
        <w:t xml:space="preserve">https://www-media.floridabar.org/uploads/2025/09/2026_04-OCT-Family-Law-Rules-of-Procedure-10-1-2025.pdf</w:t>
      </w:r>
    </w:p>
    <w:p>
      <w:pPr>
        <w:pStyle w:val="BodyText"/>
      </w:pPr>
      <w:hyperlink r:id="rId24">
        <w:r>
          <w:rPr>
            <w:rStyle w:val="Hyperlink"/>
          </w:rPr>
          <w:t xml:space="preserve">https://www-media.floridabar.org/uploads/2025/09/2026_04-OCT-Family-Law-Rules-of-Procedure-10-1-2025.pdf</w:t>
        </w:r>
      </w:hyperlink>
    </w:p>
    <w:p>
      <w:pPr>
        <w:pStyle w:val="BodyText"/>
      </w:pPr>
      <w:hyperlink r:id="rId25">
        <w:r>
          <w:rPr>
            <w:rStyle w:val="Hyperlink"/>
          </w:rPr>
          <w:t xml:space="preserve">[5]</w:t>
        </w:r>
      </w:hyperlink>
      <w:r>
        <w:t xml:space="preserve"> </w:t>
      </w:r>
      <w:hyperlink r:id="rId25">
        <w:r>
          <w:rPr>
            <w:rStyle w:val="Hyperlink"/>
          </w:rPr>
          <w:t xml:space="preserve">[58]</w:t>
        </w:r>
      </w:hyperlink>
      <w:r>
        <w:t xml:space="preserve"> </w:t>
      </w:r>
      <w:hyperlink r:id="rId25">
        <w:r>
          <w:rPr>
            <w:rStyle w:val="Hyperlink"/>
          </w:rPr>
          <w:t xml:space="preserve">[59]</w:t>
        </w:r>
      </w:hyperlink>
      <w:r>
        <w:t xml:space="preserve"> </w:t>
      </w:r>
      <w:hyperlink r:id="rId25">
        <w:r>
          <w:rPr>
            <w:rStyle w:val="Hyperlink"/>
          </w:rPr>
          <w:t xml:space="preserve">[62]</w:t>
        </w:r>
      </w:hyperlink>
      <w:r>
        <w:t xml:space="preserve"> </w:t>
      </w:r>
      <w:r>
        <w:t xml:space="preserve">https://caselaw.findlaw.com/court/us-dis-crt-sd-new-yor/2177456.html</w:t>
      </w:r>
    </w:p>
    <w:p>
      <w:pPr>
        <w:pStyle w:val="BodyText"/>
      </w:pPr>
      <w:hyperlink r:id="rId25">
        <w:r>
          <w:rPr>
            <w:rStyle w:val="Hyperlink"/>
          </w:rPr>
          <w:t xml:space="preserve">https://caselaw.findlaw.com/court/us-dis-crt-sd-new-yor/2177456.html</w:t>
        </w:r>
      </w:hyperlink>
    </w:p>
    <w:p>
      <w:pPr>
        <w:pStyle w:val="BodyText"/>
      </w:pPr>
      <w:hyperlink r:id="rId26">
        <w:r>
          <w:rPr>
            <w:rStyle w:val="Hyperlink"/>
          </w:rPr>
          <w:t xml:space="preserve">[7]</w:t>
        </w:r>
      </w:hyperlink>
      <w:r>
        <w:t xml:space="preserve"> </w:t>
      </w:r>
      <w:hyperlink r:id="rId26">
        <w:r>
          <w:rPr>
            <w:rStyle w:val="Hyperlink"/>
          </w:rPr>
          <w:t xml:space="preserve">[8]</w:t>
        </w:r>
      </w:hyperlink>
      <w:r>
        <w:t xml:space="preserve"> </w:t>
      </w:r>
      <w:hyperlink r:id="rId26">
        <w:r>
          <w:rPr>
            <w:rStyle w:val="Hyperlink"/>
          </w:rPr>
          <w:t xml:space="preserve">[14]</w:t>
        </w:r>
      </w:hyperlink>
      <w:r>
        <w:t xml:space="preserve"> </w:t>
      </w:r>
      <w:hyperlink r:id="rId26">
        <w:r>
          <w:rPr>
            <w:rStyle w:val="Hyperlink"/>
          </w:rPr>
          <w:t xml:space="preserve">[17]</w:t>
        </w:r>
      </w:hyperlink>
      <w:r>
        <w:t xml:space="preserve"> </w:t>
      </w:r>
      <w:hyperlink r:id="rId26">
        <w:r>
          <w:rPr>
            <w:rStyle w:val="Hyperlink"/>
          </w:rPr>
          <w:t xml:space="preserve">[25]</w:t>
        </w:r>
      </w:hyperlink>
      <w:r>
        <w:t xml:space="preserve"> </w:t>
      </w:r>
      <w:hyperlink r:id="rId26">
        <w:r>
          <w:rPr>
            <w:rStyle w:val="Hyperlink"/>
          </w:rPr>
          <w:t xml:space="preserve">[29]</w:t>
        </w:r>
      </w:hyperlink>
      <w:r>
        <w:t xml:space="preserve"> </w:t>
      </w:r>
      <w:hyperlink r:id="rId26">
        <w:r>
          <w:rPr>
            <w:rStyle w:val="Hyperlink"/>
          </w:rPr>
          <w:t xml:space="preserve">[93]</w:t>
        </w:r>
      </w:hyperlink>
      <w:r>
        <w:t xml:space="preserve"> </w:t>
      </w:r>
      <w:hyperlink r:id="rId26">
        <w:r>
          <w:rPr>
            <w:rStyle w:val="Hyperlink"/>
          </w:rPr>
          <w:t xml:space="preserve">[106]</w:t>
        </w:r>
      </w:hyperlink>
      <w:r>
        <w:t xml:space="preserve"> </w:t>
      </w:r>
      <w:r>
        <w:t xml:space="preserve">https://www.govinfo.gov/content/pkg/USCOURTS-mdd-1_06-cv-01893/pdf/USCOURTS-mdd-1_06-cv-01893-0.pdf</w:t>
      </w:r>
    </w:p>
    <w:p>
      <w:pPr>
        <w:pStyle w:val="BodyText"/>
      </w:pPr>
      <w:hyperlink r:id="rId26">
        <w:r>
          <w:rPr>
            <w:rStyle w:val="Hyperlink"/>
          </w:rPr>
          <w:t xml:space="preserve">https://www.govinfo.gov/content/pkg/USCOURTS-mdd-1_06-cv-01893/pdf/USCOURTS-mdd-1_06-cv-01893-0.pdf</w:t>
        </w:r>
      </w:hyperlink>
    </w:p>
    <w:p>
      <w:pPr>
        <w:pStyle w:val="BodyText"/>
      </w:pPr>
      <w:hyperlink r:id="rId28">
        <w:r>
          <w:rPr>
            <w:rStyle w:val="Hyperlink"/>
          </w:rPr>
          <w:t xml:space="preserve">[9]</w:t>
        </w:r>
      </w:hyperlink>
      <w:r>
        <w:t xml:space="preserve"> </w:t>
      </w:r>
      <w:hyperlink r:id="rId28">
        <w:r>
          <w:rPr>
            <w:rStyle w:val="Hyperlink"/>
          </w:rPr>
          <w:t xml:space="preserve">[13]</w:t>
        </w:r>
      </w:hyperlink>
      <w:r>
        <w:t xml:space="preserve"> </w:t>
      </w:r>
      <w:hyperlink r:id="rId28">
        <w:r>
          <w:rPr>
            <w:rStyle w:val="Hyperlink"/>
          </w:rPr>
          <w:t xml:space="preserve">[27]</w:t>
        </w:r>
      </w:hyperlink>
      <w:r>
        <w:t xml:space="preserve"> </w:t>
      </w:r>
      <w:r>
        <w:t xml:space="preserve">https://www.govinfo.gov/content/pkg/USCOURTS-ca2-13-00803/pdf/USCOURTS-ca2-13-00803-0.pdf</w:t>
      </w:r>
    </w:p>
    <w:p>
      <w:pPr>
        <w:pStyle w:val="BodyText"/>
      </w:pPr>
      <w:hyperlink r:id="rId28">
        <w:r>
          <w:rPr>
            <w:rStyle w:val="Hyperlink"/>
          </w:rPr>
          <w:t xml:space="preserve">https://www.govinfo.gov/content/pkg/USCOURTS-ca2-13-00803/pdf/USCOURTS-ca2-13-00803-0.pdf</w:t>
        </w:r>
      </w:hyperlink>
    </w:p>
    <w:p>
      <w:pPr>
        <w:pStyle w:val="BodyText"/>
      </w:pPr>
      <w:hyperlink r:id="rId29">
        <w:r>
          <w:rPr>
            <w:rStyle w:val="Hyperlink"/>
          </w:rPr>
          <w:t xml:space="preserve">[10]</w:t>
        </w:r>
      </w:hyperlink>
      <w:r>
        <w:t xml:space="preserve"> </w:t>
      </w:r>
      <w:hyperlink r:id="rId29">
        <w:r>
          <w:rPr>
            <w:rStyle w:val="Hyperlink"/>
          </w:rPr>
          <w:t xml:space="preserve">[51]</w:t>
        </w:r>
      </w:hyperlink>
      <w:r>
        <w:t xml:space="preserve"> </w:t>
      </w:r>
      <w:hyperlink r:id="rId29">
        <w:r>
          <w:rPr>
            <w:rStyle w:val="Hyperlink"/>
          </w:rPr>
          <w:t xml:space="preserve">[53]</w:t>
        </w:r>
      </w:hyperlink>
      <w:r>
        <w:t xml:space="preserve"> </w:t>
      </w:r>
      <w:r>
        <w:t xml:space="preserve">https://www.nycourts.gov/judges/evidence/8-HEARSAY/8.08_Business_Record.pdf</w:t>
      </w:r>
    </w:p>
    <w:p>
      <w:pPr>
        <w:pStyle w:val="BodyText"/>
      </w:pPr>
      <w:hyperlink r:id="rId29">
        <w:r>
          <w:rPr>
            <w:rStyle w:val="Hyperlink"/>
          </w:rPr>
          <w:t xml:space="preserve">https://www.nycourts.gov/judges/evidence/8-HEARSAY/8.08_Business_Record.pdf</w:t>
        </w:r>
      </w:hyperlink>
    </w:p>
    <w:p>
      <w:pPr>
        <w:pStyle w:val="BodyText"/>
      </w:pPr>
      <w:hyperlink r:id="rId31">
        <w:r>
          <w:rPr>
            <w:rStyle w:val="Hyperlink"/>
          </w:rPr>
          <w:t xml:space="preserve">[18]</w:t>
        </w:r>
      </w:hyperlink>
      <w:r>
        <w:t xml:space="preserve"> </w:t>
      </w:r>
      <w:hyperlink r:id="rId31">
        <w:r>
          <w:rPr>
            <w:rStyle w:val="Hyperlink"/>
          </w:rPr>
          <w:t xml:space="preserve">[24]</w:t>
        </w:r>
      </w:hyperlink>
      <w:r>
        <w:t xml:space="preserve"> </w:t>
      </w:r>
      <w:r>
        <w:t xml:space="preserve">https://www.courts.state.md.us/data/opinions/coa/2011/74a10.pdf</w:t>
      </w:r>
    </w:p>
    <w:p>
      <w:pPr>
        <w:pStyle w:val="BodyText"/>
      </w:pPr>
      <w:hyperlink r:id="rId31">
        <w:r>
          <w:rPr>
            <w:rStyle w:val="Hyperlink"/>
          </w:rPr>
          <w:t xml:space="preserve">https://www.courts.state.md.us/data/opinions/coa/2011/74a10.pdf</w:t>
        </w:r>
      </w:hyperlink>
    </w:p>
    <w:p>
      <w:pPr>
        <w:pStyle w:val="BodyText"/>
      </w:pPr>
      <w:hyperlink r:id="rId32">
        <w:r>
          <w:rPr>
            <w:rStyle w:val="Hyperlink"/>
          </w:rPr>
          <w:t xml:space="preserve">[19]</w:t>
        </w:r>
      </w:hyperlink>
      <w:r>
        <w:t xml:space="preserve"> </w:t>
      </w:r>
      <w:hyperlink r:id="rId32">
        <w:r>
          <w:rPr>
            <w:rStyle w:val="Hyperlink"/>
          </w:rPr>
          <w:t xml:space="preserve">[31]</w:t>
        </w:r>
      </w:hyperlink>
      <w:r>
        <w:t xml:space="preserve"> </w:t>
      </w:r>
      <w:r>
        <w:t xml:space="preserve">https://www2.law.temple.edu/events/excelling-in-evidence/wp-content/uploads/sites/106/2020/06/United-States-v.-Browne_-834-F.3d-403.pdf</w:t>
      </w:r>
    </w:p>
    <w:p>
      <w:pPr>
        <w:pStyle w:val="BodyText"/>
      </w:pPr>
      <w:hyperlink r:id="rId32">
        <w:r>
          <w:rPr>
            <w:rStyle w:val="Hyperlink"/>
          </w:rPr>
          <w:t xml:space="preserve">https://www2.law.temple.edu/events/excelling-in-evidence/wp-content/uploads/sites/106/2020/06/United-States-v.-Browne_-834-F.3d-403.pdf</w:t>
        </w:r>
      </w:hyperlink>
    </w:p>
    <w:p>
      <w:pPr>
        <w:pStyle w:val="BodyText"/>
      </w:pPr>
      <w:hyperlink r:id="rId33">
        <w:r>
          <w:rPr>
            <w:rStyle w:val="Hyperlink"/>
          </w:rPr>
          <w:t xml:space="preserve">[20]</w:t>
        </w:r>
      </w:hyperlink>
      <w:r>
        <w:t xml:space="preserve"> </w:t>
      </w:r>
      <w:hyperlink r:id="rId33">
        <w:r>
          <w:rPr>
            <w:rStyle w:val="Hyperlink"/>
          </w:rPr>
          <w:t xml:space="preserve">[71]</w:t>
        </w:r>
      </w:hyperlink>
      <w:r>
        <w:t xml:space="preserve"> </w:t>
      </w:r>
      <w:hyperlink r:id="rId33">
        <w:r>
          <w:rPr>
            <w:rStyle w:val="Hyperlink"/>
          </w:rPr>
          <w:t xml:space="preserve">[87]</w:t>
        </w:r>
      </w:hyperlink>
      <w:r>
        <w:t xml:space="preserve"> </w:t>
      </w:r>
      <w:r>
        <w:t xml:space="preserve">https://courts.ca.gov/cms/rules/index/five/rule5_113</w:t>
      </w:r>
    </w:p>
    <w:p>
      <w:pPr>
        <w:pStyle w:val="BodyText"/>
      </w:pPr>
      <w:hyperlink r:id="rId33">
        <w:r>
          <w:rPr>
            <w:rStyle w:val="Hyperlink"/>
          </w:rPr>
          <w:t xml:space="preserve">https://courts.ca.gov/cms/rules/index/five/rule5_113</w:t>
        </w:r>
      </w:hyperlink>
    </w:p>
    <w:p>
      <w:pPr>
        <w:pStyle w:val="BodyText"/>
      </w:pPr>
      <w:hyperlink r:id="rId34">
        <w:r>
          <w:rPr>
            <w:rStyle w:val="Hyperlink"/>
          </w:rPr>
          <w:t xml:space="preserve">[21]</w:t>
        </w:r>
      </w:hyperlink>
      <w:r>
        <w:t xml:space="preserve"> </w:t>
      </w:r>
      <w:hyperlink r:id="rId34">
        <w:r>
          <w:rPr>
            <w:rStyle w:val="Hyperlink"/>
          </w:rPr>
          <w:t xml:space="preserve">[95]</w:t>
        </w:r>
      </w:hyperlink>
      <w:r>
        <w:t xml:space="preserve"> </w:t>
      </w:r>
      <w:r>
        <w:t xml:space="preserve">https://www.iso.org/standard/44381.html</w:t>
      </w:r>
    </w:p>
    <w:p>
      <w:pPr>
        <w:pStyle w:val="BodyText"/>
      </w:pPr>
      <w:hyperlink r:id="rId34">
        <w:r>
          <w:rPr>
            <w:rStyle w:val="Hyperlink"/>
          </w:rPr>
          <w:t xml:space="preserve">https://www.iso.org/standard/44381.html</w:t>
        </w:r>
      </w:hyperlink>
    </w:p>
    <w:p>
      <w:pPr>
        <w:pStyle w:val="BodyText"/>
      </w:pPr>
      <w:hyperlink r:id="rId35">
        <w:r>
          <w:rPr>
            <w:rStyle w:val="Hyperlink"/>
          </w:rPr>
          <w:t xml:space="preserve">[22]</w:t>
        </w:r>
      </w:hyperlink>
      <w:r>
        <w:t xml:space="preserve"> </w:t>
      </w:r>
      <w:hyperlink r:id="rId35">
        <w:r>
          <w:rPr>
            <w:rStyle w:val="Hyperlink"/>
          </w:rPr>
          <w:t xml:space="preserve">[57]</w:t>
        </w:r>
      </w:hyperlink>
      <w:r>
        <w:t xml:space="preserve"> </w:t>
      </w:r>
      <w:hyperlink r:id="rId35">
        <w:r>
          <w:rPr>
            <w:rStyle w:val="Hyperlink"/>
          </w:rPr>
          <w:t xml:space="preserve">[60]</w:t>
        </w:r>
      </w:hyperlink>
      <w:r>
        <w:t xml:space="preserve"> </w:t>
      </w:r>
      <w:r>
        <w:t xml:space="preserve">https://www.thesedonaconference.org/node/4876</w:t>
      </w:r>
    </w:p>
    <w:p>
      <w:pPr>
        <w:pStyle w:val="BodyText"/>
      </w:pPr>
      <w:hyperlink r:id="rId35">
        <w:r>
          <w:rPr>
            <w:rStyle w:val="Hyperlink"/>
          </w:rPr>
          <w:t xml:space="preserve">https://www.thesedonaconference.org/node/4876</w:t>
        </w:r>
      </w:hyperlink>
    </w:p>
    <w:p>
      <w:pPr>
        <w:pStyle w:val="BodyText"/>
      </w:pPr>
      <w:hyperlink r:id="rId36">
        <w:r>
          <w:rPr>
            <w:rStyle w:val="Hyperlink"/>
          </w:rPr>
          <w:t xml:space="preserve">[23]</w:t>
        </w:r>
      </w:hyperlink>
      <w:r>
        <w:t xml:space="preserve"> </w:t>
      </w:r>
      <w:r>
        <w:t xml:space="preserve">https://cdn.ymaws.com/iadtc.site-ym.com/resource/resmgr/imported/PublicationPDfs/18.1.35.pdf</w:t>
      </w:r>
    </w:p>
    <w:p>
      <w:pPr>
        <w:pStyle w:val="BodyText"/>
      </w:pPr>
      <w:hyperlink r:id="rId36">
        <w:r>
          <w:rPr>
            <w:rStyle w:val="Hyperlink"/>
          </w:rPr>
          <w:t xml:space="preserve">https://cdn.ymaws.com/iadtc.site-ym.com/resource/resmgr/imported/PublicationPDfs/18.1.35.pdf</w:t>
        </w:r>
      </w:hyperlink>
    </w:p>
    <w:p>
      <w:pPr>
        <w:pStyle w:val="BodyText"/>
      </w:pPr>
      <w:hyperlink r:id="rId37">
        <w:r>
          <w:rPr>
            <w:rStyle w:val="Hyperlink"/>
          </w:rPr>
          <w:t xml:space="preserve">[26]</w:t>
        </w:r>
      </w:hyperlink>
      <w:r>
        <w:t xml:space="preserve"> </w:t>
      </w:r>
      <w:hyperlink r:id="rId37">
        <w:r>
          <w:rPr>
            <w:rStyle w:val="Hyperlink"/>
          </w:rPr>
          <w:t xml:space="preserve">[107]</w:t>
        </w:r>
      </w:hyperlink>
      <w:r>
        <w:t xml:space="preserve"> </w:t>
      </w:r>
      <w:r>
        <w:t xml:space="preserve">https://www.reuters.com/legal/government/us-judicial-panel-advances-proposal-regulate-ai-generated-evidence-2025-05-02/</w:t>
      </w:r>
    </w:p>
    <w:p>
      <w:pPr>
        <w:pStyle w:val="BodyText"/>
      </w:pPr>
      <w:hyperlink r:id="rId37">
        <w:r>
          <w:rPr>
            <w:rStyle w:val="Hyperlink"/>
          </w:rPr>
          <w:t xml:space="preserve">https://www.reuters.com/legal/government/us-judicial-panel-advances-proposal-regulate-ai-generated-evidence-2025-05-02/</w:t>
        </w:r>
      </w:hyperlink>
    </w:p>
    <w:p>
      <w:pPr>
        <w:pStyle w:val="BodyText"/>
      </w:pPr>
      <w:hyperlink r:id="rId39">
        <w:r>
          <w:rPr>
            <w:rStyle w:val="Hyperlink"/>
          </w:rPr>
          <w:t xml:space="preserve">[28]</w:t>
        </w:r>
      </w:hyperlink>
      <w:r>
        <w:t xml:space="preserve"> </w:t>
      </w:r>
      <w:hyperlink r:id="rId39">
        <w:r>
          <w:rPr>
            <w:rStyle w:val="Hyperlink"/>
          </w:rPr>
          <w:t xml:space="preserve">[30]</w:t>
        </w:r>
      </w:hyperlink>
      <w:r>
        <w:t xml:space="preserve"> </w:t>
      </w:r>
      <w:hyperlink r:id="rId39">
        <w:r>
          <w:rPr>
            <w:rStyle w:val="Hyperlink"/>
          </w:rPr>
          <w:t xml:space="preserve">[33]</w:t>
        </w:r>
      </w:hyperlink>
      <w:r>
        <w:t xml:space="preserve"> </w:t>
      </w:r>
      <w:hyperlink r:id="rId39">
        <w:r>
          <w:rPr>
            <w:rStyle w:val="Hyperlink"/>
          </w:rPr>
          <w:t xml:space="preserve">[52]</w:t>
        </w:r>
      </w:hyperlink>
      <w:r>
        <w:t xml:space="preserve"> </w:t>
      </w:r>
      <w:r>
        <w:t xml:space="preserve">https://www.ojp.gov/pdffiles1/nij/219941.pdf</w:t>
      </w:r>
    </w:p>
    <w:p>
      <w:pPr>
        <w:pStyle w:val="BodyText"/>
      </w:pPr>
      <w:hyperlink r:id="rId39">
        <w:r>
          <w:rPr>
            <w:rStyle w:val="Hyperlink"/>
          </w:rPr>
          <w:t xml:space="preserve">https://www.ojp.gov/pdffiles1/nij/219941.pdf</w:t>
        </w:r>
      </w:hyperlink>
    </w:p>
    <w:p>
      <w:pPr>
        <w:pStyle w:val="BodyText"/>
      </w:pPr>
      <w:hyperlink r:id="rId40">
        <w:r>
          <w:rPr>
            <w:rStyle w:val="Hyperlink"/>
          </w:rPr>
          <w:t xml:space="preserve">[32]</w:t>
        </w:r>
      </w:hyperlink>
      <w:r>
        <w:t xml:space="preserve"> </w:t>
      </w:r>
      <w:hyperlink r:id="rId40">
        <w:r>
          <w:rPr>
            <w:rStyle w:val="Hyperlink"/>
          </w:rPr>
          <w:t xml:space="preserve">[61]</w:t>
        </w:r>
      </w:hyperlink>
      <w:r>
        <w:t xml:space="preserve"> </w:t>
      </w:r>
      <w:hyperlink r:id="rId40">
        <w:r>
          <w:rPr>
            <w:rStyle w:val="Hyperlink"/>
          </w:rPr>
          <w:t xml:space="preserve">[63]</w:t>
        </w:r>
      </w:hyperlink>
      <w:r>
        <w:t xml:space="preserve"> </w:t>
      </w:r>
      <w:r>
        <w:t xml:space="preserve">https://nvlpubs.nist.gov/nistpubs/specialpublications/nist.sp.800-101r1.pdf</w:t>
      </w:r>
    </w:p>
    <w:p>
      <w:pPr>
        <w:pStyle w:val="BodyText"/>
      </w:pPr>
      <w:hyperlink r:id="rId40">
        <w:r>
          <w:rPr>
            <w:rStyle w:val="Hyperlink"/>
          </w:rPr>
          <w:t xml:space="preserve">https://nvlpubs.nist.gov/nistpubs/specialpublications/nist.sp.800-101r1.pdf</w:t>
        </w:r>
      </w:hyperlink>
    </w:p>
    <w:p>
      <w:pPr>
        <w:pStyle w:val="BodyText"/>
      </w:pPr>
      <w:hyperlink r:id="rId42">
        <w:r>
          <w:rPr>
            <w:rStyle w:val="Hyperlink"/>
          </w:rPr>
          <w:t xml:space="preserve">[35]</w:t>
        </w:r>
      </w:hyperlink>
      <w:r>
        <w:t xml:space="preserve"> </w:t>
      </w:r>
      <w:hyperlink r:id="rId42">
        <w:r>
          <w:rPr>
            <w:rStyle w:val="Hyperlink"/>
          </w:rPr>
          <w:t xml:space="preserve">[36]</w:t>
        </w:r>
      </w:hyperlink>
      <w:r>
        <w:t xml:space="preserve"> </w:t>
      </w:r>
      <w:hyperlink r:id="rId42">
        <w:r>
          <w:rPr>
            <w:rStyle w:val="Hyperlink"/>
          </w:rPr>
          <w:t xml:space="preserve">[38]</w:t>
        </w:r>
      </w:hyperlink>
      <w:r>
        <w:t xml:space="preserve"> </w:t>
      </w:r>
      <w:hyperlink r:id="rId42">
        <w:r>
          <w:rPr>
            <w:rStyle w:val="Hyperlink"/>
          </w:rPr>
          <w:t xml:space="preserve">[45]</w:t>
        </w:r>
      </w:hyperlink>
      <w:r>
        <w:t xml:space="preserve"> </w:t>
      </w:r>
      <w:hyperlink r:id="rId42">
        <w:r>
          <w:rPr>
            <w:rStyle w:val="Hyperlink"/>
          </w:rPr>
          <w:t xml:space="preserve">[46]</w:t>
        </w:r>
      </w:hyperlink>
      <w:r>
        <w:t xml:space="preserve"> </w:t>
      </w:r>
      <w:r>
        <w:t xml:space="preserve">https://www.ca5.uscourts.gov/opinions/pub/25/25-20086-CV0.pdf</w:t>
      </w:r>
    </w:p>
    <w:p>
      <w:pPr>
        <w:pStyle w:val="BodyText"/>
      </w:pPr>
      <w:hyperlink r:id="rId42">
        <w:r>
          <w:rPr>
            <w:rStyle w:val="Hyperlink"/>
          </w:rPr>
          <w:t xml:space="preserve">https://www.ca5.uscourts.gov/opinions/pub/25/25-20086-CV0.pdf</w:t>
        </w:r>
      </w:hyperlink>
    </w:p>
    <w:p>
      <w:pPr>
        <w:pStyle w:val="BodyText"/>
      </w:pPr>
      <w:hyperlink r:id="rId43">
        <w:r>
          <w:rPr>
            <w:rStyle w:val="Hyperlink"/>
          </w:rPr>
          <w:t xml:space="preserve">[37]</w:t>
        </w:r>
      </w:hyperlink>
      <w:r>
        <w:t xml:space="preserve"> </w:t>
      </w:r>
      <w:hyperlink r:id="rId43">
        <w:r>
          <w:rPr>
            <w:rStyle w:val="Hyperlink"/>
          </w:rPr>
          <w:t xml:space="preserve">[47]</w:t>
        </w:r>
      </w:hyperlink>
      <w:r>
        <w:t xml:space="preserve"> </w:t>
      </w:r>
      <w:hyperlink r:id="rId43">
        <w:r>
          <w:rPr>
            <w:rStyle w:val="Hyperlink"/>
          </w:rPr>
          <w:t xml:space="preserve">[48]</w:t>
        </w:r>
      </w:hyperlink>
      <w:r>
        <w:t xml:space="preserve"> </w:t>
      </w:r>
      <w:r>
        <w:t xml:space="preserve">https://www.americanbar.org/content/dam/aba/administrative/professional_responsibility/ethics-opinions/aba-formal-opinion-512.pdf</w:t>
      </w:r>
    </w:p>
    <w:p>
      <w:pPr>
        <w:pStyle w:val="BodyText"/>
      </w:pPr>
      <w:hyperlink r:id="rId43">
        <w:r>
          <w:rPr>
            <w:rStyle w:val="Hyperlink"/>
          </w:rPr>
          <w:t xml:space="preserve">https://www.americanbar.org/content/dam/aba/administrative/professional_responsibility/ethics-opinions/aba-formal-opinion-512.pdf</w:t>
        </w:r>
      </w:hyperlink>
    </w:p>
    <w:p>
      <w:pPr>
        <w:pStyle w:val="BodyText"/>
      </w:pPr>
      <w:hyperlink r:id="rId44">
        <w:r>
          <w:rPr>
            <w:rStyle w:val="Hyperlink"/>
          </w:rPr>
          <w:t xml:space="preserve">[39]</w:t>
        </w:r>
      </w:hyperlink>
      <w:r>
        <w:t xml:space="preserve"> </w:t>
      </w:r>
      <w:r>
        <w:t xml:space="preserve">https://www.courtlistener.com/docket/63107798/mata-v-avianca-inc/</w:t>
      </w:r>
    </w:p>
    <w:p>
      <w:pPr>
        <w:pStyle w:val="BodyText"/>
      </w:pPr>
      <w:hyperlink r:id="rId44">
        <w:r>
          <w:rPr>
            <w:rStyle w:val="Hyperlink"/>
          </w:rPr>
          <w:t xml:space="preserve">https://www.courtlistener.com/docket/63107798/mata-v-avianca-inc/</w:t>
        </w:r>
      </w:hyperlink>
    </w:p>
    <w:p>
      <w:pPr>
        <w:pStyle w:val="BodyText"/>
      </w:pPr>
      <w:hyperlink r:id="rId45">
        <w:r>
          <w:rPr>
            <w:rStyle w:val="Hyperlink"/>
          </w:rPr>
          <w:t xml:space="preserve">[41]</w:t>
        </w:r>
      </w:hyperlink>
      <w:r>
        <w:t xml:space="preserve"> </w:t>
      </w:r>
      <w:r>
        <w:t xml:space="preserve">https://www.floridabar.org/etopinions/opinion-24-1/</w:t>
      </w:r>
    </w:p>
    <w:p>
      <w:pPr>
        <w:pStyle w:val="BodyText"/>
      </w:pPr>
      <w:hyperlink r:id="rId45">
        <w:r>
          <w:rPr>
            <w:rStyle w:val="Hyperlink"/>
          </w:rPr>
          <w:t xml:space="preserve">https://www.floridabar.org/etopinions/opinion-24-1/</w:t>
        </w:r>
      </w:hyperlink>
    </w:p>
    <w:p>
      <w:pPr>
        <w:pStyle w:val="BodyText"/>
      </w:pPr>
      <w:hyperlink r:id="rId46">
        <w:r>
          <w:rPr>
            <w:rStyle w:val="Hyperlink"/>
          </w:rPr>
          <w:t xml:space="preserve">[42]</w:t>
        </w:r>
      </w:hyperlink>
      <w:r>
        <w:t xml:space="preserve"> </w:t>
      </w:r>
      <w:r>
        <w:t xml:space="preserve">https://www.calbar.ca.gov/Portals/0/documents/ethics/Generative-AI-Practical-Guidance.pdf</w:t>
      </w:r>
    </w:p>
    <w:p>
      <w:pPr>
        <w:pStyle w:val="BodyText"/>
      </w:pPr>
      <w:hyperlink r:id="rId46">
        <w:r>
          <w:rPr>
            <w:rStyle w:val="Hyperlink"/>
          </w:rPr>
          <w:t xml:space="preserve">https://www.calbar.ca.gov/Portals/0/documents/ethics/Generative-AI-Practical-Guidance.pdf</w:t>
        </w:r>
      </w:hyperlink>
    </w:p>
    <w:p>
      <w:pPr>
        <w:pStyle w:val="BodyText"/>
      </w:pPr>
      <w:hyperlink r:id="rId47">
        <w:r>
          <w:rPr>
            <w:rStyle w:val="Hyperlink"/>
          </w:rPr>
          <w:t xml:space="preserve">[43]</w:t>
        </w:r>
      </w:hyperlink>
      <w:r>
        <w:t xml:space="preserve"> </w:t>
      </w:r>
      <w:r>
        <w:t xml:space="preserve">https://law.stanford.edu/wp-content/uploads/2024/07/Rule-11-and-Gen-AI_Publication_Version.pdf</w:t>
      </w:r>
    </w:p>
    <w:p>
      <w:pPr>
        <w:pStyle w:val="BodyText"/>
      </w:pPr>
      <w:hyperlink r:id="rId47">
        <w:r>
          <w:rPr>
            <w:rStyle w:val="Hyperlink"/>
          </w:rPr>
          <w:t xml:space="preserve">https://law.stanford.edu/wp-content/uploads/2024/07/Rule-11-and-Gen-AI_Publication_Version.pdf</w:t>
        </w:r>
      </w:hyperlink>
    </w:p>
    <w:p>
      <w:pPr>
        <w:pStyle w:val="BodyText"/>
      </w:pPr>
      <w:hyperlink r:id="rId48">
        <w:r>
          <w:rPr>
            <w:rStyle w:val="Hyperlink"/>
          </w:rPr>
          <w:t xml:space="preserve">[44]</w:t>
        </w:r>
      </w:hyperlink>
      <w:r>
        <w:t xml:space="preserve"> </w:t>
      </w:r>
      <w:r>
        <w:t xml:space="preserve">https://iardc.org/Files/TheFalloutOfAIHallucinationsInCourtFilings.pdf</w:t>
      </w:r>
    </w:p>
    <w:p>
      <w:pPr>
        <w:pStyle w:val="BodyText"/>
      </w:pPr>
      <w:hyperlink r:id="rId48">
        <w:r>
          <w:rPr>
            <w:rStyle w:val="Hyperlink"/>
          </w:rPr>
          <w:t xml:space="preserve">https://iardc.org/Files/TheFalloutOfAIHallucinationsInCourtFilings.pdf</w:t>
        </w:r>
      </w:hyperlink>
    </w:p>
    <w:p>
      <w:pPr>
        <w:pStyle w:val="BodyText"/>
      </w:pPr>
      <w:hyperlink r:id="rId50">
        <w:r>
          <w:rPr>
            <w:rStyle w:val="Hyperlink"/>
          </w:rPr>
          <w:t xml:space="preserve">[54]</w:t>
        </w:r>
      </w:hyperlink>
      <w:r>
        <w:t xml:space="preserve"> </w:t>
      </w:r>
      <w:hyperlink r:id="rId50">
        <w:r>
          <w:rPr>
            <w:rStyle w:val="Hyperlink"/>
          </w:rPr>
          <w:t xml:space="preserve">[77]</w:t>
        </w:r>
      </w:hyperlink>
      <w:r>
        <w:t xml:space="preserve"> </w:t>
      </w:r>
      <w:r>
        <w:t xml:space="preserve">https://cms2.revize.com/revize/indigentlegalservices/5.%20Resources%20%26%20Consultation/5.F%20Family%20Court%20Representation/Hearsay_Family%20Court%20Defense%20Evidentiary%20Obstacle_Oct%202025.pdf?t=202511280942530&amp;t=202511280942530</w:t>
      </w:r>
    </w:p>
    <w:p>
      <w:pPr>
        <w:pStyle w:val="BodyText"/>
      </w:pPr>
      <w:hyperlink r:id="rId50">
        <w:r>
          <w:rPr>
            <w:rStyle w:val="Hyperlink"/>
          </w:rPr>
          <w:t xml:space="preserve">https://cms2.revize.com/revize/indigentlegalservices/5.%20Resources%20%26%20Consultation/5.F%20Family%20Court%20Representation/Hearsay_Family%20Court%20Defense%20Evidentiary%20Obstacle_Oct%202025.pdf?t=202511280942530&amp;t=202511280942530</w:t>
        </w:r>
      </w:hyperlink>
    </w:p>
    <w:p>
      <w:pPr>
        <w:pStyle w:val="BodyText"/>
      </w:pPr>
      <w:hyperlink r:id="rId53">
        <w:r>
          <w:rPr>
            <w:rStyle w:val="Hyperlink"/>
          </w:rPr>
          <w:t xml:space="preserve">[67]</w:t>
        </w:r>
      </w:hyperlink>
      <w:r>
        <w:t xml:space="preserve"> </w:t>
      </w:r>
      <w:r>
        <w:t xml:space="preserve">https://www.illinoiscourts.gov/documents-and-forms/approved-forms/circuit-court-standardized-forms-suites/divorce-child-support-maintenance/</w:t>
      </w:r>
    </w:p>
    <w:p>
      <w:pPr>
        <w:pStyle w:val="BodyText"/>
      </w:pPr>
      <w:hyperlink r:id="rId53">
        <w:r>
          <w:rPr>
            <w:rStyle w:val="Hyperlink"/>
          </w:rPr>
          <w:t xml:space="preserve">https://www.illinoiscourts.gov/documents-and-forms/approved-forms/circuit-court-standardized-forms-suites/divorce-child-support-maintenance/</w:t>
        </w:r>
      </w:hyperlink>
    </w:p>
    <w:p>
      <w:pPr>
        <w:pStyle w:val="BodyText"/>
      </w:pPr>
      <w:hyperlink r:id="rId55">
        <w:r>
          <w:rPr>
            <w:rStyle w:val="Hyperlink"/>
          </w:rPr>
          <w:t xml:space="preserve">[69]</w:t>
        </w:r>
      </w:hyperlink>
      <w:r>
        <w:t xml:space="preserve"> </w:t>
      </w:r>
      <w:hyperlink r:id="rId55">
        <w:r>
          <w:rPr>
            <w:rStyle w:val="Hyperlink"/>
          </w:rPr>
          <w:t xml:space="preserve">[70]</w:t>
        </w:r>
      </w:hyperlink>
      <w:r>
        <w:t xml:space="preserve"> </w:t>
      </w:r>
      <w:hyperlink r:id="rId55">
        <w:r>
          <w:rPr>
            <w:rStyle w:val="Hyperlink"/>
          </w:rPr>
          <w:t xml:space="preserve">[73]</w:t>
        </w:r>
      </w:hyperlink>
      <w:r>
        <w:t xml:space="preserve"> </w:t>
      </w:r>
      <w:hyperlink r:id="rId55">
        <w:r>
          <w:rPr>
            <w:rStyle w:val="Hyperlink"/>
          </w:rPr>
          <w:t xml:space="preserve">[80]</w:t>
        </w:r>
      </w:hyperlink>
      <w:r>
        <w:t xml:space="preserve"> </w:t>
      </w:r>
      <w:r>
        <w:t xml:space="preserve">https://courts.ca.gov/cms/rules/index/five/rule5_2</w:t>
      </w:r>
    </w:p>
    <w:p>
      <w:pPr>
        <w:pStyle w:val="BodyText"/>
      </w:pPr>
      <w:hyperlink r:id="rId55">
        <w:r>
          <w:rPr>
            <w:rStyle w:val="Hyperlink"/>
          </w:rPr>
          <w:t xml:space="preserve">https://courts.ca.gov/cms/rules/index/five/rule5_2</w:t>
        </w:r>
      </w:hyperlink>
    </w:p>
    <w:p>
      <w:pPr>
        <w:pStyle w:val="BodyText"/>
      </w:pPr>
      <w:hyperlink r:id="rId56">
        <w:r>
          <w:rPr>
            <w:rStyle w:val="Hyperlink"/>
          </w:rPr>
          <w:t xml:space="preserve">[72]</w:t>
        </w:r>
      </w:hyperlink>
      <w:r>
        <w:t xml:space="preserve"> </w:t>
      </w:r>
      <w:hyperlink r:id="rId56">
        <w:r>
          <w:rPr>
            <w:rStyle w:val="Hyperlink"/>
          </w:rPr>
          <w:t xml:space="preserve">[74]</w:t>
        </w:r>
      </w:hyperlink>
      <w:r>
        <w:t xml:space="preserve"> </w:t>
      </w:r>
      <w:hyperlink r:id="rId56">
        <w:r>
          <w:rPr>
            <w:rStyle w:val="Hyperlink"/>
          </w:rPr>
          <w:t xml:space="preserve">[84]</w:t>
        </w:r>
      </w:hyperlink>
      <w:r>
        <w:t xml:space="preserve"> </w:t>
      </w:r>
      <w:hyperlink r:id="rId56">
        <w:r>
          <w:rPr>
            <w:rStyle w:val="Hyperlink"/>
          </w:rPr>
          <w:t xml:space="preserve">[94]</w:t>
        </w:r>
      </w:hyperlink>
      <w:r>
        <w:t xml:space="preserve"> </w:t>
      </w:r>
      <w:r>
        <w:t xml:space="preserve">https://ww2.nycourts.gov/rules/trialcourts/index.shtml</w:t>
      </w:r>
    </w:p>
    <w:p>
      <w:pPr>
        <w:pStyle w:val="BodyText"/>
      </w:pPr>
      <w:hyperlink r:id="rId56">
        <w:r>
          <w:rPr>
            <w:rStyle w:val="Hyperlink"/>
          </w:rPr>
          <w:t xml:space="preserve">https://ww2.nycourts.gov/rules/trialcourts/index.shtml</w:t>
        </w:r>
      </w:hyperlink>
    </w:p>
    <w:p>
      <w:pPr>
        <w:pStyle w:val="BodyText"/>
      </w:pPr>
      <w:hyperlink r:id="rId57">
        <w:r>
          <w:rPr>
            <w:rStyle w:val="Hyperlink"/>
          </w:rPr>
          <w:t xml:space="preserve">[76]</w:t>
        </w:r>
      </w:hyperlink>
      <w:r>
        <w:t xml:space="preserve"> </w:t>
      </w:r>
      <w:hyperlink r:id="rId57">
        <w:r>
          <w:rPr>
            <w:rStyle w:val="Hyperlink"/>
          </w:rPr>
          <w:t xml:space="preserve">[82]</w:t>
        </w:r>
      </w:hyperlink>
      <w:r>
        <w:t xml:space="preserve"> </w:t>
      </w:r>
      <w:hyperlink r:id="rId57">
        <w:r>
          <w:rPr>
            <w:rStyle w:val="Hyperlink"/>
          </w:rPr>
          <w:t xml:space="preserve">[86]</w:t>
        </w:r>
      </w:hyperlink>
      <w:r>
        <w:t xml:space="preserve"> </w:t>
      </w:r>
      <w:r>
        <w:t xml:space="preserve">https://www.illinoiscourts.gov/rules/supreme-court-rules?a=ix</w:t>
      </w:r>
    </w:p>
    <w:p>
      <w:pPr>
        <w:pStyle w:val="BodyText"/>
      </w:pPr>
      <w:hyperlink r:id="rId57">
        <w:r>
          <w:rPr>
            <w:rStyle w:val="Hyperlink"/>
          </w:rPr>
          <w:t xml:space="preserve">https://www.illinoiscourts.gov/rules/supreme-court-rules?a=ix</w:t>
        </w:r>
      </w:hyperlink>
    </w:p>
    <w:p>
      <w:pPr>
        <w:pStyle w:val="BodyText"/>
      </w:pPr>
      <w:hyperlink r:id="rId58">
        <w:r>
          <w:rPr>
            <w:rStyle w:val="Hyperlink"/>
          </w:rPr>
          <w:t xml:space="preserve">[78]</w:t>
        </w:r>
      </w:hyperlink>
      <w:r>
        <w:t xml:space="preserve"> </w:t>
      </w:r>
      <w:r>
        <w:t xml:space="preserve">https://www.txcourts.gov/media/1456691/texas-rules-of-evidence-effective-912025.pdf</w:t>
      </w:r>
    </w:p>
    <w:p>
      <w:pPr>
        <w:pStyle w:val="BodyText"/>
      </w:pPr>
      <w:hyperlink r:id="rId58">
        <w:r>
          <w:rPr>
            <w:rStyle w:val="Hyperlink"/>
          </w:rPr>
          <w:t xml:space="preserve">https://www.txcourts.gov/media/1456691/texas-rules-of-evidence-effective-912025.pdf</w:t>
        </w:r>
      </w:hyperlink>
    </w:p>
    <w:p>
      <w:pPr>
        <w:pStyle w:val="BodyText"/>
      </w:pPr>
      <w:hyperlink r:id="rId59">
        <w:r>
          <w:rPr>
            <w:rStyle w:val="Hyperlink"/>
          </w:rPr>
          <w:t xml:space="preserve">[81]</w:t>
        </w:r>
      </w:hyperlink>
      <w:r>
        <w:t xml:space="preserve"> </w:t>
      </w:r>
      <w:r>
        <w:t xml:space="preserve">https://www.leg.state.fl.us/Statutes/index.cfm?App_mode=Display_Statute&amp;Search_String=&amp;URL=0000-0099%2F0090%2FSections%2F0090.901.html</w:t>
      </w:r>
    </w:p>
    <w:p>
      <w:pPr>
        <w:pStyle w:val="BodyText"/>
      </w:pPr>
      <w:hyperlink r:id="rId59">
        <w:r>
          <w:rPr>
            <w:rStyle w:val="Hyperlink"/>
          </w:rPr>
          <w:t xml:space="preserve">https://www.leg.state.fl.us/Statutes/index.cfm?App_mode=Display_Statute&amp;Search_String=&amp;URL=0000-0099%2F0090%2FSections%2F0090.901.html</w:t>
        </w:r>
      </w:hyperlink>
    </w:p>
    <w:p>
      <w:pPr>
        <w:pStyle w:val="BodyText"/>
      </w:pPr>
      <w:hyperlink r:id="rId60">
        <w:r>
          <w:rPr>
            <w:rStyle w:val="Hyperlink"/>
          </w:rPr>
          <w:t xml:space="preserve">[83]</w:t>
        </w:r>
      </w:hyperlink>
      <w:r>
        <w:t xml:space="preserve"> </w:t>
      </w:r>
      <w:r>
        <w:t xml:space="preserve">https://www.txcourts.gov/media/1457525/texas-rules-of-civil-procedure-january-1-2026.pdf</w:t>
      </w:r>
    </w:p>
    <w:p>
      <w:pPr>
        <w:pStyle w:val="BodyText"/>
      </w:pPr>
      <w:hyperlink r:id="rId60">
        <w:r>
          <w:rPr>
            <w:rStyle w:val="Hyperlink"/>
          </w:rPr>
          <w:t xml:space="preserve">https://www.txcourts.gov/media/1457525/texas-rules-of-civil-procedure-january-1-2026.pdf</w:t>
        </w:r>
      </w:hyperlink>
    </w:p>
    <w:p>
      <w:pPr>
        <w:pStyle w:val="BodyText"/>
      </w:pPr>
      <w:hyperlink r:id="rId62">
        <w:r>
          <w:rPr>
            <w:rStyle w:val="Hyperlink"/>
          </w:rPr>
          <w:t xml:space="preserve">[88]</w:t>
        </w:r>
      </w:hyperlink>
      <w:r>
        <w:t xml:space="preserve"> </w:t>
      </w:r>
      <w:hyperlink r:id="rId62">
        <w:r>
          <w:rPr>
            <w:rStyle w:val="Hyperlink"/>
          </w:rPr>
          <w:t xml:space="preserve">[90]</w:t>
        </w:r>
      </w:hyperlink>
      <w:r>
        <w:t xml:space="preserve"> </w:t>
      </w:r>
      <w:r>
        <w:t xml:space="preserve">https://supreme.justia.com/cases/federal/us/557/305/</w:t>
      </w:r>
    </w:p>
    <w:p>
      <w:pPr>
        <w:pStyle w:val="BodyText"/>
      </w:pPr>
      <w:hyperlink r:id="rId62">
        <w:r>
          <w:rPr>
            <w:rStyle w:val="Hyperlink"/>
          </w:rPr>
          <w:t xml:space="preserve">https://supreme.justia.com/cases/federal/us/557/305/</w:t>
        </w:r>
      </w:hyperlink>
    </w:p>
    <w:p>
      <w:pPr>
        <w:pStyle w:val="BodyText"/>
      </w:pPr>
      <w:hyperlink r:id="rId63">
        <w:r>
          <w:rPr>
            <w:rStyle w:val="Hyperlink"/>
          </w:rPr>
          <w:t xml:space="preserve">[89]</w:t>
        </w:r>
      </w:hyperlink>
      <w:r>
        <w:t xml:space="preserve"> </w:t>
      </w:r>
      <w:hyperlink r:id="rId63">
        <w:r>
          <w:rPr>
            <w:rStyle w:val="Hyperlink"/>
          </w:rPr>
          <w:t xml:space="preserve">[96]</w:t>
        </w:r>
      </w:hyperlink>
      <w:r>
        <w:t xml:space="preserve"> </w:t>
      </w:r>
      <w:hyperlink r:id="rId63">
        <w:r>
          <w:rPr>
            <w:rStyle w:val="Hyperlink"/>
          </w:rPr>
          <w:t xml:space="preserve">[100]</w:t>
        </w:r>
      </w:hyperlink>
      <w:r>
        <w:t xml:space="preserve"> </w:t>
      </w:r>
      <w:r>
        <w:t xml:space="preserve">https://purl.access.gpo.gov/GPO/LPS14094</w:t>
      </w:r>
    </w:p>
    <w:p>
      <w:pPr>
        <w:pStyle w:val="BodyText"/>
      </w:pPr>
      <w:hyperlink r:id="rId63">
        <w:r>
          <w:rPr>
            <w:rStyle w:val="Hyperlink"/>
          </w:rPr>
          <w:t xml:space="preserve">https://purl.access.gpo.gov/GPO/LPS14094</w:t>
        </w:r>
      </w:hyperlink>
    </w:p>
    <w:p>
      <w:pPr>
        <w:pStyle w:val="BodyText"/>
      </w:pPr>
      <w:hyperlink r:id="rId64">
        <w:r>
          <w:rPr>
            <w:rStyle w:val="Hyperlink"/>
          </w:rPr>
          <w:t xml:space="preserve">[91]</w:t>
        </w:r>
      </w:hyperlink>
      <w:r>
        <w:t xml:space="preserve"> </w:t>
      </w:r>
      <w:hyperlink r:id="rId64">
        <w:r>
          <w:rPr>
            <w:rStyle w:val="Hyperlink"/>
          </w:rPr>
          <w:t xml:space="preserve">[92]</w:t>
        </w:r>
      </w:hyperlink>
      <w:r>
        <w:t xml:space="preserve"> </w:t>
      </w:r>
      <w:hyperlink r:id="rId64">
        <w:r>
          <w:rPr>
            <w:rStyle w:val="Hyperlink"/>
          </w:rPr>
          <w:t xml:space="preserve">[98]</w:t>
        </w:r>
      </w:hyperlink>
      <w:r>
        <w:t xml:space="preserve"> </w:t>
      </w:r>
      <w:hyperlink r:id="rId64">
        <w:r>
          <w:rPr>
            <w:rStyle w:val="Hyperlink"/>
          </w:rPr>
          <w:t xml:space="preserve">[99]</w:t>
        </w:r>
      </w:hyperlink>
      <w:r>
        <w:t xml:space="preserve"> </w:t>
      </w:r>
      <w:r>
        <w:t xml:space="preserve">https://www.ojp.gov/pdffiles1/nij/199408.pdf</w:t>
      </w:r>
    </w:p>
    <w:p>
      <w:pPr>
        <w:pStyle w:val="BodyText"/>
      </w:pPr>
      <w:hyperlink r:id="rId64">
        <w:r>
          <w:rPr>
            <w:rStyle w:val="Hyperlink"/>
          </w:rPr>
          <w:t xml:space="preserve">https://www.ojp.gov/pdffiles1/nij/199408.pdf</w:t>
        </w:r>
      </w:hyperlink>
    </w:p>
    <w:p>
      <w:pPr>
        <w:pStyle w:val="BodyText"/>
      </w:pPr>
      <w:hyperlink r:id="rId65">
        <w:r>
          <w:rPr>
            <w:rStyle w:val="Hyperlink"/>
          </w:rPr>
          <w:t xml:space="preserve">[97]</w:t>
        </w:r>
      </w:hyperlink>
      <w:r>
        <w:t xml:space="preserve"> </w:t>
      </w:r>
      <w:r>
        <w:t xml:space="preserve">https://www.swgde.org/wp-content/uploads/2025/01/2019-07-16-SWGDE-Best-Practices-for-Mobile-Devi.pdf</w:t>
      </w:r>
    </w:p>
    <w:p>
      <w:pPr>
        <w:pStyle w:val="BodyText"/>
      </w:pPr>
      <w:hyperlink r:id="rId65">
        <w:r>
          <w:rPr>
            <w:rStyle w:val="Hyperlink"/>
          </w:rPr>
          <w:t xml:space="preserve">https://www.swgde.org/wp-content/uploads/2025/01/2019-07-16-SWGDE-Best-Practices-for-Mobile-Devi.pdf</w:t>
        </w:r>
      </w:hyperlink>
    </w:p>
    <w:p>
      <w:pPr>
        <w:pStyle w:val="BodyText"/>
      </w:pPr>
      <w:hyperlink r:id="rId67">
        <w:r>
          <w:rPr>
            <w:rStyle w:val="Hyperlink"/>
          </w:rPr>
          <w:t xml:space="preserve">[102]</w:t>
        </w:r>
      </w:hyperlink>
      <w:r>
        <w:t xml:space="preserve"> </w:t>
      </w:r>
      <w:hyperlink r:id="rId67">
        <w:r>
          <w:rPr>
            <w:rStyle w:val="Hyperlink"/>
          </w:rPr>
          <w:t xml:space="preserve">[103]</w:t>
        </w:r>
      </w:hyperlink>
      <w:r>
        <w:t xml:space="preserve"> </w:t>
      </w:r>
      <w:r>
        <w:t xml:space="preserve">https://courts.ca.gov/cms/rules/index/ten/rule10_430</w:t>
      </w:r>
    </w:p>
    <w:p>
      <w:pPr>
        <w:pStyle w:val="BodyText"/>
      </w:pPr>
      <w:hyperlink r:id="rId67">
        <w:r>
          <w:rPr>
            <w:rStyle w:val="Hyperlink"/>
          </w:rPr>
          <w:t xml:space="preserve">https://courts.ca.gov/cms/rules/index/ten/rule10_430</w:t>
        </w:r>
      </w:hyperlink>
    </w:p>
    <w:p>
      <w:pPr>
        <w:pStyle w:val="BodyText"/>
      </w:pPr>
      <w:hyperlink r:id="rId68">
        <w:r>
          <w:rPr>
            <w:rStyle w:val="Hyperlink"/>
          </w:rPr>
          <w:t xml:space="preserve">[104]</w:t>
        </w:r>
      </w:hyperlink>
      <w:r>
        <w:t xml:space="preserve"> </w:t>
      </w:r>
      <w:hyperlink r:id="rId68">
        <w:r>
          <w:rPr>
            <w:rStyle w:val="Hyperlink"/>
          </w:rPr>
          <w:t xml:space="preserve">[105]</w:t>
        </w:r>
      </w:hyperlink>
      <w:r>
        <w:t xml:space="preserve"> </w:t>
      </w:r>
      <w:r>
        <w:t xml:space="preserve">https://www.nycourts.gov/LegacyPDFS/publications/pdfs/AI%20Annual%20Report%202025.pdf</w:t>
      </w:r>
    </w:p>
    <w:p>
      <w:pPr>
        <w:pStyle w:val="BodyText"/>
      </w:pPr>
      <w:hyperlink r:id="rId68">
        <w:r>
          <w:rPr>
            <w:rStyle w:val="Hyperlink"/>
          </w:rPr>
          <w:t xml:space="preserve">https://www.nycourts.gov/LegacyPDFS/publications/pdfs/AI%20Annual%20Report%202025.pdf</w:t>
        </w:r>
      </w:hyperlink>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caselaw.findlaw.com/court/us-dis-crt-sd-new-yor/2177456.html" TargetMode="External" /><Relationship Type="http://schemas.openxmlformats.org/officeDocument/2006/relationships/hyperlink" Id="rId36" Target="https://cdn.ymaws.com/iadtc.site-ym.com/resource/resmgr/imported/PublicationPDfs/18.1.35.pdf" TargetMode="External" /><Relationship Type="http://schemas.openxmlformats.org/officeDocument/2006/relationships/hyperlink" Id="rId50" Target="https://cms2.revize.com/revize/indigentlegalservices/5.%20Resources%20%26%20Consultation/5.F%20Family%20Court%20Representation/Hearsay_Family%20Court%20Defense%20Evidentiary%20Obstacle_Oct%202025.pdf?t=202511280942530&amp;t=202511280942530" TargetMode="External" /><Relationship Type="http://schemas.openxmlformats.org/officeDocument/2006/relationships/hyperlink" Id="rId33" Target="https://courts.ca.gov/cms/rules/index/five/rule5_113" TargetMode="External" /><Relationship Type="http://schemas.openxmlformats.org/officeDocument/2006/relationships/hyperlink" Id="rId55" Target="https://courts.ca.gov/cms/rules/index/five/rule5_2" TargetMode="External" /><Relationship Type="http://schemas.openxmlformats.org/officeDocument/2006/relationships/hyperlink" Id="rId67" Target="https://courts.ca.gov/cms/rules/index/ten/rule10_430" TargetMode="External" /><Relationship Type="http://schemas.openxmlformats.org/officeDocument/2006/relationships/hyperlink" Id="rId48" Target="https://iardc.org/Files/TheFalloutOfAIHallucinationsInCourtFilings.pdf" TargetMode="External" /><Relationship Type="http://schemas.openxmlformats.org/officeDocument/2006/relationships/hyperlink" Id="rId47" Target="https://law.stanford.edu/wp-content/uploads/2024/07/Rule-11-and-Gen-AI_Publication_Version.pdf" TargetMode="External" /><Relationship Type="http://schemas.openxmlformats.org/officeDocument/2006/relationships/hyperlink" Id="rId40" Target="https://nvlpubs.nist.gov/nistpubs/specialpublications/nist.sp.800-101r1.pdf" TargetMode="External" /><Relationship Type="http://schemas.openxmlformats.org/officeDocument/2006/relationships/hyperlink" Id="rId63" Target="https://purl.access.gpo.gov/GPO/LPS14094" TargetMode="External" /><Relationship Type="http://schemas.openxmlformats.org/officeDocument/2006/relationships/hyperlink" Id="rId23" Target="https://statutes.capitol.texas.gov/GetStatute.aspx?Code=FA&amp;Value=104.006" TargetMode="External" /><Relationship Type="http://schemas.openxmlformats.org/officeDocument/2006/relationships/hyperlink" Id="rId62" Target="https://supreme.justia.com/cases/federal/us/557/305/" TargetMode="External" /><Relationship Type="http://schemas.openxmlformats.org/officeDocument/2006/relationships/hyperlink" Id="rId56" Target="https://ww2.nycourts.gov/rules/trialcourts/index.shtml" TargetMode="External" /><Relationship Type="http://schemas.openxmlformats.org/officeDocument/2006/relationships/hyperlink" Id="rId24" Target="https://www-media.floridabar.org/uploads/2025/09/2026_04-OCT-Family-Law-Rules-of-Procedure-10-1-2025.pdf" TargetMode="External" /><Relationship Type="http://schemas.openxmlformats.org/officeDocument/2006/relationships/hyperlink" Id="rId43" Target="https://www.americanbar.org/content/dam/aba/administrative/professional_responsibility/ethics-opinions/aba-formal-opinion-512.pdf" TargetMode="External" /><Relationship Type="http://schemas.openxmlformats.org/officeDocument/2006/relationships/hyperlink" Id="rId42" Target="https://www.ca5.uscourts.gov/opinions/pub/25/25-20086-CV0.pdf" TargetMode="External" /><Relationship Type="http://schemas.openxmlformats.org/officeDocument/2006/relationships/hyperlink" Id="rId46" Target="https://www.calbar.ca.gov/Portals/0/documents/ethics/Generative-AI-Practical-Guidance.pdf" TargetMode="External" /><Relationship Type="http://schemas.openxmlformats.org/officeDocument/2006/relationships/hyperlink" Id="rId44" Target="https://www.courtlistener.com/docket/63107798/mata-v-avianca-inc/" TargetMode="External" /><Relationship Type="http://schemas.openxmlformats.org/officeDocument/2006/relationships/hyperlink" Id="rId31" Target="https://www.courts.state.md.us/data/opinions/coa/2011/74a10.pdf" TargetMode="External" /><Relationship Type="http://schemas.openxmlformats.org/officeDocument/2006/relationships/hyperlink" Id="rId45" Target="https://www.floridabar.org/etopinions/opinion-24-1/" TargetMode="External" /><Relationship Type="http://schemas.openxmlformats.org/officeDocument/2006/relationships/hyperlink" Id="rId28" Target="https://www.govinfo.gov/content/pkg/USCOURTS-ca2-13-00803/pdf/USCOURTS-ca2-13-00803-0.pdf" TargetMode="External" /><Relationship Type="http://schemas.openxmlformats.org/officeDocument/2006/relationships/hyperlink" Id="rId26" Target="https://www.govinfo.gov/content/pkg/USCOURTS-mdd-1_06-cv-01893/pdf/USCOURTS-mdd-1_06-cv-01893-0.pdf" TargetMode="External" /><Relationship Type="http://schemas.openxmlformats.org/officeDocument/2006/relationships/hyperlink" Id="rId53" Target="https://www.illinoiscourts.gov/documents-and-forms/approved-forms/circuit-court-standardized-forms-suites/divorce-child-support-maintenance/" TargetMode="External" /><Relationship Type="http://schemas.openxmlformats.org/officeDocument/2006/relationships/hyperlink" Id="rId57" Target="https://www.illinoiscourts.gov/rules/supreme-court-rules?a=ix" TargetMode="External" /><Relationship Type="http://schemas.openxmlformats.org/officeDocument/2006/relationships/hyperlink" Id="rId34" Target="https://www.iso.org/standard/44381.html" TargetMode="External" /><Relationship Type="http://schemas.openxmlformats.org/officeDocument/2006/relationships/hyperlink" Id="rId59" Target="https://www.leg.state.fl.us/Statutes/index.cfm?App_mode=Display_Statute&amp;Search_String=&amp;URL=0000-0099%2F0090%2FSections%2F0090.901.html" TargetMode="External" /><Relationship Type="http://schemas.openxmlformats.org/officeDocument/2006/relationships/hyperlink" Id="rId68" Target="https://www.nycourts.gov/LegacyPDFS/publications/pdfs/AI%20Annual%20Report%202025.pdf" TargetMode="External" /><Relationship Type="http://schemas.openxmlformats.org/officeDocument/2006/relationships/hyperlink" Id="rId29" Target="https://www.nycourts.gov/judges/evidence/8-HEARSAY/8.08_Business_Record.pdf" TargetMode="External" /><Relationship Type="http://schemas.openxmlformats.org/officeDocument/2006/relationships/hyperlink" Id="rId64" Target="https://www.ojp.gov/pdffiles1/nij/199408.pdf" TargetMode="External" /><Relationship Type="http://schemas.openxmlformats.org/officeDocument/2006/relationships/hyperlink" Id="rId39" Target="https://www.ojp.gov/pdffiles1/nij/219941.pdf" TargetMode="External" /><Relationship Type="http://schemas.openxmlformats.org/officeDocument/2006/relationships/hyperlink" Id="rId37" Target="https://www.reuters.com/legal/government/us-judicial-panel-advances-proposal-regulate-ai-generated-evidence-2025-05-02/" TargetMode="External" /><Relationship Type="http://schemas.openxmlformats.org/officeDocument/2006/relationships/hyperlink" Id="rId65" Target="https://www.swgde.org/wp-content/uploads/2025/01/2019-07-16-SWGDE-Best-Practices-for-Mobile-Devi.pdf" TargetMode="External" /><Relationship Type="http://schemas.openxmlformats.org/officeDocument/2006/relationships/hyperlink" Id="rId35" Target="https://www.thesedonaconference.org/node/4876" TargetMode="External" /><Relationship Type="http://schemas.openxmlformats.org/officeDocument/2006/relationships/hyperlink" Id="rId58" Target="https://www.txcourts.gov/media/1456691/texas-rules-of-evidence-effective-912025.pdf" TargetMode="External" /><Relationship Type="http://schemas.openxmlformats.org/officeDocument/2006/relationships/hyperlink" Id="rId60" Target="https://www.txcourts.gov/media/1457525/texas-rules-of-civil-procedure-january-1-2026.pdf" TargetMode="External" /><Relationship Type="http://schemas.openxmlformats.org/officeDocument/2006/relationships/hyperlink" Id="rId21" Target="https://www.uscourts.gov/sites/default/files/2025-02/federal-rules-of-civil-procedure-dec-1-2024_0.pdf" TargetMode="External" /><Relationship Type="http://schemas.openxmlformats.org/officeDocument/2006/relationships/hyperlink" Id="rId22" Target="https://www.uscourts.gov/sites/default/files/2025-02/federal-rules-of-evidence-dec-1-2024_0.pdf" TargetMode="External" /><Relationship Type="http://schemas.openxmlformats.org/officeDocument/2006/relationships/hyperlink" Id="rId32" Target="https://www2.law.temple.edu/events/excelling-in-evidence/wp-content/uploads/sites/106/2020/06/United-States-v.-Browne_-834-F.3d-403.pdf" TargetMode="External" /></Relationships>
</file>

<file path=word/_rels/footnotes.xml.rels><?xml version="1.0" encoding="UTF-8"?><Relationships xmlns="http://schemas.openxmlformats.org/package/2006/relationships"><Relationship Type="http://schemas.openxmlformats.org/officeDocument/2006/relationships/hyperlink" Id="rId25" Target="https://caselaw.findlaw.com/court/us-dis-crt-sd-new-yor/2177456.html" TargetMode="External" /><Relationship Type="http://schemas.openxmlformats.org/officeDocument/2006/relationships/hyperlink" Id="rId36" Target="https://cdn.ymaws.com/iadtc.site-ym.com/resource/resmgr/imported/PublicationPDfs/18.1.35.pdf" TargetMode="External" /><Relationship Type="http://schemas.openxmlformats.org/officeDocument/2006/relationships/hyperlink" Id="rId50" Target="https://cms2.revize.com/revize/indigentlegalservices/5.%20Resources%20%26%20Consultation/5.F%20Family%20Court%20Representation/Hearsay_Family%20Court%20Defense%20Evidentiary%20Obstacle_Oct%202025.pdf?t=202511280942530&amp;t=202511280942530" TargetMode="External" /><Relationship Type="http://schemas.openxmlformats.org/officeDocument/2006/relationships/hyperlink" Id="rId33" Target="https://courts.ca.gov/cms/rules/index/five/rule5_113" TargetMode="External" /><Relationship Type="http://schemas.openxmlformats.org/officeDocument/2006/relationships/hyperlink" Id="rId55" Target="https://courts.ca.gov/cms/rules/index/five/rule5_2" TargetMode="External" /><Relationship Type="http://schemas.openxmlformats.org/officeDocument/2006/relationships/hyperlink" Id="rId67" Target="https://courts.ca.gov/cms/rules/index/ten/rule10_430" TargetMode="External" /><Relationship Type="http://schemas.openxmlformats.org/officeDocument/2006/relationships/hyperlink" Id="rId48" Target="https://iardc.org/Files/TheFalloutOfAIHallucinationsInCourtFilings.pdf" TargetMode="External" /><Relationship Type="http://schemas.openxmlformats.org/officeDocument/2006/relationships/hyperlink" Id="rId47" Target="https://law.stanford.edu/wp-content/uploads/2024/07/Rule-11-and-Gen-AI_Publication_Version.pdf" TargetMode="External" /><Relationship Type="http://schemas.openxmlformats.org/officeDocument/2006/relationships/hyperlink" Id="rId40" Target="https://nvlpubs.nist.gov/nistpubs/specialpublications/nist.sp.800-101r1.pdf" TargetMode="External" /><Relationship Type="http://schemas.openxmlformats.org/officeDocument/2006/relationships/hyperlink" Id="rId63" Target="https://purl.access.gpo.gov/GPO/LPS14094" TargetMode="External" /><Relationship Type="http://schemas.openxmlformats.org/officeDocument/2006/relationships/hyperlink" Id="rId23" Target="https://statutes.capitol.texas.gov/GetStatute.aspx?Code=FA&amp;Value=104.006" TargetMode="External" /><Relationship Type="http://schemas.openxmlformats.org/officeDocument/2006/relationships/hyperlink" Id="rId62" Target="https://supreme.justia.com/cases/federal/us/557/305/" TargetMode="External" /><Relationship Type="http://schemas.openxmlformats.org/officeDocument/2006/relationships/hyperlink" Id="rId56" Target="https://ww2.nycourts.gov/rules/trialcourts/index.shtml" TargetMode="External" /><Relationship Type="http://schemas.openxmlformats.org/officeDocument/2006/relationships/hyperlink" Id="rId24" Target="https://www-media.floridabar.org/uploads/2025/09/2026_04-OCT-Family-Law-Rules-of-Procedure-10-1-2025.pdf" TargetMode="External" /><Relationship Type="http://schemas.openxmlformats.org/officeDocument/2006/relationships/hyperlink" Id="rId43" Target="https://www.americanbar.org/content/dam/aba/administrative/professional_responsibility/ethics-opinions/aba-formal-opinion-512.pdf" TargetMode="External" /><Relationship Type="http://schemas.openxmlformats.org/officeDocument/2006/relationships/hyperlink" Id="rId42" Target="https://www.ca5.uscourts.gov/opinions/pub/25/25-20086-CV0.pdf" TargetMode="External" /><Relationship Type="http://schemas.openxmlformats.org/officeDocument/2006/relationships/hyperlink" Id="rId46" Target="https://www.calbar.ca.gov/Portals/0/documents/ethics/Generative-AI-Practical-Guidance.pdf" TargetMode="External" /><Relationship Type="http://schemas.openxmlformats.org/officeDocument/2006/relationships/hyperlink" Id="rId44" Target="https://www.courtlistener.com/docket/63107798/mata-v-avianca-inc/" TargetMode="External" /><Relationship Type="http://schemas.openxmlformats.org/officeDocument/2006/relationships/hyperlink" Id="rId31" Target="https://www.courts.state.md.us/data/opinions/coa/2011/74a10.pdf" TargetMode="External" /><Relationship Type="http://schemas.openxmlformats.org/officeDocument/2006/relationships/hyperlink" Id="rId45" Target="https://www.floridabar.org/etopinions/opinion-24-1/" TargetMode="External" /><Relationship Type="http://schemas.openxmlformats.org/officeDocument/2006/relationships/hyperlink" Id="rId28" Target="https://www.govinfo.gov/content/pkg/USCOURTS-ca2-13-00803/pdf/USCOURTS-ca2-13-00803-0.pdf" TargetMode="External" /><Relationship Type="http://schemas.openxmlformats.org/officeDocument/2006/relationships/hyperlink" Id="rId26" Target="https://www.govinfo.gov/content/pkg/USCOURTS-mdd-1_06-cv-01893/pdf/USCOURTS-mdd-1_06-cv-01893-0.pdf" TargetMode="External" /><Relationship Type="http://schemas.openxmlformats.org/officeDocument/2006/relationships/hyperlink" Id="rId53" Target="https://www.illinoiscourts.gov/documents-and-forms/approved-forms/circuit-court-standardized-forms-suites/divorce-child-support-maintenance/" TargetMode="External" /><Relationship Type="http://schemas.openxmlformats.org/officeDocument/2006/relationships/hyperlink" Id="rId57" Target="https://www.illinoiscourts.gov/rules/supreme-court-rules?a=ix" TargetMode="External" /><Relationship Type="http://schemas.openxmlformats.org/officeDocument/2006/relationships/hyperlink" Id="rId34" Target="https://www.iso.org/standard/44381.html" TargetMode="External" /><Relationship Type="http://schemas.openxmlformats.org/officeDocument/2006/relationships/hyperlink" Id="rId59" Target="https://www.leg.state.fl.us/Statutes/index.cfm?App_mode=Display_Statute&amp;Search_String=&amp;URL=0000-0099%2F0090%2FSections%2F0090.901.html" TargetMode="External" /><Relationship Type="http://schemas.openxmlformats.org/officeDocument/2006/relationships/hyperlink" Id="rId68" Target="https://www.nycourts.gov/LegacyPDFS/publications/pdfs/AI%20Annual%20Report%202025.pdf" TargetMode="External" /><Relationship Type="http://schemas.openxmlformats.org/officeDocument/2006/relationships/hyperlink" Id="rId29" Target="https://www.nycourts.gov/judges/evidence/8-HEARSAY/8.08_Business_Record.pdf" TargetMode="External" /><Relationship Type="http://schemas.openxmlformats.org/officeDocument/2006/relationships/hyperlink" Id="rId64" Target="https://www.ojp.gov/pdffiles1/nij/199408.pdf" TargetMode="External" /><Relationship Type="http://schemas.openxmlformats.org/officeDocument/2006/relationships/hyperlink" Id="rId39" Target="https://www.ojp.gov/pdffiles1/nij/219941.pdf" TargetMode="External" /><Relationship Type="http://schemas.openxmlformats.org/officeDocument/2006/relationships/hyperlink" Id="rId37" Target="https://www.reuters.com/legal/government/us-judicial-panel-advances-proposal-regulate-ai-generated-evidence-2025-05-02/" TargetMode="External" /><Relationship Type="http://schemas.openxmlformats.org/officeDocument/2006/relationships/hyperlink" Id="rId65" Target="https://www.swgde.org/wp-content/uploads/2025/01/2019-07-16-SWGDE-Best-Practices-for-Mobile-Devi.pdf" TargetMode="External" /><Relationship Type="http://schemas.openxmlformats.org/officeDocument/2006/relationships/hyperlink" Id="rId35" Target="https://www.thesedonaconference.org/node/4876" TargetMode="External" /><Relationship Type="http://schemas.openxmlformats.org/officeDocument/2006/relationships/hyperlink" Id="rId58" Target="https://www.txcourts.gov/media/1456691/texas-rules-of-evidence-effective-912025.pdf" TargetMode="External" /><Relationship Type="http://schemas.openxmlformats.org/officeDocument/2006/relationships/hyperlink" Id="rId60" Target="https://www.txcourts.gov/media/1457525/texas-rules-of-civil-procedure-january-1-2026.pdf" TargetMode="External" /><Relationship Type="http://schemas.openxmlformats.org/officeDocument/2006/relationships/hyperlink" Id="rId21" Target="https://www.uscourts.gov/sites/default/files/2025-02/federal-rules-of-civil-procedure-dec-1-2024_0.pdf" TargetMode="External" /><Relationship Type="http://schemas.openxmlformats.org/officeDocument/2006/relationships/hyperlink" Id="rId22" Target="https://www.uscourts.gov/sites/default/files/2025-02/federal-rules-of-evidence-dec-1-2024_0.pdf" TargetMode="External" /><Relationship Type="http://schemas.openxmlformats.org/officeDocument/2006/relationships/hyperlink" Id="rId32" Target="https://www2.law.temple.edu/events/excelling-in-evidence/wp-content/uploads/sites/106/2020/06/United-States-v.-Browne_-834-F.3d-403.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2026-02-26T00:23:22Z</dcterms:created>
  <dcterms:modified xsi:type="dcterms:W3CDTF">2026-02-26T00:23:22Z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