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99F9F" w14:textId="126ACC42" w:rsidR="00B37F01" w:rsidRDefault="00C32CB2">
      <w:pPr>
        <w:spacing w:after="120"/>
        <w:jc w:val="center"/>
      </w:pPr>
      <w:r w:rsidRPr="00C32CB2">
        <w:rPr>
          <w:rFonts w:ascii="Calibri" w:hAnsi="Calibri"/>
          <w:b/>
          <w:sz w:val="24"/>
        </w:rPr>
        <w:t>EROSÃO LAMINAR: DIAGNÓSTICO POR IMAGEM AÉREA COM USO DE IA</w:t>
      </w:r>
    </w:p>
    <w:p w14:paraId="502D5BD8" w14:textId="1A06A8E9" w:rsidR="00B37F01" w:rsidRDefault="00916410">
      <w:pPr>
        <w:spacing w:after="40"/>
        <w:jc w:val="center"/>
      </w:pPr>
      <w:r>
        <w:rPr>
          <w:rFonts w:ascii="Calibri" w:hAnsi="Calibri"/>
          <w:sz w:val="21"/>
        </w:rPr>
        <w:t>LUIS ALFREDO FERREIRA DA SILVA</w:t>
      </w:r>
      <w:r w:rsidR="00000000">
        <w:rPr>
          <w:rFonts w:ascii="Calibri" w:hAnsi="Calibri"/>
          <w:sz w:val="21"/>
        </w:rPr>
        <w:t xml:space="preserve">; </w:t>
      </w:r>
      <w:r w:rsidRPr="00916410">
        <w:rPr>
          <w:rFonts w:ascii="Calibri" w:hAnsi="Calibri"/>
          <w:sz w:val="21"/>
        </w:rPr>
        <w:t>FABIANA COSTA DE ARAUJO SCHUTZ</w:t>
      </w:r>
      <w:r w:rsidR="00000000">
        <w:rPr>
          <w:rFonts w:ascii="Calibri" w:hAnsi="Calibri"/>
          <w:sz w:val="21"/>
        </w:rPr>
        <w:t xml:space="preserve">; </w:t>
      </w:r>
      <w:r w:rsidRPr="00916410">
        <w:rPr>
          <w:rFonts w:ascii="Calibri" w:hAnsi="Calibri"/>
          <w:sz w:val="21"/>
        </w:rPr>
        <w:t>KIRIA VITORIA NAKAHATI</w:t>
      </w:r>
      <w:r>
        <w:rPr>
          <w:rFonts w:ascii="Calibri" w:hAnsi="Calibri"/>
          <w:sz w:val="21"/>
        </w:rPr>
        <w:t xml:space="preserve">; </w:t>
      </w:r>
      <w:r w:rsidRPr="00916410">
        <w:rPr>
          <w:rFonts w:ascii="Calibri" w:hAnsi="Calibri"/>
          <w:sz w:val="21"/>
        </w:rPr>
        <w:t>CLAUDIO LEONES BAZZI</w:t>
      </w:r>
    </w:p>
    <w:p w14:paraId="77295970" w14:textId="4E56A33A" w:rsidR="00B37F01" w:rsidRDefault="00000000" w:rsidP="00C32CB2">
      <w:pPr>
        <w:jc w:val="center"/>
      </w:pPr>
      <w:r>
        <w:rPr>
          <w:rFonts w:ascii="Calibri" w:hAnsi="Calibri"/>
          <w:i/>
          <w:sz w:val="18"/>
        </w:rPr>
        <w:t>Programa de Pós-Graduação em Tecnologias Computacionais para o Agronegócio (PPGTCA), Universidade Tecnológica Federal do Paraná (UTFPR).</w:t>
      </w:r>
      <w:r w:rsidR="00C32CB2">
        <w:rPr>
          <w:rFonts w:ascii="Calibri" w:hAnsi="Calibri"/>
          <w:i/>
          <w:sz w:val="18"/>
        </w:rPr>
        <w:t xml:space="preserve"> Campus Medianeira</w:t>
      </w:r>
    </w:p>
    <w:p w14:paraId="08591414" w14:textId="77777777" w:rsidR="00B37F01" w:rsidRDefault="00000000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Introdução: </w:t>
      </w:r>
      <w:r>
        <w:rPr>
          <w:rFonts w:ascii="Calibri" w:hAnsi="Calibri"/>
        </w:rPr>
        <w:t>A erosão laminar degrada a fertilidade e reduz a produtividade na Bacia do Paraná 3, sob Sistema Plantio Direto (</w:t>
      </w:r>
      <w:proofErr w:type="spellStart"/>
      <w:r>
        <w:rPr>
          <w:rFonts w:ascii="Calibri" w:hAnsi="Calibri"/>
        </w:rPr>
        <w:t>Dieckow</w:t>
      </w:r>
      <w:proofErr w:type="spellEnd"/>
      <w:r>
        <w:rPr>
          <w:rFonts w:ascii="Calibri" w:hAnsi="Calibri"/>
        </w:rPr>
        <w:t xml:space="preserve"> et al., 2009). Modelos empíricos como a RUSLE apoiam-se em generalizações cartográficas que não capturam a heterogeneidade das feições em escala métrica. A integração entre constelações orbitais multiespectrais, veículos aéreos não tripulados (VANT) de alta resolução e aprendizado de máquina supervisionado abre caminho para a detecção e a predição espacialmente explícitas de focos ativos, reduzindo custos de campo e viabilizando o manejo conservacionista de precisão.</w:t>
      </w:r>
    </w:p>
    <w:p w14:paraId="5C63F671" w14:textId="77777777" w:rsidR="00B37F01" w:rsidRDefault="00000000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Objetivo: </w:t>
      </w:r>
      <w:r>
        <w:rPr>
          <w:rFonts w:ascii="Calibri" w:hAnsi="Calibri"/>
        </w:rPr>
        <w:t xml:space="preserve">Desenvolver e validar um arcabouço computacional auditável (SAREL) para amostragem estratificada, calibração radiométrica multiescala e predição de risco de erosão laminar no Oeste do Paraná, integrando séries temporais do Sentinel-2 MSI, </w:t>
      </w:r>
      <w:proofErr w:type="spellStart"/>
      <w:r>
        <w:rPr>
          <w:rFonts w:ascii="Calibri" w:hAnsi="Calibri"/>
        </w:rPr>
        <w:t>ortomosaicos</w:t>
      </w:r>
      <w:proofErr w:type="spellEnd"/>
      <w:r>
        <w:rPr>
          <w:rFonts w:ascii="Calibri" w:hAnsi="Calibri"/>
        </w:rPr>
        <w:t xml:space="preserve"> centimétricos de VANT e o algoritmo </w:t>
      </w:r>
      <w:proofErr w:type="spellStart"/>
      <w:r>
        <w:rPr>
          <w:rFonts w:ascii="Calibri" w:hAnsi="Calibri"/>
        </w:rPr>
        <w:t>XGBoost</w:t>
      </w:r>
      <w:proofErr w:type="spellEnd"/>
      <w:r>
        <w:rPr>
          <w:rFonts w:ascii="Calibri" w:hAnsi="Calibri"/>
        </w:rPr>
        <w:t xml:space="preserve"> sob validação espacial em blocos.</w:t>
      </w:r>
    </w:p>
    <w:p w14:paraId="01F22937" w14:textId="77777777" w:rsidR="00B37F01" w:rsidRDefault="00000000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Metodologia: </w:t>
      </w:r>
      <w:r>
        <w:rPr>
          <w:rFonts w:ascii="Calibri" w:hAnsi="Calibri"/>
        </w:rPr>
        <w:t xml:space="preserve">O desenho amostral organiza-se em 18 estratos biofísicos ortogonais de declividade (3% a 20%), frequência </w:t>
      </w:r>
      <w:proofErr w:type="spellStart"/>
      <w:r>
        <w:rPr>
          <w:rFonts w:ascii="Calibri" w:hAnsi="Calibri"/>
        </w:rPr>
        <w:t>multitemporal</w:t>
      </w:r>
      <w:proofErr w:type="spellEnd"/>
      <w:r>
        <w:rPr>
          <w:rFonts w:ascii="Calibri" w:hAnsi="Calibri"/>
        </w:rPr>
        <w:t xml:space="preserve"> de solo exposto (índice BSI) e erodibilidade pedológica oficial (Coelho et al., 2024). Aplica-se </w:t>
      </w:r>
      <w:proofErr w:type="spellStart"/>
      <w:r>
        <w:rPr>
          <w:rFonts w:ascii="Calibri" w:hAnsi="Calibri"/>
        </w:rPr>
        <w:t>thinning</w:t>
      </w:r>
      <w:proofErr w:type="spellEnd"/>
      <w:r>
        <w:rPr>
          <w:rFonts w:ascii="Calibri" w:hAnsi="Calibri"/>
        </w:rPr>
        <w:t xml:space="preserve"> geodésico </w:t>
      </w:r>
      <w:proofErr w:type="spellStart"/>
      <w:r>
        <w:rPr>
          <w:rFonts w:ascii="Calibri" w:hAnsi="Calibri"/>
        </w:rPr>
        <w:t>Haversine</w:t>
      </w:r>
      <w:proofErr w:type="spellEnd"/>
      <w:r>
        <w:rPr>
          <w:rFonts w:ascii="Calibri" w:hAnsi="Calibri"/>
        </w:rPr>
        <w:t xml:space="preserve"> (1 km a 5 km) sobre imóveis do SICAR, mitigando a dependência espacial (</w:t>
      </w:r>
      <w:proofErr w:type="spellStart"/>
      <w:r>
        <w:rPr>
          <w:rFonts w:ascii="Calibri" w:hAnsi="Calibri"/>
        </w:rPr>
        <w:t>Tobler</w:t>
      </w:r>
      <w:proofErr w:type="spellEnd"/>
      <w:r>
        <w:rPr>
          <w:rFonts w:ascii="Calibri" w:hAnsi="Calibri"/>
        </w:rPr>
        <w:t xml:space="preserve">, 1970). Atributos topográficos são reduzidos do </w:t>
      </w:r>
      <w:proofErr w:type="spellStart"/>
      <w:r>
        <w:rPr>
          <w:rFonts w:ascii="Calibri" w:hAnsi="Calibri"/>
        </w:rPr>
        <w:t>Copernicus</w:t>
      </w:r>
      <w:proofErr w:type="spellEnd"/>
      <w:r>
        <w:rPr>
          <w:rFonts w:ascii="Calibri" w:hAnsi="Calibri"/>
        </w:rPr>
        <w:t xml:space="preserve"> DEM GLO-30 em projeção métrica SIRGAS 2000 / UTM 22S (EPSG:31982), e o Fator C da RUSLE deriva de séries NDVI (</w:t>
      </w:r>
      <w:proofErr w:type="spellStart"/>
      <w:r>
        <w:rPr>
          <w:rFonts w:ascii="Calibri" w:hAnsi="Calibri"/>
        </w:rPr>
        <w:t>Durigon</w:t>
      </w:r>
      <w:proofErr w:type="spellEnd"/>
      <w:r>
        <w:rPr>
          <w:rFonts w:ascii="Calibri" w:hAnsi="Calibri"/>
        </w:rPr>
        <w:t xml:space="preserve"> et al., 2014). A validação independente (</w:t>
      </w:r>
      <w:proofErr w:type="spellStart"/>
      <w:r>
        <w:rPr>
          <w:rFonts w:ascii="Calibri" w:hAnsi="Calibri"/>
        </w:rPr>
        <w:t>held</w:t>
      </w:r>
      <w:proofErr w:type="spellEnd"/>
      <w:r>
        <w:rPr>
          <w:rFonts w:ascii="Calibri" w:hAnsi="Calibri"/>
        </w:rPr>
        <w:t xml:space="preserve">-out) prevê quatro sítios contínuos de 10 a 50 ha, a </w:t>
      </w:r>
      <w:proofErr w:type="spellStart"/>
      <w:r>
        <w:rPr>
          <w:rFonts w:ascii="Calibri" w:hAnsi="Calibri"/>
        </w:rPr>
        <w:t>imagear</w:t>
      </w:r>
      <w:proofErr w:type="spellEnd"/>
      <w:r>
        <w:rPr>
          <w:rFonts w:ascii="Calibri" w:hAnsi="Calibri"/>
        </w:rPr>
        <w:t xml:space="preserve"> por VANT multiespectral (cinco bandas, RTK/PPK, GSD 3 a 7,5 cm) e confrontar </w:t>
      </w:r>
      <w:proofErr w:type="spellStart"/>
      <w:r>
        <w:rPr>
          <w:rFonts w:ascii="Calibri" w:hAnsi="Calibri"/>
        </w:rPr>
        <w:t>radiometricamente</w:t>
      </w:r>
      <w:proofErr w:type="spellEnd"/>
      <w:r>
        <w:rPr>
          <w:rFonts w:ascii="Calibri" w:hAnsi="Calibri"/>
        </w:rPr>
        <w:t xml:space="preserve"> com o Sentinel-2. O treinamento adotará </w:t>
      </w:r>
      <w:proofErr w:type="spellStart"/>
      <w:r>
        <w:rPr>
          <w:rFonts w:ascii="Calibri" w:hAnsi="Calibri"/>
        </w:rPr>
        <w:t>XGBoost</w:t>
      </w:r>
      <w:proofErr w:type="spellEnd"/>
      <w:r>
        <w:rPr>
          <w:rFonts w:ascii="Calibri" w:hAnsi="Calibri"/>
        </w:rPr>
        <w:t xml:space="preserve"> (Chen &amp; </w:t>
      </w:r>
      <w:proofErr w:type="spellStart"/>
      <w:r>
        <w:rPr>
          <w:rFonts w:ascii="Calibri" w:hAnsi="Calibri"/>
        </w:rPr>
        <w:t>Guestrin</w:t>
      </w:r>
      <w:proofErr w:type="spellEnd"/>
      <w:r>
        <w:rPr>
          <w:rFonts w:ascii="Calibri" w:hAnsi="Calibri"/>
        </w:rPr>
        <w:t xml:space="preserve">, 2016) sob validação cruzada </w:t>
      </w:r>
      <w:proofErr w:type="spellStart"/>
      <w:r>
        <w:rPr>
          <w:rFonts w:ascii="Calibri" w:hAnsi="Calibri"/>
        </w:rPr>
        <w:t>Leave</w:t>
      </w:r>
      <w:proofErr w:type="spellEnd"/>
      <w:r>
        <w:rPr>
          <w:rFonts w:ascii="Calibri" w:hAnsi="Calibri"/>
        </w:rPr>
        <w:t>-</w:t>
      </w:r>
      <w:proofErr w:type="spellStart"/>
      <w:r>
        <w:rPr>
          <w:rFonts w:ascii="Calibri" w:hAnsi="Calibri"/>
        </w:rPr>
        <w:t>One</w:t>
      </w:r>
      <w:proofErr w:type="spellEnd"/>
      <w:r>
        <w:rPr>
          <w:rFonts w:ascii="Calibri" w:hAnsi="Calibri"/>
        </w:rPr>
        <w:t>-</w:t>
      </w:r>
      <w:proofErr w:type="spellStart"/>
      <w:r>
        <w:rPr>
          <w:rFonts w:ascii="Calibri" w:hAnsi="Calibri"/>
        </w:rPr>
        <w:t>Catchment</w:t>
      </w:r>
      <w:proofErr w:type="spellEnd"/>
      <w:r>
        <w:rPr>
          <w:rFonts w:ascii="Calibri" w:hAnsi="Calibri"/>
        </w:rPr>
        <w:t>-Out (Roberts et al., 2017), com explicabilidade via SHAP (</w:t>
      </w:r>
      <w:proofErr w:type="spellStart"/>
      <w:r>
        <w:rPr>
          <w:rFonts w:ascii="Calibri" w:hAnsi="Calibri"/>
        </w:rPr>
        <w:t>Lundberg</w:t>
      </w:r>
      <w:proofErr w:type="spellEnd"/>
      <w:r>
        <w:rPr>
          <w:rFonts w:ascii="Calibri" w:hAnsi="Calibri"/>
        </w:rPr>
        <w:t xml:space="preserve"> &amp; Lee, 2017).</w:t>
      </w:r>
    </w:p>
    <w:p w14:paraId="4223E67E" w14:textId="77777777" w:rsidR="00B37F01" w:rsidRDefault="00000000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Resultados e Discussão: </w:t>
      </w:r>
      <w:r>
        <w:rPr>
          <w:rFonts w:ascii="Calibri" w:hAnsi="Calibri"/>
        </w:rPr>
        <w:t xml:space="preserve">Esta etapa reporta a validação da infraestrutura computacional, não do desempenho preditivo. O sistema sustenta 270 testes automatizados e um varredor estático que barra constantes arbitrárias e dados sintéticos: toda variável carrega proveniência e data de aquisição, e ausência de dado nunca vira valor. Implementou-se a arquitetura dual, que segrega a detecção de focos ativos (Modelo D, t0) da predição prospectiva (Modelo P), com guarda temporal de 24 meses que previne vazamento de dados (Kaufman et al., 2012) e espelha a rotação de culturas. Executou-se um benchmark de integridade do fluxo </w:t>
      </w:r>
      <w:proofErr w:type="spellStart"/>
      <w:r>
        <w:rPr>
          <w:rFonts w:ascii="Calibri" w:hAnsi="Calibri"/>
        </w:rPr>
        <w:t>XGBoost</w:t>
      </w:r>
      <w:proofErr w:type="spellEnd"/>
      <w:r>
        <w:rPr>
          <w:rFonts w:ascii="Calibri" w:hAnsi="Calibri"/>
        </w:rPr>
        <w:t xml:space="preserve"> + SHAP sob partição espacial, com a classe de controle sintetizada apenas para teste do pipeline e assim sinalizada no relatório: suas métricas aferem o código, não a separabilidade do fenômeno.</w:t>
      </w:r>
    </w:p>
    <w:p w14:paraId="764E3C80" w14:textId="00319DD8" w:rsidR="00B37F01" w:rsidRDefault="00000000">
      <w:pPr>
        <w:spacing w:before="40" w:after="80" w:line="276" w:lineRule="auto"/>
        <w:jc w:val="both"/>
      </w:pPr>
      <w:r>
        <w:rPr>
          <w:rFonts w:ascii="Calibri" w:hAnsi="Calibri"/>
          <w:b/>
        </w:rPr>
        <w:t xml:space="preserve">Considerações Finais: </w:t>
      </w:r>
      <w:r>
        <w:rPr>
          <w:rFonts w:ascii="Calibri" w:hAnsi="Calibri"/>
        </w:rPr>
        <w:t xml:space="preserve">O arcabouço mostrou-se reprodutível e pericialmente auditável, com rastreabilidade ponto a ponto — contribuição direta para perícias agronômicas e governança </w:t>
      </w:r>
      <w:r>
        <w:rPr>
          <w:rFonts w:ascii="Calibri" w:hAnsi="Calibri"/>
        </w:rPr>
        <w:lastRenderedPageBreak/>
        <w:t>territorial de bacias. A limitação principal é que a campanha de rotulagem e os sobrevoos</w:t>
      </w:r>
      <w:r w:rsidR="00906C3C">
        <w:rPr>
          <w:rFonts w:ascii="Calibri" w:hAnsi="Calibri"/>
        </w:rPr>
        <w:t xml:space="preserve"> finais</w:t>
      </w:r>
      <w:r>
        <w:rPr>
          <w:rFonts w:ascii="Calibri" w:hAnsi="Calibri"/>
        </w:rPr>
        <w:t xml:space="preserve"> ainda não foram executados; o desempenho preditivo será aferido após os rótulos periciais.</w:t>
      </w:r>
    </w:p>
    <w:p w14:paraId="3273EB58" w14:textId="77777777" w:rsidR="00B37F01" w:rsidRDefault="00000000">
      <w:pPr>
        <w:spacing w:before="120" w:after="120" w:line="276" w:lineRule="auto"/>
        <w:jc w:val="both"/>
      </w:pPr>
      <w:r>
        <w:rPr>
          <w:rFonts w:ascii="Calibri" w:hAnsi="Calibri"/>
          <w:b/>
        </w:rPr>
        <w:t xml:space="preserve">Palavras-chave: </w:t>
      </w:r>
      <w:r>
        <w:rPr>
          <w:rFonts w:ascii="Calibri" w:hAnsi="Calibri"/>
        </w:rPr>
        <w:t xml:space="preserve">erosão laminar, sensoriamento remoto, aprendizado de máquina, </w:t>
      </w:r>
      <w:proofErr w:type="spellStart"/>
      <w:r>
        <w:rPr>
          <w:rFonts w:ascii="Calibri" w:hAnsi="Calibri"/>
        </w:rPr>
        <w:t>vant</w:t>
      </w:r>
      <w:proofErr w:type="spellEnd"/>
      <w:r>
        <w:rPr>
          <w:rFonts w:ascii="Calibri" w:hAnsi="Calibri"/>
        </w:rPr>
        <w:t xml:space="preserve"> multiespectral, bacia hidrográfica.</w:t>
      </w:r>
    </w:p>
    <w:p w14:paraId="241857BA" w14:textId="77777777" w:rsidR="00B37F01" w:rsidRDefault="00000000">
      <w:pPr>
        <w:spacing w:before="120" w:after="40"/>
        <w:jc w:val="both"/>
      </w:pPr>
      <w:r>
        <w:rPr>
          <w:rFonts w:ascii="Calibri" w:hAnsi="Calibri"/>
          <w:b/>
        </w:rPr>
        <w:t>Agradecimentos (Nota do Autor):</w:t>
      </w:r>
    </w:p>
    <w:p w14:paraId="54EA3C5B" w14:textId="370992F4" w:rsidR="00B37F01" w:rsidRDefault="00000000">
      <w:pPr>
        <w:spacing w:line="276" w:lineRule="auto"/>
        <w:jc w:val="both"/>
      </w:pPr>
      <w:r>
        <w:rPr>
          <w:rFonts w:ascii="Calibri" w:hAnsi="Calibri"/>
          <w:sz w:val="20"/>
        </w:rPr>
        <w:t>O presente trabalho foi realizado com o apoio</w:t>
      </w:r>
      <w:r w:rsidR="00916410">
        <w:rPr>
          <w:rFonts w:ascii="Calibri" w:hAnsi="Calibri"/>
          <w:sz w:val="20"/>
        </w:rPr>
        <w:t xml:space="preserve"> indispensável</w:t>
      </w:r>
      <w:r>
        <w:rPr>
          <w:rFonts w:ascii="Calibri" w:hAnsi="Calibri"/>
          <w:sz w:val="20"/>
        </w:rPr>
        <w:t xml:space="preserve"> do Programa de Pós-Graduação em Tecnologias Computacionais para o Agronegócio (PPGTCA) da Universidade Tecnológica Federal do Paraná (UTFPR) e </w:t>
      </w:r>
      <w:r w:rsidR="00906C3C">
        <w:rPr>
          <w:rFonts w:ascii="Calibri" w:hAnsi="Calibri"/>
          <w:sz w:val="20"/>
        </w:rPr>
        <w:t xml:space="preserve">Itaipu </w:t>
      </w:r>
      <w:proofErr w:type="spellStart"/>
      <w:r w:rsidR="00906C3C">
        <w:rPr>
          <w:rFonts w:ascii="Calibri" w:hAnsi="Calibri"/>
          <w:sz w:val="20"/>
        </w:rPr>
        <w:t>Parquetec</w:t>
      </w:r>
      <w:proofErr w:type="spellEnd"/>
      <w:r w:rsidR="00906C3C">
        <w:rPr>
          <w:rFonts w:ascii="Calibri" w:hAnsi="Calibri"/>
          <w:sz w:val="20"/>
        </w:rPr>
        <w:t>.</w:t>
      </w:r>
    </w:p>
    <w:p w14:paraId="391A5B55" w14:textId="77777777" w:rsidR="00B37F01" w:rsidRDefault="00000000">
      <w:pPr>
        <w:spacing w:before="160" w:after="80"/>
        <w:jc w:val="both"/>
      </w:pPr>
      <w:r>
        <w:rPr>
          <w:rFonts w:ascii="Calibri" w:hAnsi="Calibri"/>
          <w:b/>
        </w:rPr>
        <w:t>Referências</w:t>
      </w:r>
    </w:p>
    <w:p w14:paraId="432E916A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r>
        <w:rPr>
          <w:rFonts w:ascii="Calibri" w:hAnsi="Calibri"/>
          <w:sz w:val="20"/>
        </w:rPr>
        <w:t xml:space="preserve">Chen, T., &amp; </w:t>
      </w:r>
      <w:proofErr w:type="spellStart"/>
      <w:r>
        <w:rPr>
          <w:rFonts w:ascii="Calibri" w:hAnsi="Calibri"/>
          <w:sz w:val="20"/>
        </w:rPr>
        <w:t>Guestrin</w:t>
      </w:r>
      <w:proofErr w:type="spellEnd"/>
      <w:r>
        <w:rPr>
          <w:rFonts w:ascii="Calibri" w:hAnsi="Calibri"/>
          <w:sz w:val="20"/>
        </w:rPr>
        <w:t xml:space="preserve">, C. (2016). </w:t>
      </w:r>
      <w:proofErr w:type="spellStart"/>
      <w:r w:rsidRPr="00906C3C">
        <w:rPr>
          <w:rFonts w:ascii="Calibri" w:hAnsi="Calibri"/>
          <w:sz w:val="20"/>
          <w:lang w:val="en-US"/>
        </w:rPr>
        <w:t>XGBoost</w:t>
      </w:r>
      <w:proofErr w:type="spellEnd"/>
      <w:r w:rsidRPr="00906C3C">
        <w:rPr>
          <w:rFonts w:ascii="Calibri" w:hAnsi="Calibri"/>
          <w:sz w:val="20"/>
          <w:lang w:val="en-US"/>
        </w:rPr>
        <w:t xml:space="preserve">: A scalable tree boosting system. </w:t>
      </w:r>
      <w:r w:rsidRPr="00906C3C">
        <w:rPr>
          <w:rFonts w:ascii="Calibri" w:hAnsi="Calibri"/>
          <w:i/>
          <w:sz w:val="20"/>
          <w:lang w:val="en-US"/>
        </w:rPr>
        <w:t xml:space="preserve">Proceedings of the 22nd ACM SIGKDD International Conference on Knowledge Discovery and Data Mining, </w:t>
      </w:r>
      <w:r w:rsidRPr="00906C3C">
        <w:rPr>
          <w:rFonts w:ascii="Calibri" w:hAnsi="Calibri"/>
          <w:sz w:val="20"/>
          <w:lang w:val="en-US"/>
        </w:rPr>
        <w:t>785–794. https://doi.org/10.1145/2939672.2939785</w:t>
      </w:r>
    </w:p>
    <w:p w14:paraId="6C8D588F" w14:textId="77777777" w:rsidR="00B37F01" w:rsidRDefault="00000000">
      <w:pPr>
        <w:spacing w:before="40" w:after="80" w:line="276" w:lineRule="auto"/>
        <w:ind w:left="720" w:hanging="720"/>
        <w:jc w:val="both"/>
      </w:pPr>
      <w:r>
        <w:rPr>
          <w:rFonts w:ascii="Calibri" w:hAnsi="Calibri"/>
          <w:sz w:val="20"/>
        </w:rPr>
        <w:t xml:space="preserve">Coelho, M. R., </w:t>
      </w:r>
      <w:proofErr w:type="spellStart"/>
      <w:r>
        <w:rPr>
          <w:rFonts w:ascii="Calibri" w:hAnsi="Calibri"/>
          <w:sz w:val="20"/>
        </w:rPr>
        <w:t>Lumbreras</w:t>
      </w:r>
      <w:proofErr w:type="spellEnd"/>
      <w:r>
        <w:rPr>
          <w:rFonts w:ascii="Calibri" w:hAnsi="Calibri"/>
          <w:sz w:val="20"/>
        </w:rPr>
        <w:t xml:space="preserve">, J. F., Amaral, A. J. do, Vasques, G. M., Mansilla Baca, J. F., Dart, R. de O., &amp; Pedreira, J. P. das N. C. (2024). </w:t>
      </w:r>
      <w:r>
        <w:rPr>
          <w:rFonts w:ascii="Calibri" w:hAnsi="Calibri"/>
          <w:i/>
          <w:sz w:val="20"/>
        </w:rPr>
        <w:t xml:space="preserve">Erodibilidade dos solos do Brasil </w:t>
      </w:r>
      <w:r>
        <w:rPr>
          <w:rFonts w:ascii="Calibri" w:hAnsi="Calibri"/>
          <w:sz w:val="20"/>
        </w:rPr>
        <w:t>(Documentos 246). Embrapa Solos. https://www.infoteca.cnptia.embrapa.br/infoteca/handle/doc/1170044</w:t>
      </w:r>
    </w:p>
    <w:p w14:paraId="058B69FA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proofErr w:type="spellStart"/>
      <w:r>
        <w:rPr>
          <w:rFonts w:ascii="Calibri" w:hAnsi="Calibri"/>
          <w:sz w:val="20"/>
        </w:rPr>
        <w:t>Dieckow</w:t>
      </w:r>
      <w:proofErr w:type="spellEnd"/>
      <w:r>
        <w:rPr>
          <w:rFonts w:ascii="Calibri" w:hAnsi="Calibri"/>
          <w:sz w:val="20"/>
        </w:rPr>
        <w:t xml:space="preserve">, J., Bayer, C., Conceição, P. C., Zanatta, J. A., Martin-Neto, L., </w:t>
      </w:r>
      <w:proofErr w:type="spellStart"/>
      <w:r>
        <w:rPr>
          <w:rFonts w:ascii="Calibri" w:hAnsi="Calibri"/>
          <w:sz w:val="20"/>
        </w:rPr>
        <w:t>Milori</w:t>
      </w:r>
      <w:proofErr w:type="spellEnd"/>
      <w:r>
        <w:rPr>
          <w:rFonts w:ascii="Calibri" w:hAnsi="Calibri"/>
          <w:sz w:val="20"/>
        </w:rPr>
        <w:t xml:space="preserve">, D. M. B. P., Salton, J. C., Macedo, M. M., </w:t>
      </w:r>
      <w:proofErr w:type="spellStart"/>
      <w:r>
        <w:rPr>
          <w:rFonts w:ascii="Calibri" w:hAnsi="Calibri"/>
          <w:sz w:val="20"/>
        </w:rPr>
        <w:t>Mielniczuk</w:t>
      </w:r>
      <w:proofErr w:type="spellEnd"/>
      <w:r>
        <w:rPr>
          <w:rFonts w:ascii="Calibri" w:hAnsi="Calibri"/>
          <w:sz w:val="20"/>
        </w:rPr>
        <w:t xml:space="preserve">, J., &amp; Hernani, L. C. (2009). </w:t>
      </w:r>
      <w:r w:rsidRPr="00906C3C">
        <w:rPr>
          <w:rFonts w:ascii="Calibri" w:hAnsi="Calibri"/>
          <w:sz w:val="20"/>
          <w:lang w:val="en-US"/>
        </w:rPr>
        <w:t xml:space="preserve">Land use, tillage, texture and organic matter stock and composition in tropical and subtropical Brazilian soils. </w:t>
      </w:r>
      <w:r w:rsidRPr="00906C3C">
        <w:rPr>
          <w:rFonts w:ascii="Calibri" w:hAnsi="Calibri"/>
          <w:i/>
          <w:sz w:val="20"/>
          <w:lang w:val="en-US"/>
        </w:rPr>
        <w:t xml:space="preserve">European Journal of Soil Science, </w:t>
      </w:r>
      <w:r w:rsidRPr="00906C3C">
        <w:rPr>
          <w:rFonts w:ascii="Calibri" w:hAnsi="Calibri"/>
          <w:sz w:val="20"/>
          <w:lang w:val="en-US"/>
        </w:rPr>
        <w:t>60(2), 240–249. https://doi.org/10.1111/j.1365-2389.2008.01101.x</w:t>
      </w:r>
    </w:p>
    <w:p w14:paraId="506D5165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proofErr w:type="spellStart"/>
      <w:r w:rsidRPr="00906C3C">
        <w:rPr>
          <w:rFonts w:ascii="Calibri" w:hAnsi="Calibri"/>
          <w:sz w:val="20"/>
          <w:lang w:val="en-US"/>
        </w:rPr>
        <w:t>Durigon</w:t>
      </w:r>
      <w:proofErr w:type="spellEnd"/>
      <w:r w:rsidRPr="00906C3C">
        <w:rPr>
          <w:rFonts w:ascii="Calibri" w:hAnsi="Calibri"/>
          <w:sz w:val="20"/>
          <w:lang w:val="en-US"/>
        </w:rPr>
        <w:t xml:space="preserve">, V. L., Carvalho, D. F., Antunes, M. A. H., Oliveira, P. T. S., &amp; Fernandes, M. M. (2014). NDVI time series for monitoring RUSLE cover management factor in a tropical watershed. </w:t>
      </w:r>
      <w:r w:rsidRPr="00906C3C">
        <w:rPr>
          <w:rFonts w:ascii="Calibri" w:hAnsi="Calibri"/>
          <w:i/>
          <w:sz w:val="20"/>
          <w:lang w:val="en-US"/>
        </w:rPr>
        <w:t xml:space="preserve">International Journal of Remote Sensing, </w:t>
      </w:r>
      <w:r w:rsidRPr="00906C3C">
        <w:rPr>
          <w:rFonts w:ascii="Calibri" w:hAnsi="Calibri"/>
          <w:sz w:val="20"/>
          <w:lang w:val="en-US"/>
        </w:rPr>
        <w:t>35(2), 441–453. https://doi.org/10.1080/01431161.2013.871081</w:t>
      </w:r>
    </w:p>
    <w:p w14:paraId="0CD864AA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r w:rsidRPr="00906C3C">
        <w:rPr>
          <w:rFonts w:ascii="Calibri" w:hAnsi="Calibri"/>
          <w:sz w:val="20"/>
          <w:lang w:val="en-US"/>
        </w:rPr>
        <w:t xml:space="preserve">Kaufman, S., Rosset, S., Perlich, C., &amp; </w:t>
      </w:r>
      <w:proofErr w:type="spellStart"/>
      <w:r w:rsidRPr="00906C3C">
        <w:rPr>
          <w:rFonts w:ascii="Calibri" w:hAnsi="Calibri"/>
          <w:sz w:val="20"/>
          <w:lang w:val="en-US"/>
        </w:rPr>
        <w:t>Stitelman</w:t>
      </w:r>
      <w:proofErr w:type="spellEnd"/>
      <w:r w:rsidRPr="00906C3C">
        <w:rPr>
          <w:rFonts w:ascii="Calibri" w:hAnsi="Calibri"/>
          <w:sz w:val="20"/>
          <w:lang w:val="en-US"/>
        </w:rPr>
        <w:t xml:space="preserve">, O. (2012). Leakage in data mining: Formulation, detection, and avoidance. </w:t>
      </w:r>
      <w:r w:rsidRPr="00906C3C">
        <w:rPr>
          <w:rFonts w:ascii="Calibri" w:hAnsi="Calibri"/>
          <w:i/>
          <w:sz w:val="20"/>
          <w:lang w:val="en-US"/>
        </w:rPr>
        <w:t xml:space="preserve">ACM Transactions on Knowledge Discovery from Data, </w:t>
      </w:r>
      <w:r w:rsidRPr="00906C3C">
        <w:rPr>
          <w:rFonts w:ascii="Calibri" w:hAnsi="Calibri"/>
          <w:sz w:val="20"/>
          <w:lang w:val="en-US"/>
        </w:rPr>
        <w:t>6(4), 1–21. https://doi.org/10.1145/2382577.2382579</w:t>
      </w:r>
    </w:p>
    <w:p w14:paraId="649A807B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r w:rsidRPr="00906C3C">
        <w:rPr>
          <w:rFonts w:ascii="Calibri" w:hAnsi="Calibri"/>
          <w:sz w:val="20"/>
          <w:lang w:val="en-US"/>
        </w:rPr>
        <w:t xml:space="preserve">Lundberg, S. M., &amp; Lee, S.-I. (2017). A unified approach to interpreting model predictions. In </w:t>
      </w:r>
      <w:r w:rsidRPr="00906C3C">
        <w:rPr>
          <w:rFonts w:ascii="Calibri" w:hAnsi="Calibri"/>
          <w:i/>
          <w:sz w:val="20"/>
          <w:lang w:val="en-US"/>
        </w:rPr>
        <w:t xml:space="preserve">Advances in Neural Information Processing Systems </w:t>
      </w:r>
      <w:r w:rsidRPr="00906C3C">
        <w:rPr>
          <w:rFonts w:ascii="Calibri" w:hAnsi="Calibri"/>
          <w:sz w:val="20"/>
          <w:lang w:val="en-US"/>
        </w:rPr>
        <w:t>(Vol. 30). Curran Associates. https://papers.nips.cc/paper_files/paper/2017/hash/8a20a8621978632d76c43dfd28b67767-Abstract.html</w:t>
      </w:r>
    </w:p>
    <w:p w14:paraId="163FEDC4" w14:textId="77777777" w:rsidR="00B37F01" w:rsidRPr="00906C3C" w:rsidRDefault="00000000">
      <w:pPr>
        <w:spacing w:before="40" w:after="80" w:line="276" w:lineRule="auto"/>
        <w:ind w:left="720" w:hanging="720"/>
        <w:jc w:val="both"/>
        <w:rPr>
          <w:lang w:val="en-US"/>
        </w:rPr>
      </w:pPr>
      <w:r w:rsidRPr="00906C3C">
        <w:rPr>
          <w:rFonts w:ascii="Calibri" w:hAnsi="Calibri"/>
          <w:sz w:val="20"/>
          <w:lang w:val="en-US"/>
        </w:rPr>
        <w:t xml:space="preserve">Roberts, D. R., Bahn, V., </w:t>
      </w:r>
      <w:proofErr w:type="spellStart"/>
      <w:r w:rsidRPr="00906C3C">
        <w:rPr>
          <w:rFonts w:ascii="Calibri" w:hAnsi="Calibri"/>
          <w:sz w:val="20"/>
          <w:lang w:val="en-US"/>
        </w:rPr>
        <w:t>Ciuti</w:t>
      </w:r>
      <w:proofErr w:type="spellEnd"/>
      <w:r w:rsidRPr="00906C3C">
        <w:rPr>
          <w:rFonts w:ascii="Calibri" w:hAnsi="Calibri"/>
          <w:sz w:val="20"/>
          <w:lang w:val="en-US"/>
        </w:rPr>
        <w:t xml:space="preserve">, S., Boyce, M. S., Elith, J., </w:t>
      </w:r>
      <w:proofErr w:type="spellStart"/>
      <w:r w:rsidRPr="00906C3C">
        <w:rPr>
          <w:rFonts w:ascii="Calibri" w:hAnsi="Calibri"/>
          <w:sz w:val="20"/>
          <w:lang w:val="en-US"/>
        </w:rPr>
        <w:t>Guillera-Arroita</w:t>
      </w:r>
      <w:proofErr w:type="spellEnd"/>
      <w:r w:rsidRPr="00906C3C">
        <w:rPr>
          <w:rFonts w:ascii="Calibri" w:hAnsi="Calibri"/>
          <w:sz w:val="20"/>
          <w:lang w:val="en-US"/>
        </w:rPr>
        <w:t xml:space="preserve">, G., Hauenstein, S., Lahoz-Monfort, J. J., Schröder, B., </w:t>
      </w:r>
      <w:proofErr w:type="spellStart"/>
      <w:r w:rsidRPr="00906C3C">
        <w:rPr>
          <w:rFonts w:ascii="Calibri" w:hAnsi="Calibri"/>
          <w:sz w:val="20"/>
          <w:lang w:val="en-US"/>
        </w:rPr>
        <w:t>Thuiller</w:t>
      </w:r>
      <w:proofErr w:type="spellEnd"/>
      <w:r w:rsidRPr="00906C3C">
        <w:rPr>
          <w:rFonts w:ascii="Calibri" w:hAnsi="Calibri"/>
          <w:sz w:val="20"/>
          <w:lang w:val="en-US"/>
        </w:rPr>
        <w:t xml:space="preserve">, W., Warton, D. I., Wintle, B. A., Hartig, F., &amp; Dormann, C. F. (2017). Cross-validation strategies for data with temporal, spatial, hierarchical, or phylogenetic structure. </w:t>
      </w:r>
      <w:proofErr w:type="spellStart"/>
      <w:r w:rsidRPr="00906C3C">
        <w:rPr>
          <w:rFonts w:ascii="Calibri" w:hAnsi="Calibri"/>
          <w:i/>
          <w:sz w:val="20"/>
          <w:lang w:val="en-US"/>
        </w:rPr>
        <w:t>Ecography</w:t>
      </w:r>
      <w:proofErr w:type="spellEnd"/>
      <w:r w:rsidRPr="00906C3C">
        <w:rPr>
          <w:rFonts w:ascii="Calibri" w:hAnsi="Calibri"/>
          <w:i/>
          <w:sz w:val="20"/>
          <w:lang w:val="en-US"/>
        </w:rPr>
        <w:t xml:space="preserve">, </w:t>
      </w:r>
      <w:r w:rsidRPr="00906C3C">
        <w:rPr>
          <w:rFonts w:ascii="Calibri" w:hAnsi="Calibri"/>
          <w:sz w:val="20"/>
          <w:lang w:val="en-US"/>
        </w:rPr>
        <w:t>40(8), 913–929. https://doi.org/10.1111/ecog.02881</w:t>
      </w:r>
    </w:p>
    <w:p w14:paraId="2D912E14" w14:textId="77777777" w:rsidR="00B37F01" w:rsidRDefault="00000000">
      <w:pPr>
        <w:spacing w:before="40" w:after="80" w:line="276" w:lineRule="auto"/>
        <w:ind w:left="720" w:hanging="720"/>
        <w:jc w:val="both"/>
      </w:pPr>
      <w:r w:rsidRPr="00906C3C">
        <w:rPr>
          <w:rFonts w:ascii="Calibri" w:hAnsi="Calibri"/>
          <w:sz w:val="20"/>
          <w:lang w:val="en-US"/>
        </w:rPr>
        <w:t xml:space="preserve">Tobler, W. R. (1970). A computer movie simulating urban growth in the Detroit region. </w:t>
      </w:r>
      <w:r>
        <w:rPr>
          <w:rFonts w:ascii="Calibri" w:hAnsi="Calibri"/>
          <w:i/>
          <w:sz w:val="20"/>
        </w:rPr>
        <w:t xml:space="preserve">Economic </w:t>
      </w:r>
      <w:proofErr w:type="spellStart"/>
      <w:r>
        <w:rPr>
          <w:rFonts w:ascii="Calibri" w:hAnsi="Calibri"/>
          <w:i/>
          <w:sz w:val="20"/>
        </w:rPr>
        <w:t>Geography</w:t>
      </w:r>
      <w:proofErr w:type="spellEnd"/>
      <w:r>
        <w:rPr>
          <w:rFonts w:ascii="Calibri" w:hAnsi="Calibri"/>
          <w:i/>
          <w:sz w:val="20"/>
        </w:rPr>
        <w:t xml:space="preserve">, </w:t>
      </w:r>
      <w:r>
        <w:rPr>
          <w:rFonts w:ascii="Calibri" w:hAnsi="Calibri"/>
          <w:sz w:val="20"/>
        </w:rPr>
        <w:t>46(sup1), 234–240. https://doi.org/10.2307/143141</w:t>
      </w:r>
    </w:p>
    <w:sectPr w:rsidR="00B37F01">
      <w:headerReference w:type="default" r:id="rId6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BAF0A" w14:textId="77777777" w:rsidR="00EA5F10" w:rsidRDefault="00EA5F10">
      <w:pPr>
        <w:spacing w:after="0" w:line="240" w:lineRule="auto"/>
      </w:pPr>
      <w:r>
        <w:separator/>
      </w:r>
    </w:p>
  </w:endnote>
  <w:endnote w:type="continuationSeparator" w:id="0">
    <w:p w14:paraId="4D8504C4" w14:textId="77777777" w:rsidR="00EA5F10" w:rsidRDefault="00EA5F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B2E5" w14:textId="77777777" w:rsidR="00EA5F10" w:rsidRDefault="00EA5F10">
      <w:pPr>
        <w:spacing w:after="0" w:line="240" w:lineRule="auto"/>
      </w:pPr>
      <w:r>
        <w:separator/>
      </w:r>
    </w:p>
  </w:footnote>
  <w:footnote w:type="continuationSeparator" w:id="0">
    <w:p w14:paraId="434CDEDA" w14:textId="77777777" w:rsidR="00EA5F10" w:rsidRDefault="00EA5F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25F46" w14:textId="77777777" w:rsidR="00B37F01" w:rsidRDefault="00000000">
    <w:pPr>
      <w:pStyle w:val="Cabealho"/>
      <w:jc w:val="center"/>
    </w:pPr>
    <w:r>
      <w:rPr>
        <w:noProof/>
      </w:rPr>
      <mc:AlternateContent>
        <mc:Choice Requires="wpg">
          <w:drawing>
            <wp:inline distT="0" distB="0" distL="0" distR="0" wp14:anchorId="2F70A471" wp14:editId="0F615301">
              <wp:extent cx="5400040" cy="1138862"/>
              <wp:effectExtent l="0" t="0" r="0" b="0"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27047910" name="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5400039" cy="1138861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425.20pt;height:89.67pt;mso-wrap-distance-left:0.00pt;mso-wrap-distance-top:0.00pt;mso-wrap-distance-right:0.00pt;mso-wrap-distance-bottom:0.00pt;z-index:1;" stroked="false">
              <v:imagedata r:id="rId2" o:title=""/>
              <o:lock v:ext="edit" rotation="t"/>
            </v:shape>
          </w:pict>
        </mc:Fallback>
      </mc:AlternateContent>
    </w:r>
  </w:p>
  <w:p w14:paraId="05EDC1B2" w14:textId="77777777" w:rsidR="00B37F01" w:rsidRDefault="00B37F01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F01"/>
    <w:rsid w:val="003E5931"/>
    <w:rsid w:val="00906C3C"/>
    <w:rsid w:val="00916410"/>
    <w:rsid w:val="00AB01CF"/>
    <w:rsid w:val="00B37F01"/>
    <w:rsid w:val="00B942F9"/>
    <w:rsid w:val="00C32CB2"/>
    <w:rsid w:val="00CC5C87"/>
    <w:rsid w:val="00EA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C1D421"/>
  <w15:docId w15:val="{05FDCAF2-A39F-4109-AC15-F4E3E5EC0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elha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TabeladeGrelha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TabeladeGrelha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TabeladeGrelha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TabeladeGrelha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Tipodeletrapredefinidodopargrafo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Tipodeletrapredefinidodopargrafo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Tipodeletrapredefinidodopargrafo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Tipodeletrapredefinidodopargraf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Tipodeletrapredefinidodopargraf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Tipodeletrapredefinidodopar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Tipodeletrapredefinidodopargraf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Tipodeletrapredefinidodopargraf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Tipodeletrapredefinidodopargraf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Tipodeletrapredefinidodopargraf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Tipodeletrapredefinidodopargrafo"/>
    <w:uiPriority w:val="30"/>
    <w:rPr>
      <w:i/>
      <w:iCs/>
      <w:color w:val="0F4761" w:themeColor="accent1" w:themeShade="BF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Discreta">
    <w:name w:val="Subtle Emphasis"/>
    <w:basedOn w:val="Tipodeletrapredefinidodopargraf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Pr>
      <w:i/>
      <w:iCs/>
    </w:rPr>
  </w:style>
  <w:style w:type="character" w:styleId="Forte">
    <w:name w:val="Strong"/>
    <w:basedOn w:val="Tipodeletrapredefinidodopargrafo"/>
    <w:uiPriority w:val="22"/>
    <w:qFormat/>
    <w:rPr>
      <w:b/>
      <w:bCs/>
    </w:rPr>
  </w:style>
  <w:style w:type="character" w:styleId="RefernciaDiscreta">
    <w:name w:val="Subtle Reference"/>
    <w:basedOn w:val="Tipodeletrapredefinidodopargraf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Tipodeletrapredefinidodopargraf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Tipodeletrapredefinidodopargrafo"/>
    <w:uiPriority w:val="99"/>
  </w:style>
  <w:style w:type="character" w:customStyle="1" w:styleId="FooterChar">
    <w:name w:val="Footer Char"/>
    <w:basedOn w:val="Tipodeletrapredefinidodopargraf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basedOn w:val="Tipodeletrapredefinidodopargraf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Tipodeletrapredefinidodopargrafo"/>
    <w:uiPriority w:val="99"/>
    <w:semiHidden/>
    <w:unhideWhenUsed/>
    <w:rPr>
      <w:vertAlign w:val="superscript"/>
    </w:rPr>
  </w:style>
  <w:style w:type="character" w:styleId="Hiperligaovisitada">
    <w:name w:val="FollowedHyperlink"/>
    <w:basedOn w:val="Tipodeletrapredefinidodopargrafo"/>
    <w:uiPriority w:val="99"/>
    <w:semiHidden/>
    <w:unhideWhenUsed/>
    <w:rPr>
      <w:color w:val="96607D" w:themeColor="followedHyperlink"/>
      <w:u w:val="single"/>
    </w:rPr>
  </w:style>
  <w:style w:type="paragraph" w:styleId="ndice1">
    <w:name w:val="toc 1"/>
    <w:basedOn w:val="Normal"/>
    <w:next w:val="Normal"/>
    <w:uiPriority w:val="39"/>
    <w:unhideWhenUsed/>
    <w:pPr>
      <w:spacing w:after="100"/>
    </w:pPr>
  </w:style>
  <w:style w:type="paragraph" w:styleId="ndice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ndice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ndice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ndice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ndice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ndice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ndice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ndice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MarcadordePosio">
    <w:name w:val="Placeholder Text"/>
    <w:basedOn w:val="Tipodeletrapredefinidodopargrafo"/>
    <w:uiPriority w:val="99"/>
    <w:semiHidden/>
    <w:rPr>
      <w:color w:val="666666"/>
    </w:rPr>
  </w:style>
  <w:style w:type="paragraph" w:styleId="Cabealhodondice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Ttulo1Carter">
    <w:name w:val="Título 1 Caráter"/>
    <w:basedOn w:val="Tipodeletrapredefinidodopargraf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</w:style>
  <w:style w:type="paragraph" w:styleId="Rodap">
    <w:name w:val="footer"/>
    <w:basedOn w:val="Normal"/>
    <w:link w:val="RodapCarte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931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</dc:creator>
  <cp:keywords/>
  <dc:description/>
  <cp:lastModifiedBy>Luis Alfredo</cp:lastModifiedBy>
  <cp:revision>2</cp:revision>
  <dcterms:created xsi:type="dcterms:W3CDTF">2026-09-25T11:42:00Z</dcterms:created>
  <dcterms:modified xsi:type="dcterms:W3CDTF">2026-09-25T11:42:00Z</dcterms:modified>
</cp:coreProperties>
</file>