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0"/>
      </w:pPr>
      <w:r>
        <w:t xml:space="preserve">Roteiro de fala: SAREL, versão completa (13 slides, cerca de 15 min)</w:t>
      </w:r>
    </w:p>
    <w:p>
      <w:pPr>
        <w:spacing w:after="120"/>
      </w:pPr>
      <w:r>
        <w:rPr>
          <w:sz w:val="22"/>
          <w:szCs w:val="22"/>
        </w:rPr>
        <w:t xml:space="preserve">Arquivo de apoio: </w:t>
      </w:r>
      <w:r>
        <w:rPr>
          <w:rFonts w:ascii="Consolas" w:cs="Consolas" w:eastAsia="Consolas" w:hAnsi="Consolas"/>
          <w:sz w:val="22"/>
          <w:szCs w:val="22"/>
        </w:rPr>
        <w:t xml:space="preserve">Apresentacao_SAREL_Plataforma_Metodo_Desafios.pptx</w:t>
      </w:r>
      <w:r>
        <w:rPr>
          <w:sz w:val="22"/>
          <w:szCs w:val="22"/>
        </w:rPr>
        <w:t xml:space="preserve"> (versão completa, com o quarto desfecho no slide 11). Para a versão sem o quarto desfecho, omita a última frase do slide 11. O texto está escrito para ser dito em voz alta. Os números vêm do registro de decisões e das verificações do projeto; o que ainda não foi medido está dito como 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4438"/>
      </w:tblGrid>
      <w:tr>
        <w:trPr>
          <w:tblHeader/>
        </w:trPr>
        <w:tc>
          <w:tcPr>
            <w:tcW w:type="dxa" w:w="1500"/>
            <w:tcBorders>
              <w:top w:val="single" w:color="B8C4BC" w:sz="4"/>
              <w:left w:val="single" w:color="B8C4BC" w:sz="4"/>
              <w:bottom w:val="single" w:color="B8C4BC" w:sz="4"/>
              <w:right w:val="single" w:color="B8C4BC" w:sz="4"/>
            </w:tcBorders>
            <w:shd w:fill="DDE8E0" w:color="auto" w:val="clear"/>
            <w:tcMar>
              <w:top w:type="dxa" w:w="60"/>
              <w:left w:type="dxa" w:w="100"/>
              <w:bottom w:type="dxa" w:w="60"/>
              <w:right w:type="dxa" w:w="100"/>
            </w:tcMar>
          </w:tcPr>
          <w:p>
            <w:r>
              <w:rPr>
                <w:b/>
                <w:bCs/>
                <w:sz w:val="21"/>
                <w:szCs w:val="21"/>
              </w:rPr>
              <w:t xml:space="preserve">Slide</w:t>
            </w:r>
          </w:p>
        </w:tc>
        <w:tc>
          <w:tcPr>
            <w:tcW w:type="dxa" w:w="3700"/>
            <w:tcBorders>
              <w:top w:val="single" w:color="B8C4BC" w:sz="4"/>
              <w:left w:val="single" w:color="B8C4BC" w:sz="4"/>
              <w:bottom w:val="single" w:color="B8C4BC" w:sz="4"/>
              <w:right w:val="single" w:color="B8C4BC" w:sz="4"/>
            </w:tcBorders>
            <w:shd w:fill="DDE8E0" w:color="auto" w:val="clear"/>
            <w:tcMar>
              <w:top w:type="dxa" w:w="60"/>
              <w:left w:type="dxa" w:w="100"/>
              <w:bottom w:type="dxa" w:w="60"/>
              <w:right w:type="dxa" w:w="100"/>
            </w:tcMar>
          </w:tcPr>
          <w:p>
            <w:r>
              <w:rPr>
                <w:b/>
                <w:bCs/>
                <w:sz w:val="21"/>
                <w:szCs w:val="21"/>
              </w:rPr>
              <w:t xml:space="preserve">Tema</w:t>
            </w:r>
          </w:p>
        </w:tc>
        <w:tc>
          <w:tcPr>
            <w:tcW w:type="dxa" w:w="4438"/>
            <w:tcBorders>
              <w:top w:val="single" w:color="B8C4BC" w:sz="4"/>
              <w:left w:val="single" w:color="B8C4BC" w:sz="4"/>
              <w:bottom w:val="single" w:color="B8C4BC" w:sz="4"/>
              <w:right w:val="single" w:color="B8C4BC" w:sz="4"/>
            </w:tcBorders>
            <w:shd w:fill="DDE8E0" w:color="auto" w:val="clear"/>
            <w:tcMar>
              <w:top w:type="dxa" w:w="60"/>
              <w:left w:type="dxa" w:w="100"/>
              <w:bottom w:type="dxa" w:w="60"/>
              <w:right w:type="dxa" w:w="100"/>
            </w:tcMar>
          </w:tcPr>
          <w:p>
            <w:r>
              <w:rPr>
                <w:b/>
                <w:bCs/>
                <w:sz w:val="21"/>
                <w:szCs w:val="21"/>
              </w:rPr>
              <w:t xml:space="preserve">Tempo</w:t>
            </w:r>
          </w:p>
        </w:tc>
      </w:tr>
      <w:tr>
        <w:trPr>
          <w:tblHeader w:val="off"/>
        </w:trPr>
        <w:tc>
          <w:tcPr>
            <w:tcW w:type="dxa" w:w="1500"/>
            <w:tcBorders>
              <w:top w:val="single" w:color="B8C4BC" w:sz="4"/>
              <w:left w:val="single" w:color="B8C4BC" w:sz="4"/>
              <w:bottom w:val="single" w:color="B8C4BC" w:sz="4"/>
              <w:right w:val="single" w:color="B8C4BC" w:sz="4"/>
            </w:tcBorders>
            <w:tcMar>
              <w:top w:type="dxa" w:w="60"/>
              <w:left w:type="dxa" w:w="100"/>
              <w:bottom w:type="dxa" w:w="60"/>
              <w:right w:type="dxa" w:w="100"/>
            </w:tcMar>
          </w:tcPr>
          <w:p>
            <w:r>
              <w:rPr>
                <w:sz w:val="21"/>
                <w:szCs w:val="21"/>
              </w:rPr>
              <w:t xml:space="preserve">1 a 3</w:t>
            </w:r>
          </w:p>
        </w:tc>
        <w:tc>
          <w:tcPr>
            <w:tcW w:type="dxa" w:w="3700"/>
            <w:tcBorders>
              <w:top w:val="single" w:color="B8C4BC" w:sz="4"/>
              <w:left w:val="single" w:color="B8C4BC" w:sz="4"/>
              <w:bottom w:val="single" w:color="B8C4BC" w:sz="4"/>
              <w:right w:val="single" w:color="B8C4BC" w:sz="4"/>
            </w:tcBorders>
            <w:tcMar>
              <w:top w:type="dxa" w:w="60"/>
              <w:left w:type="dxa" w:w="100"/>
              <w:bottom w:type="dxa" w:w="60"/>
              <w:right w:type="dxa" w:w="100"/>
            </w:tcMar>
          </w:tcPr>
          <w:p>
            <w:r>
              <w:rPr>
                <w:sz w:val="21"/>
                <w:szCs w:val="21"/>
              </w:rPr>
              <w:t xml:space="preserve">Abertura, desafio e a tela</w:t>
            </w:r>
          </w:p>
        </w:tc>
        <w:tc>
          <w:tcPr>
            <w:tcW w:type="dxa" w:w="4438"/>
            <w:tcBorders>
              <w:top w:val="single" w:color="B8C4BC" w:sz="4"/>
              <w:left w:val="single" w:color="B8C4BC" w:sz="4"/>
              <w:bottom w:val="single" w:color="B8C4BC" w:sz="4"/>
              <w:right w:val="single" w:color="B8C4BC" w:sz="4"/>
            </w:tcBorders>
            <w:tcMar>
              <w:top w:type="dxa" w:w="60"/>
              <w:left w:type="dxa" w:w="100"/>
              <w:bottom w:type="dxa" w:w="60"/>
              <w:right w:type="dxa" w:w="100"/>
            </w:tcMar>
          </w:tcPr>
          <w:p>
            <w:r>
              <w:rPr>
                <w:sz w:val="21"/>
                <w:szCs w:val="21"/>
              </w:rPr>
              <w:t xml:space="preserve">3 min</w:t>
            </w:r>
          </w:p>
        </w:tc>
      </w:tr>
      <w:tr>
        <w:trPr>
          <w:tblHeader w:val="off"/>
        </w:trPr>
        <w:tc>
          <w:tcPr>
            <w:tcW w:type="dxa" w:w="1500"/>
            <w:tcBorders>
              <w:top w:val="single" w:color="B8C4BC" w:sz="4"/>
              <w:left w:val="single" w:color="B8C4BC" w:sz="4"/>
              <w:bottom w:val="single" w:color="B8C4BC" w:sz="4"/>
              <w:right w:val="single" w:color="B8C4BC" w:sz="4"/>
            </w:tcBorders>
            <w:tcMar>
              <w:top w:type="dxa" w:w="60"/>
              <w:left w:type="dxa" w:w="100"/>
              <w:bottom w:type="dxa" w:w="60"/>
              <w:right w:type="dxa" w:w="100"/>
            </w:tcMar>
          </w:tcPr>
          <w:p>
            <w:r>
              <w:rPr>
                <w:sz w:val="21"/>
                <w:szCs w:val="21"/>
              </w:rPr>
              <w:t xml:space="preserve">4 a 6</w:t>
            </w:r>
          </w:p>
        </w:tc>
        <w:tc>
          <w:tcPr>
            <w:tcW w:type="dxa" w:w="3700"/>
            <w:tcBorders>
              <w:top w:val="single" w:color="B8C4BC" w:sz="4"/>
              <w:left w:val="single" w:color="B8C4BC" w:sz="4"/>
              <w:bottom w:val="single" w:color="B8C4BC" w:sz="4"/>
              <w:right w:val="single" w:color="B8C4BC" w:sz="4"/>
            </w:tcBorders>
            <w:tcMar>
              <w:top w:type="dxa" w:w="60"/>
              <w:left w:type="dxa" w:w="100"/>
              <w:bottom w:type="dxa" w:w="60"/>
              <w:right w:type="dxa" w:w="100"/>
            </w:tcMar>
          </w:tcPr>
          <w:p>
            <w:r>
              <w:rPr>
                <w:sz w:val="21"/>
                <w:szCs w:val="21"/>
              </w:rPr>
              <w:t xml:space="preserve">Sequência justificada e estratos</w:t>
            </w:r>
          </w:p>
        </w:tc>
        <w:tc>
          <w:tcPr>
            <w:tcW w:type="dxa" w:w="4438"/>
            <w:tcBorders>
              <w:top w:val="single" w:color="B8C4BC" w:sz="4"/>
              <w:left w:val="single" w:color="B8C4BC" w:sz="4"/>
              <w:bottom w:val="single" w:color="B8C4BC" w:sz="4"/>
              <w:right w:val="single" w:color="B8C4BC" w:sz="4"/>
            </w:tcBorders>
            <w:tcMar>
              <w:top w:type="dxa" w:w="60"/>
              <w:left w:type="dxa" w:w="100"/>
              <w:bottom w:type="dxa" w:w="60"/>
              <w:right w:type="dxa" w:w="100"/>
            </w:tcMar>
          </w:tcPr>
          <w:p>
            <w:r>
              <w:rPr>
                <w:sz w:val="21"/>
                <w:szCs w:val="21"/>
              </w:rPr>
              <w:t xml:space="preserve">4,5 min</w:t>
            </w:r>
          </w:p>
        </w:tc>
      </w:tr>
      <w:tr>
        <w:trPr>
          <w:tblHeader w:val="off"/>
        </w:trPr>
        <w:tc>
          <w:tcPr>
            <w:tcW w:type="dxa" w:w="1500"/>
            <w:tcBorders>
              <w:top w:val="single" w:color="B8C4BC" w:sz="4"/>
              <w:left w:val="single" w:color="B8C4BC" w:sz="4"/>
              <w:bottom w:val="single" w:color="B8C4BC" w:sz="4"/>
              <w:right w:val="single" w:color="B8C4BC" w:sz="4"/>
            </w:tcBorders>
            <w:tcMar>
              <w:top w:type="dxa" w:w="60"/>
              <w:left w:type="dxa" w:w="100"/>
              <w:bottom w:type="dxa" w:w="60"/>
              <w:right w:type="dxa" w:w="100"/>
            </w:tcMar>
          </w:tcPr>
          <w:p>
            <w:r>
              <w:rPr>
                <w:sz w:val="21"/>
                <w:szCs w:val="21"/>
              </w:rPr>
              <w:t xml:space="preserve">7 e 8</w:t>
            </w:r>
          </w:p>
        </w:tc>
        <w:tc>
          <w:tcPr>
            <w:tcW w:type="dxa" w:w="3700"/>
            <w:tcBorders>
              <w:top w:val="single" w:color="B8C4BC" w:sz="4"/>
              <w:left w:val="single" w:color="B8C4BC" w:sz="4"/>
              <w:bottom w:val="single" w:color="B8C4BC" w:sz="4"/>
              <w:right w:val="single" w:color="B8C4BC" w:sz="4"/>
            </w:tcBorders>
            <w:tcMar>
              <w:top w:type="dxa" w:w="60"/>
              <w:left w:type="dxa" w:w="100"/>
              <w:bottom w:type="dxa" w:w="60"/>
              <w:right w:type="dxa" w:w="100"/>
            </w:tcMar>
          </w:tcPr>
          <w:p>
            <w:r>
              <w:rPr>
                <w:sz w:val="21"/>
                <w:szCs w:val="21"/>
              </w:rPr>
              <w:t xml:space="preserve">Dificuldades: imóvel e voos</w:t>
            </w:r>
          </w:p>
        </w:tc>
        <w:tc>
          <w:tcPr>
            <w:tcW w:type="dxa" w:w="4438"/>
            <w:tcBorders>
              <w:top w:val="single" w:color="B8C4BC" w:sz="4"/>
              <w:left w:val="single" w:color="B8C4BC" w:sz="4"/>
              <w:bottom w:val="single" w:color="B8C4BC" w:sz="4"/>
              <w:right w:val="single" w:color="B8C4BC" w:sz="4"/>
            </w:tcBorders>
            <w:tcMar>
              <w:top w:type="dxa" w:w="60"/>
              <w:left w:type="dxa" w:w="100"/>
              <w:bottom w:type="dxa" w:w="60"/>
              <w:right w:type="dxa" w:w="100"/>
            </w:tcMar>
          </w:tcPr>
          <w:p>
            <w:r>
              <w:rPr>
                <w:sz w:val="21"/>
                <w:szCs w:val="21"/>
              </w:rPr>
              <w:t xml:space="preserve">3 min</w:t>
            </w:r>
          </w:p>
        </w:tc>
      </w:tr>
      <w:tr>
        <w:trPr>
          <w:tblHeader w:val="off"/>
        </w:trPr>
        <w:tc>
          <w:tcPr>
            <w:tcW w:type="dxa" w:w="1500"/>
            <w:tcBorders>
              <w:top w:val="single" w:color="B8C4BC" w:sz="4"/>
              <w:left w:val="single" w:color="B8C4BC" w:sz="4"/>
              <w:bottom w:val="single" w:color="B8C4BC" w:sz="4"/>
              <w:right w:val="single" w:color="B8C4BC" w:sz="4"/>
            </w:tcBorders>
            <w:tcMar>
              <w:top w:type="dxa" w:w="60"/>
              <w:left w:type="dxa" w:w="100"/>
              <w:bottom w:type="dxa" w:w="60"/>
              <w:right w:type="dxa" w:w="100"/>
            </w:tcMar>
          </w:tcPr>
          <w:p>
            <w:r>
              <w:rPr>
                <w:sz w:val="21"/>
                <w:szCs w:val="21"/>
              </w:rPr>
              <w:t xml:space="preserve">9 a 10</w:t>
            </w:r>
          </w:p>
        </w:tc>
        <w:tc>
          <w:tcPr>
            <w:tcW w:type="dxa" w:w="3700"/>
            <w:tcBorders>
              <w:top w:val="single" w:color="B8C4BC" w:sz="4"/>
              <w:left w:val="single" w:color="B8C4BC" w:sz="4"/>
              <w:bottom w:val="single" w:color="B8C4BC" w:sz="4"/>
              <w:right w:val="single" w:color="B8C4BC" w:sz="4"/>
            </w:tcBorders>
            <w:tcMar>
              <w:top w:type="dxa" w:w="60"/>
              <w:left w:type="dxa" w:w="100"/>
              <w:bottom w:type="dxa" w:w="60"/>
              <w:right w:type="dxa" w:w="100"/>
            </w:tcMar>
          </w:tcPr>
          <w:p>
            <w:r>
              <w:rPr>
                <w:sz w:val="21"/>
                <w:szCs w:val="21"/>
              </w:rPr>
              <w:t xml:space="preserve">Rótulo e campo</w:t>
            </w:r>
          </w:p>
        </w:tc>
        <w:tc>
          <w:tcPr>
            <w:tcW w:type="dxa" w:w="4438"/>
            <w:tcBorders>
              <w:top w:val="single" w:color="B8C4BC" w:sz="4"/>
              <w:left w:val="single" w:color="B8C4BC" w:sz="4"/>
              <w:bottom w:val="single" w:color="B8C4BC" w:sz="4"/>
              <w:right w:val="single" w:color="B8C4BC" w:sz="4"/>
            </w:tcBorders>
            <w:tcMar>
              <w:top w:type="dxa" w:w="60"/>
              <w:left w:type="dxa" w:w="100"/>
              <w:bottom w:type="dxa" w:w="60"/>
              <w:right w:type="dxa" w:w="100"/>
            </w:tcMar>
          </w:tcPr>
          <w:p>
            <w:r>
              <w:rPr>
                <w:sz w:val="21"/>
                <w:szCs w:val="21"/>
              </w:rPr>
              <w:t xml:space="preserve">2 min</w:t>
            </w:r>
          </w:p>
        </w:tc>
      </w:tr>
      <w:tr>
        <w:trPr>
          <w:tblHeader w:val="off"/>
        </w:trPr>
        <w:tc>
          <w:tcPr>
            <w:tcW w:type="dxa" w:w="1500"/>
            <w:tcBorders>
              <w:top w:val="single" w:color="B8C4BC" w:sz="4"/>
              <w:left w:val="single" w:color="B8C4BC" w:sz="4"/>
              <w:bottom w:val="single" w:color="B8C4BC" w:sz="4"/>
              <w:right w:val="single" w:color="B8C4BC" w:sz="4"/>
            </w:tcBorders>
            <w:tcMar>
              <w:top w:type="dxa" w:w="60"/>
              <w:left w:type="dxa" w:w="100"/>
              <w:bottom w:type="dxa" w:w="60"/>
              <w:right w:type="dxa" w:w="100"/>
            </w:tcMar>
          </w:tcPr>
          <w:p>
            <w:r>
              <w:rPr>
                <w:sz w:val="21"/>
                <w:szCs w:val="21"/>
              </w:rPr>
              <w:t xml:space="preserve">11</w:t>
            </w:r>
          </w:p>
        </w:tc>
        <w:tc>
          <w:tcPr>
            <w:tcW w:type="dxa" w:w="3700"/>
            <w:tcBorders>
              <w:top w:val="single" w:color="B8C4BC" w:sz="4"/>
              <w:left w:val="single" w:color="B8C4BC" w:sz="4"/>
              <w:bottom w:val="single" w:color="B8C4BC" w:sz="4"/>
              <w:right w:val="single" w:color="B8C4BC" w:sz="4"/>
            </w:tcBorders>
            <w:tcMar>
              <w:top w:type="dxa" w:w="60"/>
              <w:left w:type="dxa" w:w="100"/>
              <w:bottom w:type="dxa" w:w="60"/>
              <w:right w:type="dxa" w:w="100"/>
            </w:tcMar>
          </w:tcPr>
          <w:p>
            <w:r>
              <w:rPr>
                <w:sz w:val="21"/>
                <w:szCs w:val="21"/>
              </w:rPr>
              <w:t xml:space="preserve">Avaliação única</w:t>
            </w:r>
          </w:p>
        </w:tc>
        <w:tc>
          <w:tcPr>
            <w:tcW w:type="dxa" w:w="4438"/>
            <w:tcBorders>
              <w:top w:val="single" w:color="B8C4BC" w:sz="4"/>
              <w:left w:val="single" w:color="B8C4BC" w:sz="4"/>
              <w:bottom w:val="single" w:color="B8C4BC" w:sz="4"/>
              <w:right w:val="single" w:color="B8C4BC" w:sz="4"/>
            </w:tcBorders>
            <w:tcMar>
              <w:top w:type="dxa" w:w="60"/>
              <w:left w:type="dxa" w:w="100"/>
              <w:bottom w:type="dxa" w:w="60"/>
              <w:right w:type="dxa" w:w="100"/>
            </w:tcMar>
          </w:tcPr>
          <w:p>
            <w:r>
              <w:rPr>
                <w:sz w:val="21"/>
                <w:szCs w:val="21"/>
              </w:rPr>
              <w:t xml:space="preserve">1,5 min</w:t>
            </w:r>
          </w:p>
        </w:tc>
      </w:tr>
      <w:tr>
        <w:trPr>
          <w:tblHeader w:val="off"/>
        </w:trPr>
        <w:tc>
          <w:tcPr>
            <w:tcW w:type="dxa" w:w="1500"/>
            <w:tcBorders>
              <w:top w:val="single" w:color="B8C4BC" w:sz="4"/>
              <w:left w:val="single" w:color="B8C4BC" w:sz="4"/>
              <w:bottom w:val="single" w:color="B8C4BC" w:sz="4"/>
              <w:right w:val="single" w:color="B8C4BC" w:sz="4"/>
            </w:tcBorders>
            <w:tcMar>
              <w:top w:type="dxa" w:w="60"/>
              <w:left w:type="dxa" w:w="100"/>
              <w:bottom w:type="dxa" w:w="60"/>
              <w:right w:type="dxa" w:w="100"/>
            </w:tcMar>
          </w:tcPr>
          <w:p>
            <w:r>
              <w:rPr>
                <w:sz w:val="21"/>
                <w:szCs w:val="21"/>
              </w:rPr>
              <w:t xml:space="preserve">12</w:t>
            </w:r>
          </w:p>
        </w:tc>
        <w:tc>
          <w:tcPr>
            <w:tcW w:type="dxa" w:w="3700"/>
            <w:tcBorders>
              <w:top w:val="single" w:color="B8C4BC" w:sz="4"/>
              <w:left w:val="single" w:color="B8C4BC" w:sz="4"/>
              <w:bottom w:val="single" w:color="B8C4BC" w:sz="4"/>
              <w:right w:val="single" w:color="B8C4BC" w:sz="4"/>
            </w:tcBorders>
            <w:tcMar>
              <w:top w:type="dxa" w:w="60"/>
              <w:left w:type="dxa" w:w="100"/>
              <w:bottom w:type="dxa" w:w="60"/>
              <w:right w:type="dxa" w:w="100"/>
            </w:tcMar>
          </w:tcPr>
          <w:p>
            <w:r>
              <w:rPr>
                <w:sz w:val="21"/>
                <w:szCs w:val="21"/>
              </w:rPr>
              <w:t xml:space="preserve">Estado atual</w:t>
            </w:r>
          </w:p>
        </w:tc>
        <w:tc>
          <w:tcPr>
            <w:tcW w:type="dxa" w:w="4438"/>
            <w:tcBorders>
              <w:top w:val="single" w:color="B8C4BC" w:sz="4"/>
              <w:left w:val="single" w:color="B8C4BC" w:sz="4"/>
              <w:bottom w:val="single" w:color="B8C4BC" w:sz="4"/>
              <w:right w:val="single" w:color="B8C4BC" w:sz="4"/>
            </w:tcBorders>
            <w:tcMar>
              <w:top w:type="dxa" w:w="60"/>
              <w:left w:type="dxa" w:w="100"/>
              <w:bottom w:type="dxa" w:w="60"/>
              <w:right w:type="dxa" w:w="100"/>
            </w:tcMar>
          </w:tcPr>
          <w:p>
            <w:r>
              <w:rPr>
                <w:sz w:val="21"/>
                <w:szCs w:val="21"/>
              </w:rPr>
              <w:t xml:space="preserve">1 min</w:t>
            </w:r>
          </w:p>
        </w:tc>
      </w:tr>
      <w:tr>
        <w:trPr>
          <w:tblHeader w:val="off"/>
        </w:trPr>
        <w:tc>
          <w:tcPr>
            <w:tcW w:type="dxa" w:w="1500"/>
            <w:tcBorders>
              <w:top w:val="single" w:color="B8C4BC" w:sz="4"/>
              <w:left w:val="single" w:color="B8C4BC" w:sz="4"/>
              <w:bottom w:val="single" w:color="B8C4BC" w:sz="4"/>
              <w:right w:val="single" w:color="B8C4BC" w:sz="4"/>
            </w:tcBorders>
            <w:tcMar>
              <w:top w:type="dxa" w:w="60"/>
              <w:left w:type="dxa" w:w="100"/>
              <w:bottom w:type="dxa" w:w="60"/>
              <w:right w:type="dxa" w:w="100"/>
            </w:tcMar>
          </w:tcPr>
          <w:p>
            <w:r>
              <w:rPr>
                <w:sz w:val="21"/>
                <w:szCs w:val="21"/>
              </w:rPr>
              <w:t xml:space="preserve">13</w:t>
            </w:r>
          </w:p>
        </w:tc>
        <w:tc>
          <w:tcPr>
            <w:tcW w:type="dxa" w:w="3700"/>
            <w:tcBorders>
              <w:top w:val="single" w:color="B8C4BC" w:sz="4"/>
              <w:left w:val="single" w:color="B8C4BC" w:sz="4"/>
              <w:bottom w:val="single" w:color="B8C4BC" w:sz="4"/>
              <w:right w:val="single" w:color="B8C4BC" w:sz="4"/>
            </w:tcBorders>
            <w:tcMar>
              <w:top w:type="dxa" w:w="60"/>
              <w:left w:type="dxa" w:w="100"/>
              <w:bottom w:type="dxa" w:w="60"/>
              <w:right w:type="dxa" w:w="100"/>
            </w:tcMar>
          </w:tcPr>
          <w:p>
            <w:r>
              <w:rPr>
                <w:sz w:val="21"/>
                <w:szCs w:val="21"/>
              </w:rPr>
              <w:t xml:space="preserve">Referências (consulta)</w:t>
            </w:r>
          </w:p>
        </w:tc>
        <w:tc>
          <w:tcPr>
            <w:tcW w:type="dxa" w:w="4438"/>
            <w:tcBorders>
              <w:top w:val="single" w:color="B8C4BC" w:sz="4"/>
              <w:left w:val="single" w:color="B8C4BC" w:sz="4"/>
              <w:bottom w:val="single" w:color="B8C4BC" w:sz="4"/>
              <w:right w:val="single" w:color="B8C4BC" w:sz="4"/>
            </w:tcBorders>
            <w:tcMar>
              <w:top w:type="dxa" w:w="60"/>
              <w:left w:type="dxa" w:w="100"/>
              <w:bottom w:type="dxa" w:w="60"/>
              <w:right w:type="dxa" w:w="100"/>
            </w:tcMar>
          </w:tcPr>
          <w:p>
            <w:r>
              <w:rPr>
                <w:sz w:val="21"/>
                <w:szCs w:val="21"/>
              </w:rPr>
              <w:t xml:space="preserve">fora do tempo</w:t>
            </w:r>
          </w:p>
        </w:tc>
      </w:tr>
    </w:tbl>
    <w:p>
      <w:pPr>
        <w:spacing w:after="120"/>
      </w:pPr>
    </w:p>
    <w:p>
      <w:pPr>
        <w:pStyle w:val="Heading2"/>
        <w:spacing w:after="120" w:before="240"/>
      </w:pPr>
      <w:r>
        <w:t xml:space="preserve">Slide 1: Título (cerca de 1 min)</w:t>
      </w:r>
    </w:p>
    <w:p>
      <w:pPr>
        <w:spacing w:after="120"/>
      </w:pPr>
      <w:r>
        <w:rPr>
          <w:sz w:val="22"/>
          <w:szCs w:val="22"/>
        </w:rPr>
        <w:t xml:space="preserve">Bom dia. Vou apresentar o SAREL, uma plataforma que escolhe, de forma auditável, onde amostrar erosão laminar. Não vou falar de resultados, porque ainda não existem. Vou mostrar como o aplicativo funciona, em que ordem as etapas acontecem e por que essa ordem, e quais dificuldades reais apareceram para obter e coordenar as amostras.</w:t>
      </w:r>
    </w:p>
    <w:p>
      <w:pPr>
        <w:pStyle w:val="Heading2"/>
        <w:spacing w:after="120" w:before="240"/>
      </w:pPr>
      <w:r>
        <w:t xml:space="preserve">Slide 2: O desafio (cerca de 1 min)</w:t>
      </w:r>
    </w:p>
    <w:p>
      <w:pPr>
        <w:spacing w:after="120"/>
      </w:pPr>
      <w:r>
        <w:rPr>
          <w:sz w:val="22"/>
          <w:szCs w:val="22"/>
        </w:rPr>
        <w:t xml:space="preserve">Três restrições moldam tudo. Primeira: a erosão laminar é uma mancha contínua na vertente, não uma ocorrência pontual. Um ponto de campo representa mal esse fenômeno. Segunda: o rótulo só vale se vier de observação humana sobre imagem de alta resolução. O que é calculado, como um índice espectral, nunca vira rótulo. Terceira: o acesso depende de proprietários de áreas pequenas. A mediana dos imóveis rurais da bacia é de 11,7 hectares. A pergunta do trabalho é: como obter uma amostra defensável sob essas restrições e registrar cada passo de forma que alguém possa auditar.</w:t>
      </w:r>
    </w:p>
    <w:p>
      <w:pPr>
        <w:pStyle w:val="Heading2"/>
        <w:spacing w:after="120" w:before="240"/>
      </w:pPr>
      <w:r>
        <w:t xml:space="preserve">Slide 3: O SAREL em uma tela (cerca de 1 min)</w:t>
      </w:r>
    </w:p>
    <w:p>
      <w:pPr>
        <w:spacing w:after="120"/>
      </w:pPr>
      <w:r>
        <w:rPr>
          <w:sz w:val="22"/>
          <w:szCs w:val="22"/>
        </w:rPr>
        <w:t xml:space="preserve">Esta é a tela inicial. No topo, os módulos na ordem de uso: Amostragem no Google Earth Engine, Campanha e Rótulos, Matriz de Treino, Exportar, e ainda Configurações e Governança. À esquerda, as áreas de amostragem. No mapa, a legenda deixa explícito que os índices BSI e NDVI geram apenas candidatos espectrais, nunca rótulos. O aplicativo elege candidatos, planeja a campanha, monta a matriz com a origem de cada valor e exporta um pacote que uma banca consegue verificar.</w:t>
      </w:r>
    </w:p>
    <w:p>
      <w:pPr>
        <w:pStyle w:val="Heading2"/>
        <w:spacing w:after="120" w:before="240"/>
      </w:pPr>
      <w:r>
        <w:t xml:space="preserve">Slide 4: Sequência justificada, parte 1 (cerca de 1,5 min)</w:t>
      </w:r>
    </w:p>
    <w:p>
      <w:pPr>
        <w:spacing w:after="120"/>
      </w:pPr>
      <w:r>
        <w:rPr>
          <w:sz w:val="22"/>
          <w:szCs w:val="22"/>
        </w:rPr>
        <w:t xml:space="preserve">Este é o núcleo da justificativa da ordem. Cada linha diz o que se faz e por que vem naquele ponto. Primeiro, o domínio: só se amostra onde o método vale, declividade de 3 a 20%, lavoura ou pastagem. Sem domínio não existe candidato válido. Segundo, a eleição de candidatos no Earth Engine, com espaçamento mínimo entre eles. Terceiro, a estratificação em 18 estratos, que explico já no slide 6. Quarto, a checagem do pool: contar candidatos por estrato antes de selar, porque o sorteio é irreversível e só se sela com pool que comporte quatro titulares. Quinto, o sorteio selado, com probabilidade de inclusão registrada. Ele vem antes do contato com os proprietários, para que o local não seja escolhido por conveniência nem por suspeita de erosão.</w:t>
      </w:r>
    </w:p>
    <w:p>
      <w:pPr>
        <w:pStyle w:val="Heading2"/>
        <w:spacing w:after="120" w:before="240"/>
      </w:pPr>
      <w:r>
        <w:t xml:space="preserve">Slide 5: Sequência justificada, parte 2 (cerca de 1,5 min)</w:t>
      </w:r>
    </w:p>
    <w:p>
      <w:pPr>
        <w:spacing w:after="120"/>
      </w:pPr>
      <w:r>
        <w:rPr>
          <w:sz w:val="22"/>
          <w:szCs w:val="22"/>
        </w:rPr>
        <w:t xml:space="preserve">A segunda metade. Sexto, a autorização dos proprietários: só depois do selo se sabe quem contatar. A recusa precisa de um protocolo que não refaça o sorteio. Esse protocolo ainda está por definir. Sétimo, o voo e a delineação são cegos: o intérprete não vê o estrato nem o papel do polígono. Oitavo, o campo é âncora de prevalência, não massa de treino. Nono, a matriz com proveniência: sete invariantes bloqueiam a exportação se forem violados, e cada valor declara sua origem. Décimo, a avaliação é única e vem por último, com o critério fixado antes dos dados.</w:t>
      </w:r>
    </w:p>
    <w:p>
      <w:pPr>
        <w:pStyle w:val="Heading2"/>
        <w:spacing w:after="120" w:before="240"/>
      </w:pPr>
      <w:r>
        <w:t xml:space="preserve">Slide 6: Como se chega aos 18 estratos (cerca de 1,5 min)</w:t>
      </w:r>
    </w:p>
    <w:p>
      <w:pPr>
        <w:spacing w:after="120"/>
      </w:pPr>
      <w:r>
        <w:rPr>
          <w:sz w:val="22"/>
          <w:szCs w:val="22"/>
        </w:rPr>
        <w:t xml:space="preserve">Estratificar é dividir os candidatos em grupos parecidos e amostrar cada grupo, para que as combinações raras também entrem. Usamos três dimensões. Declividade, em três faixas: é a energia do relevo. Solo nu, em três faixas: é o tempo em que o solo fica descoberto e exposto à chuva. Erodibilidade, em dois níveis, pela carta da Embrapa de 2024: o nível 1 reúne as classes de muito baixa a média, e o nível 2, de alta para cima. A classe extremamente alta entra por uma emenda que aprovei em 19 de outubro e que está em registro. As faixas de declividade e de solo nu são tercis calculados sobre os próprios candidatos, e empates no corte caem no grupo mais baixo, então os grupos podem diferir um pouco em tamanho. Três vezes três vezes dois dão 18 estratos, e em cada um quatro polígonos: dois de treino e dois de teste. A série temporal entra no solo nu: é a fração de cenas Sentinel-2 válidas, de 2016 a 2026, em que a célula aparece exposta, com um mínimo de seis observações válidas. As métricas da série, como persistência e maior sequência de solo nu, também alimentam os preditores do modelo. Essa frequência ainda não foi medida, porque falta a credencial do Earth Engine.</w:t>
      </w:r>
    </w:p>
    <w:p>
      <w:pPr>
        <w:pStyle w:val="Heading2"/>
        <w:spacing w:after="120" w:before="240"/>
      </w:pPr>
      <w:r>
        <w:t xml:space="preserve">Slide 7: Dificuldade, o polígono precisa caber em um imóvel (cerca de 1,5 min)</w:t>
      </w:r>
    </w:p>
    <w:p>
      <w:pPr>
        <w:spacing w:after="120"/>
      </w:pPr>
      <w:r>
        <w:rPr>
          <w:sz w:val="22"/>
          <w:szCs w:val="22"/>
        </w:rPr>
        <w:t xml:space="preserve">Para voar é preciso autorização, e para pedir autorização o polígono tem de caber dentro de um só imóvel. Sobre os 73.643 imóveis rurais do envelope da bacia, um quadrado de 10 hectares cabia em apenas 43,4%. Reduzindo para 5,02 hectares, sobe a 64,7%, e a 71,8% se admitirmos um retângulo de razão até 1 para 2. São limites superiores, porque o teste usa a caixa envolvente do imóvel. O custo foi dobrar as autorizações, de 36 para 72. E fica um viés que declaro: a amostra tende a cair em imóveis maiores, que podem ter outro manejo.</w:t>
      </w:r>
    </w:p>
    <w:p>
      <w:pPr>
        <w:pStyle w:val="Heading2"/>
        <w:spacing w:after="120" w:before="240"/>
      </w:pPr>
      <w:r>
        <w:t xml:space="preserve">Slide 8: Dificuldade, quantos voos e quanto tempo (cerca de 1,5 min)</w:t>
      </w:r>
    </w:p>
    <w:p>
      <w:pPr>
        <w:spacing w:after="120"/>
      </w:pPr>
      <w:r>
        <w:rPr>
          <w:sz w:val="22"/>
          <w:szCs w:val="22"/>
        </w:rPr>
        <w:t xml:space="preserve">A aeronave é o Spectral 2, da Nuvem UAV, com a câmera multiespectral MicaSense Altum, e temos três baterias. São 72 polígonos de 5,02 hectares, ou seja, 72 missões de mapeamento, uma por polígono. Por que 72: são 18 estratos vezes 4 polígonos. A área total, de cerca de 361 hectares, é o que o custo de voo suporta. O plano para 4 centímetros de resolução usa 92,8 metros de altitude, cerca de 7 linhas e 123 disparos por polígono, o que dá cerca de 3 minutos de mapeamento, mais as curvas. São pelo menos 3,6 horas de mapeamento nos 72 polígonos, sem contar decolagem, pouso, troca de bateria e deslocamento, que dominam a campanha. Com seis polígonos por jornada são cerca de 12 jornadas, e dois polígonos por bateria. Isso é compatível com as duas missões já voadas, de 9 a 13 minutos, mas a autonomia útil de cada bateria ainda precisa ser confirmada. E as duas missões medidas tiveram produtividades bem diferentes, 2,3 e 0,53 hectares por minuto, então o tempo real pode passar do planejado.</w:t>
      </w:r>
    </w:p>
    <w:p>
      <w:pPr>
        <w:pStyle w:val="Heading2"/>
        <w:spacing w:after="120" w:before="240"/>
      </w:pPr>
      <w:r>
        <w:t xml:space="preserve">Slide 9: Voo cego, delineação e rótulo por fração (cerca de 1 min)</w:t>
      </w:r>
    </w:p>
    <w:p>
      <w:pPr>
        <w:spacing w:after="120"/>
      </w:pPr>
      <w:r>
        <w:rPr>
          <w:sz w:val="22"/>
          <w:szCs w:val="22"/>
        </w:rPr>
        <w:t xml:space="preserve">O rótulo não é uma classe, e sim a fração de cada célula de 10 metros que foi delineada como erodida, de 0 a 1, obtida por rasterização da delineação feita sobre o ortomosaico. O binário, fração a partir de 25%, é derivado e secundário. O intérprete recebe só um código opaco, sem estrato nem papel. Isso impede a circularidade de voar onde o rastreio espectral aponta erosão. Planos de voo só saem com terreno real; os de demonstração são marcados como sintéticos.</w:t>
      </w:r>
    </w:p>
    <w:p>
      <w:pPr>
        <w:pStyle w:val="Heading2"/>
        <w:spacing w:after="120" w:before="240"/>
      </w:pPr>
      <w:r>
        <w:t xml:space="preserve">Slide 10: Âncora de campo (cerca de 1 min)</w:t>
      </w:r>
    </w:p>
    <w:p>
      <w:pPr>
        <w:spacing w:after="120"/>
      </w:pPr>
      <w:r>
        <w:rPr>
          <w:sz w:val="22"/>
          <w:szCs w:val="22"/>
        </w:rPr>
        <w:t xml:space="preserve">O campo deixou de ser massa de treino e virou âncora: 60 a 80 pontos dispersos pela bacia, fora dos polígonos, sorteados com probabilidade conhecida e coletados no aplicativo SAREL Coletor, em Android, sob protocolo cego. A função é estimar a prevalência real, com um estimador ponderado, e calibrar a acurácia posicional do aparelho. São duas ondas, e os 30 primeiros pontos são um lote piloto. A fotointerpretação foi aposentada porque o rótulo centimétrico do voo é mais fiel ao fenômeno.</w:t>
      </w:r>
    </w:p>
    <w:p>
      <w:pPr>
        <w:pStyle w:val="Heading2"/>
        <w:spacing w:after="120" w:before="240"/>
      </w:pPr>
      <w:r>
        <w:t xml:space="preserve">Slide 11: Avaliação única, com o critério fixado antes (cerca de 1,5 min)</w:t>
      </w:r>
    </w:p>
    <w:p>
      <w:pPr>
        <w:spacing w:after="120"/>
      </w:pPr>
      <w:r>
        <w:rPr>
          <w:sz w:val="22"/>
          <w:szCs w:val="22"/>
        </w:rPr>
        <w:t xml:space="preserve">A avaliação é única e o critério foi fixado antes de qualquer resultado, para que a hipótese seja refutável. Avalio só nos 36 polígonos de teste, cerca de 920 unidades efetivas, uma única vez, sem reusar esse conjunto para escolher nada. Comparo três competidores nas mesmas células: a linha de base RUSLE, uma regressão penalizada e o XGBoost. A métrica primária é a correlação de postos de Spearman entre o previsto e a fração erodida observada. Há duas exigências: um piso de 0,40 e uma margem de 0,10 sobre o RUSLE. A incerteza vem de um bootstrap por polígono, não por célula, porque células do mesmo polígono não são independentes. Com 36 grupos o intervalo é largo, e por isso o desfecho tem três saídas: corroborada; inconclusiva, quando a margem é atingida no ponto mas o intervalo contém zero; ou refutada. Existe ainda a inconclusiva por margem: passa do piso e iguala ou supera o RUSLE, mas a diferença é menor que 0,10. E há um quarto desfecho, independente dos outros: se a regressão penalizada empatar com o XGBoost ou o vencer, ou seja, se o limite inferior do intervalo da diferença não passar de zero, a hipótese de que é preciso um ensemble de árvores fica refutada, mesmo que o sensoriamento remoto vença o RUSLE. São resultados distintos, e ambos são publicáveis. Hoje o estado é "não avaliado", e isso é intencional.</w:t>
      </w:r>
    </w:p>
    <w:p>
      <w:pPr>
        <w:pStyle w:val="Heading2"/>
        <w:spacing w:after="120" w:before="240"/>
      </w:pPr>
      <w:r>
        <w:t xml:space="preserve">Slide 12: Estado atual, limites e próximos passos (cerca de 1 min)</w:t>
      </w:r>
    </w:p>
    <w:p>
      <w:pPr>
        <w:spacing w:after="120"/>
      </w:pPr>
      <w:r>
        <w:rPr>
          <w:sz w:val="22"/>
          <w:szCs w:val="22"/>
        </w:rPr>
        <w:t xml:space="preserve">Honestidade sobre o estágio. Pronto: a plataforma com os módulos do fluxo e a recusa de dado sintético, o desenho amostral e o critério de avaliação pré-registrados, a ferramenta de checagem do pool, e o pacote de reprodutibilidade. Pendente: nenhum resultado empírico ainda; medir o pool real por estrato e decidir reservas e número mínimo; decisões minhas antes do sorteio, como solo nu, declividade e empates dos tercis; as autorizações, os voos e a delineação; e o acerto de atribuição de posição, antes citado como cerca de 78%, que segue em verificação. O sorteio ainda não foi realizado. Obrigado.</w:t>
      </w:r>
    </w:p>
    <w:p>
      <w:pPr>
        <w:pStyle w:val="Heading2"/>
        <w:spacing w:after="120" w:before="240"/>
      </w:pPr>
      <w:r>
        <w:t xml:space="preserve">Slide 13: Referências (consulta, sem fala)</w:t>
      </w:r>
    </w:p>
    <w:p>
      <w:pPr>
        <w:spacing w:after="120"/>
      </w:pPr>
      <w:r>
        <w:rPr>
          <w:sz w:val="22"/>
          <w:szCs w:val="22"/>
        </w:rPr>
        <w:t xml:space="preserve">Se pedirem, diga que as marcadas com † tiveram a fonte conferida no projeto (Coelho et al. 2024, Rufino et al. 1993, Waltrick, Desmet e Govers 1996, Renard et al. 1997) e que as demais constam do registro e aguardam conferência completa antes da dissertação.</w:t>
      </w:r>
    </w:p>
    <w:p>
      <w:pPr>
        <w:pStyle w:val="Heading2"/>
        <w:spacing w:after="120" w:before="240"/>
      </w:pPr>
      <w:r>
        <w:t xml:space="preserve">Perguntas prováveis e respostas honestas</w:t>
      </w:r>
    </w:p>
    <w:p>
      <w:pPr>
        <w:spacing w:after="120"/>
      </w:pPr>
      <w:r>
        <w:rPr>
          <w:b/>
          <w:bCs/>
          <w:sz w:val="22"/>
          <w:szCs w:val="22"/>
        </w:rPr>
        <w:t xml:space="preserve">Por que 72 polígonos?</w:t>
      </w:r>
      <w:r>
        <w:rPr>
          <w:sz w:val="22"/>
          <w:szCs w:val="22"/>
        </w:rPr>
        <w:t xml:space="preserve"> É a estrutura de 18 estratos com 4 polígonos, dois de treino e dois de teste em cada um, porque com um só por estrato haveria estratos sem treino e outros sem teste. A área total, cerca de 361 hectares, é o que o custo de voo suporta e rende cerca de 1.845 unidades espacialmente independentes, no limite para o que o algoritmo pediria. O número foi definido pela estrutura e pelo custo, e a necessidade de dados foi conferida depois.</w:t>
      </w:r>
    </w:p>
    <w:p>
      <w:pPr>
        <w:spacing w:after="120"/>
      </w:pPr>
      <w:r>
        <w:rPr>
          <w:b/>
          <w:bCs/>
          <w:sz w:val="22"/>
          <w:szCs w:val="22"/>
        </w:rPr>
        <w:t xml:space="preserve">O pool de candidatos comporta o desenho?</w:t>
      </w:r>
      <w:r>
        <w:rPr>
          <w:sz w:val="22"/>
          <w:szCs w:val="22"/>
        </w:rPr>
        <w:t xml:space="preserve"> Na medição de 30/09 (677 candidatos válidos na pedologia), 84 estão no nível 2 de erodibilidade, contra 36 necessários. Mas a frequência de solo nu não foi medida, então não sei se cada um dos nove estratos do nível 2 tem quatro titulares. Só o tercil de menor declividade tem 9 candidatos no nível 2, e os 18 estratos ainda dependem da medição ao vivo.</w:t>
      </w:r>
    </w:p>
    <w:p>
      <w:pPr>
        <w:spacing w:after="120"/>
      </w:pPr>
      <w:r>
        <w:rPr>
          <w:b/>
          <w:bCs/>
          <w:sz w:val="22"/>
          <w:szCs w:val="22"/>
        </w:rPr>
        <w:t xml:space="preserve">E se o proprietário recusar?</w:t>
      </w:r>
      <w:r>
        <w:rPr>
          <w:sz w:val="22"/>
          <w:szCs w:val="22"/>
        </w:rPr>
        <w:t xml:space="preserve"> O sorteio selado é irreversível por desenho, para que ninguém escolha o sorteio que favoreça o resultado. O protocolo de recusa e de reservas ainda está por definir, e o número de reservas, o mínimo por estrato e a taxa de recusa esperada são decisões minhas pendentes.</w:t>
      </w:r>
    </w:p>
    <w:p>
      <w:pPr>
        <w:spacing w:after="120"/>
      </w:pPr>
      <w:r>
        <w:rPr>
          <w:b/>
          <w:bCs/>
          <w:sz w:val="22"/>
          <w:szCs w:val="22"/>
        </w:rPr>
        <w:t xml:space="preserve">Por que a classe extremamente alta entra no nível 2?</w:t>
      </w:r>
      <w:r>
        <w:rPr>
          <w:sz w:val="22"/>
          <w:szCs w:val="22"/>
        </w:rPr>
        <w:t xml:space="preserve"> Porque o critério numérico do projeto, K a partir de 0,0300, já a abrange, e a fonte, o Documentos 246 da Embrapa, não a exclui do uso agrícola. Considerei excluí-la por risco de sulcos e voçorocas contaminarem o rótulo, e rejeitei: a faixa de declividade de 3 a 20% já retira o relevo onde esses processos dominam. Quando se aplica essa classe, o K do ponto pode ficar indisponível se a camada não trouxer valor pontual; não se usa o ponto médio da faixa.</w:t>
      </w:r>
    </w:p>
    <w:p>
      <w:pPr>
        <w:spacing w:after="120"/>
      </w:pPr>
      <w:r>
        <w:rPr>
          <w:b/>
          <w:bCs/>
          <w:sz w:val="22"/>
          <w:szCs w:val="22"/>
        </w:rPr>
        <w:t xml:space="preserve">Os tercis têm o mesmo tamanho?</w:t>
      </w:r>
      <w:r>
        <w:rPr>
          <w:sz w:val="22"/>
          <w:szCs w:val="22"/>
        </w:rPr>
        <w:t xml:space="preserve"> Aproximadamente. O corte é calculado sobre os candidatos da própria área, e empates caem no grupo mais baixo. A regra definitiva para empates é uma decisão minha ainda pendente.</w:t>
      </w:r>
    </w:p>
    <w:p>
      <w:pPr>
        <w:spacing w:after="120"/>
      </w:pPr>
      <w:r>
        <w:rPr>
          <w:b/>
          <w:bCs/>
          <w:sz w:val="22"/>
          <w:szCs w:val="22"/>
        </w:rPr>
        <w:t xml:space="preserve">Por que três competidores e não só o modelo final?</w:t>
      </w:r>
      <w:r>
        <w:rPr>
          <w:sz w:val="22"/>
          <w:szCs w:val="22"/>
        </w:rPr>
        <w:t xml:space="preserve"> Porque a hipótese tem duas partes separáveis: que o sensoriamento remoto supera o RUSLE, e que é preciso um ensemble de árvores para extrair esse ganho. A segunda pode falhar com a primeira verdadeira, e isso seria informativo: o ganho estaria nos preditores, não na flexibilidade do algoritmo.</w:t>
      </w:r>
    </w:p>
    <w:p>
      <w:pPr>
        <w:spacing w:after="120"/>
      </w:pPr>
      <w:r>
        <w:rPr>
          <w:b/>
          <w:bCs/>
          <w:sz w:val="22"/>
          <w:szCs w:val="22"/>
        </w:rPr>
        <w:t xml:space="preserve">Por que o bootstrap é por polígono?</w:t>
      </w:r>
      <w:r>
        <w:rPr>
          <w:sz w:val="22"/>
          <w:szCs w:val="22"/>
        </w:rPr>
        <w:t xml:space="preserve"> Reamostrar células trataria vizinhas do mesmo polígono como independentes, o que é pseudorreplicação. A potência fica governada por 36 agrupamentos, não por cerca de 920 unidades, e o intervalo é largo por isso.</w:t>
      </w:r>
    </w:p>
    <w:p>
      <w:pPr>
        <w:spacing w:after="120"/>
      </w:pPr>
      <w:r>
        <w:rPr>
          <w:b/>
          <w:bCs/>
          <w:sz w:val="22"/>
          <w:szCs w:val="22"/>
        </w:rPr>
        <w:t xml:space="preserve">De onde vêm o piso de 0,40 e a margem de 0,10?</w:t>
      </w:r>
      <w:r>
        <w:rPr>
          <w:sz w:val="22"/>
          <w:szCs w:val="22"/>
        </w:rPr>
        <w:t xml:space="preserve"> São escolhas declaradas e justificadas no registro: 0,40 como fronteira convencional de discriminação aceitável; 0,10 como meio-termo entre 0,15 (estrita) e 0,05 (indistinguível de ruído nesse tamanho de amostra). Não são limiares derivados.</w:t>
      </w:r>
    </w:p>
    <w:p>
      <w:pPr>
        <w:spacing w:after="120"/>
      </w:pPr>
      <w:r>
        <w:rPr>
          <w:b/>
          <w:bCs/>
          <w:sz w:val="22"/>
          <w:szCs w:val="22"/>
        </w:rPr>
        <w:t xml:space="preserve">Já tem resultado?</w:t>
      </w:r>
      <w:r>
        <w:rPr>
          <w:sz w:val="22"/>
          <w:szCs w:val="22"/>
        </w:rPr>
        <w:t xml:space="preserve"> Não. O que apresento é o método, a plataforma e o que foi medido sobre a viabilidade da amostragem.</w:t>
      </w:r>
    </w:p>
    <w:p>
      <w:pPr>
        <w:spacing w:after="120"/>
      </w:pPr>
      <w:r>
        <w:rPr>
          <w:b/>
          <w:bCs/>
          <w:sz w:val="22"/>
          <w:szCs w:val="22"/>
        </w:rPr>
        <w:t xml:space="preserve">Quantos voos e quanto tempo?</w:t>
      </w:r>
      <w:r>
        <w:rPr>
          <w:sz w:val="22"/>
          <w:szCs w:val="22"/>
        </w:rPr>
        <w:t xml:space="preserve"> 72 missões de mapeamento, cerca de 12 jornadas se forem seis polígonos por dia. O plano dá cerca de 3 minutos por polígono, mais as curvas. A produtividade real medida varia, e a autonomia útil de cada uma das 3 baterias ainda precisa ser confirmada.</w:t>
      </w:r>
    </w:p>
    <w:p>
      <w:pPr>
        <w:pStyle w:val="Heading2"/>
        <w:spacing w:after="120" w:before="240"/>
      </w:pPr>
      <w:r>
        <w:t xml:space="preserve">Não afirmar (porque não está verificado)</w:t>
      </w:r>
    </w:p>
    <w:p>
      <w:pPr>
        <w:pStyle w:val="ListParagraph"/>
        <w:numPr>
          <w:ilvl w:val="0"/>
          <w:numId w:val="2"/>
        </w:numPr>
        <w:spacing w:after="60"/>
      </w:pPr>
      <w:r>
        <w:rPr>
          <w:sz w:val="22"/>
          <w:szCs w:val="22"/>
        </w:rPr>
        <w:t xml:space="preserve">Que o número de baterias ou de decolagens por jornada está fechado: a autonomia útil por bateria não está registrada.</w:t>
      </w:r>
    </w:p>
    <w:p>
      <w:pPr>
        <w:pStyle w:val="ListParagraph"/>
        <w:numPr>
          <w:ilvl w:val="0"/>
          <w:numId w:val="2"/>
        </w:numPr>
        <w:spacing w:after="60"/>
      </w:pPr>
      <w:r>
        <w:rPr>
          <w:sz w:val="22"/>
          <w:szCs w:val="22"/>
        </w:rPr>
        <w:t xml:space="preserve">Que o 78% de acerto de atribuição de posição já está confirmado: está em verificação. O CE90 de 1,47 m vem de uma das duas missões medidas, e a outra registra 7,04 m no mesmo campo; a origem desses valores não está esclarecida.</w:t>
      </w:r>
    </w:p>
    <w:p>
      <w:pPr>
        <w:pStyle w:val="ListParagraph"/>
        <w:numPr>
          <w:ilvl w:val="0"/>
          <w:numId w:val="2"/>
        </w:numPr>
        <w:spacing w:after="60"/>
      </w:pPr>
      <w:r>
        <w:rPr>
          <w:sz w:val="22"/>
          <w:szCs w:val="22"/>
        </w:rPr>
        <w:t xml:space="preserve">Que o pool por estrato é suficiente: só o pool total foi contado, e a frequência de solo nu não foi medida.</w:t>
      </w:r>
    </w:p>
    <w:p>
      <w:pPr>
        <w:pStyle w:val="ListParagraph"/>
        <w:numPr>
          <w:ilvl w:val="0"/>
          <w:numId w:val="2"/>
        </w:numPr>
        <w:spacing w:after="60"/>
      </w:pPr>
      <w:r>
        <w:rPr>
          <w:sz w:val="22"/>
          <w:szCs w:val="22"/>
        </w:rPr>
        <w:t xml:space="preserve">Que a emenda da classe extremamente alta já está no sistema: está aprovada, mas só será gravada quando o executor concluir a fase correspondente.</w:t>
      </w:r>
    </w:p>
    <w:p>
      <w:pPr>
        <w:pStyle w:val="ListParagraph"/>
        <w:numPr>
          <w:ilvl w:val="0"/>
          <w:numId w:val="2"/>
        </w:numPr>
        <w:spacing w:after="60"/>
      </w:pPr>
      <w:r>
        <w:rPr>
          <w:sz w:val="22"/>
          <w:szCs w:val="22"/>
        </w:rPr>
        <w:t xml:space="preserve">Que o sorteio foi feito: nenhum selo de sorteio foi criado.</w:t>
      </w:r>
    </w:p>
    <w:p>
      <w:pPr>
        <w:pStyle w:val="ListParagraph"/>
        <w:numPr>
          <w:ilvl w:val="0"/>
          <w:numId w:val="2"/>
        </w:numPr>
        <w:spacing w:after="60"/>
      </w:pPr>
      <w:r>
        <w:rPr>
          <w:sz w:val="22"/>
          <w:szCs w:val="22"/>
        </w:rPr>
        <w:t xml:space="preserve">Que a trava de segunda avaliação foi reexecutada: o slide diz que o script a grava, mas isso não foi reconferido nesta preparação.</w:t>
      </w:r>
    </w:p>
    <w:p>
      <w:pPr>
        <w:pStyle w:val="ListParagraph"/>
        <w:numPr>
          <w:ilvl w:val="0"/>
          <w:numId w:val="2"/>
        </w:numPr>
        <w:spacing w:after="60"/>
      </w:pPr>
      <w:r>
        <w:rPr>
          <w:sz w:val="22"/>
          <w:szCs w:val="22"/>
        </w:rPr>
        <w:t xml:space="preserve">Que a regra de AUC a partir de 0,70 (métrica secundária) é derivada de fonte conferida: é regra de bolso, atribuída a Hosmer e Lemeshow, e a própria D25 admite que não foi conferida.</w:t>
      </w:r>
    </w:p>
    <w:p>
      <w:pPr>
        <w:pStyle w:val="Heading2"/>
        <w:spacing w:after="120" w:before="240"/>
      </w:pPr>
      <w:r>
        <w:t xml:space="preserve">Números para ter à mão</w:t>
      </w:r>
    </w:p>
    <w:p>
      <w:pPr>
        <w:pStyle w:val="ListParagraph"/>
        <w:numPr>
          <w:ilvl w:val="0"/>
          <w:numId w:val="2"/>
        </w:numPr>
        <w:spacing w:after="60"/>
      </w:pPr>
      <w:r>
        <w:rPr>
          <w:sz w:val="22"/>
          <w:szCs w:val="22"/>
        </w:rPr>
        <w:t xml:space="preserve">18 estratos: 3 × 3 × 2.</w:t>
      </w:r>
    </w:p>
    <w:p>
      <w:pPr>
        <w:pStyle w:val="ListParagraph"/>
        <w:numPr>
          <w:ilvl w:val="0"/>
          <w:numId w:val="2"/>
        </w:numPr>
        <w:spacing w:after="60"/>
      </w:pPr>
      <w:r>
        <w:rPr>
          <w:sz w:val="22"/>
          <w:szCs w:val="22"/>
        </w:rPr>
        <w:t xml:space="preserve">72 polígonos de 5,02 hectares, cerca de 361 hectares, cerca de 1.845 unidades independentes.</w:t>
      </w:r>
    </w:p>
    <w:p>
      <w:pPr>
        <w:pStyle w:val="ListParagraph"/>
        <w:numPr>
          <w:ilvl w:val="0"/>
          <w:numId w:val="2"/>
        </w:numPr>
        <w:spacing w:after="60"/>
      </w:pPr>
      <w:r>
        <w:rPr>
          <w:sz w:val="22"/>
          <w:szCs w:val="22"/>
        </w:rPr>
        <w:t xml:space="preserve">11,7 hectares: mediana dos imóveis. 73.643 imóveis no envelope. 43,4%, 64,7% e 71,8% de elegibilidade (limites superiores).</w:t>
      </w:r>
    </w:p>
    <w:p>
      <w:pPr>
        <w:pStyle w:val="ListParagraph"/>
        <w:numPr>
          <w:ilvl w:val="0"/>
          <w:numId w:val="2"/>
        </w:numPr>
        <w:spacing w:after="60"/>
      </w:pPr>
      <w:r>
        <w:rPr>
          <w:sz w:val="22"/>
          <w:szCs w:val="22"/>
        </w:rPr>
        <w:t xml:space="preserve">72 autorizações (eram 36).</w:t>
      </w:r>
    </w:p>
    <w:p>
      <w:pPr>
        <w:pStyle w:val="ListParagraph"/>
        <w:numPr>
          <w:ilvl w:val="0"/>
          <w:numId w:val="2"/>
        </w:numPr>
        <w:spacing w:after="60"/>
      </w:pPr>
      <w:r>
        <w:rPr>
          <w:sz w:val="22"/>
          <w:szCs w:val="22"/>
        </w:rPr>
        <w:t xml:space="preserve">Voo: 92,8 m, cerca de 7 linhas, 123 disparos, 8,7 a 9,2 m/s, cerca de 3 min por polígono, pelo menos 3,6 h no total, cerca de 12 jornadas, 3 baterias.</w:t>
      </w:r>
    </w:p>
    <w:p>
      <w:pPr>
        <w:pStyle w:val="ListParagraph"/>
        <w:numPr>
          <w:ilvl w:val="0"/>
          <w:numId w:val="2"/>
        </w:numPr>
        <w:spacing w:after="60"/>
      </w:pPr>
      <w:r>
        <w:rPr>
          <w:sz w:val="22"/>
          <w:szCs w:val="22"/>
        </w:rPr>
        <w:t xml:space="preserve">Campo: 60 a 80 pontos, duas ondas, lote piloto de 30.</w:t>
      </w:r>
    </w:p>
    <w:p>
      <w:pPr>
        <w:pStyle w:val="ListParagraph"/>
        <w:numPr>
          <w:ilvl w:val="0"/>
          <w:numId w:val="2"/>
        </w:numPr>
        <w:spacing w:after="60"/>
      </w:pPr>
      <w:r>
        <w:rPr>
          <w:sz w:val="22"/>
          <w:szCs w:val="22"/>
        </w:rPr>
        <w:t xml:space="preserve">Avaliação: 36 polígonos de teste, cerca de 920 unidades efetivas, piso 0,40, margem 0,10, bootstrap por polígono.</w:t>
      </w:r>
    </w:p>
    <w:p>
      <w:pPr>
        <w:pStyle w:val="ListParagraph"/>
        <w:numPr>
          <w:ilvl w:val="0"/>
          <w:numId w:val="2"/>
        </w:numPr>
        <w:spacing w:after="60"/>
      </w:pPr>
      <w:r>
        <w:rPr>
          <w:sz w:val="22"/>
          <w:szCs w:val="22"/>
        </w:rPr>
        <w:t xml:space="preserve">30/09: 677 candidatos, 84 no nível 2, 36 necessários.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mbria" w:cs="Cambria" w:eastAsia="Cambria" w:hAnsi="Cambria"/>
      <w:b/>
      <w:bCs/>
      <w:color w:val="13241C"/>
      <w:sz w:val="34"/>
      <w:szCs w:val="34"/>
    </w:rPr>
  </w:style>
  <w:style w:type="paragraph" w:styleId="Heading2">
    <w:name w:val="Heading 2"/>
    <w:basedOn w:val="Normal"/>
    <w:next w:val="Normal"/>
    <w:qFormat/>
    <w:pPr>
      <w:outlineLvl w:val="1"/>
    </w:pPr>
    <w:rPr>
      <w:rFonts w:ascii="Cambria" w:cs="Cambria" w:eastAsia="Cambria" w:hAnsi="Cambria"/>
      <w:b/>
      <w:bCs/>
      <w:color w:val="2F6B4F"/>
      <w:sz w:val="28"/>
      <w:szCs w:val="28"/>
    </w:rPr>
  </w:style>
  <w:style w:type="paragraph" w:styleId="Heading3">
    <w:name w:val="Heading 3"/>
    <w:basedOn w:val="Normal"/>
    <w:next w:val="Normal"/>
    <w:qFormat/>
    <w:pPr>
      <w:outlineLvl w:val="2"/>
    </w:pPr>
    <w:rPr>
      <w:rFonts w:ascii="Cambria" w:cs="Cambria" w:eastAsia="Cambria" w:hAnsi="Cambria"/>
      <w:b/>
      <w:bCs/>
      <w:color w:val="C65D3B"/>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2026-10-19T09:54:29.846Z</dcterms:created>
  <dcterms:modified xsi:type="dcterms:W3CDTF">2026-10-19T09:54:29.850Z</dcterms:modified>
</cp:coreProperties>
</file>

<file path=docProps/custom.xml><?xml version="1.0" encoding="utf-8"?>
<Properties xmlns="http://schemas.openxmlformats.org/officeDocument/2006/custom-properties" xmlns:vt="http://schemas.openxmlformats.org/officeDocument/2006/docPropsVTypes"/>
</file>