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spacing w:before="0" w:after="120"/>
        <w:jc w:val="center"/>
      </w:pPr>
      <w:r>
        <w:rPr>
          <w:rFonts w:ascii="Calibri" w:hAnsi="Calibri"/>
          <w:b/>
          <w:sz w:val="24"/>
        </w:rPr>
        <w:t>SISTEMA COMPUTACIONAL DE AMOSTRAGEM E PREDIÇÃO DE EROSÃO LAMINAR EM BACIA AGRÍCOLA VIA SENSORIAMENTO MULTIESPECTRAL E APRENDIZADO DE MÁQUINA</w:t>
      </w:r>
    </w:p>
    <w:p>
      <w:pPr>
        <w:spacing w:before="0" w:after="40"/>
        <w:jc w:val="center"/>
      </w:pPr>
      <w:r>
        <w:rPr>
          <w:rFonts w:ascii="Calibri" w:hAnsi="Calibri"/>
          <w:sz w:val="21"/>
        </w:rPr>
        <w:t>Luis Alfredo da Silva¹; Coautor²; Nome do Orientador³</w:t>
      </w:r>
    </w:p>
    <w:p>
      <w:pPr>
        <w:spacing w:before="0" w:after="160"/>
        <w:jc w:val="both"/>
      </w:pPr>
      <w:r>
        <w:rPr>
          <w:rFonts w:ascii="Calibri" w:hAnsi="Calibri"/>
          <w:i/>
          <w:sz w:val="18"/>
        </w:rPr>
        <w:t>¹Mestrando do Programa de Pós-Graduação em Tecnologias Computacionais para o Agronegócio (PPGTCA), Universidade Tecnológica Federal do Paraná (UTFPR). ²Coautor. ³Docente Orientador, PPGTCA/UTFPR.</w:t>
      </w:r>
    </w:p>
    <w:p>
      <w:pPr>
        <w:spacing w:before="40" w:after="80" w:line="276" w:lineRule="auto"/>
        <w:jc w:val="both"/>
      </w:pPr>
      <w:r>
        <w:rPr>
          <w:rFonts w:ascii="Calibri" w:hAnsi="Calibri"/>
          <w:b/>
          <w:sz w:val="22"/>
        </w:rPr>
        <w:t xml:space="preserve">Introdução: </w:t>
      </w:r>
      <w:r>
        <w:rPr>
          <w:rFonts w:ascii="Calibri" w:hAnsi="Calibri"/>
          <w:sz w:val="22"/>
        </w:rPr>
        <w:t>A erosão laminar em solos agrícolas constitui uma das principais causas de degradação da fertilidade e perda de produtividade na Bacia do Paraná 3, sob Sistema Plantio Direto (Dieckow et al., 2009). Tradicionalmente, modelos empíricos como a RUSLE utilizam generalizações cartográficas que não capturam a heterogeneidade das feições em escala métrica. A integração entre constelações orbitais multiespectrais, veículos aéreos não tripulados (VANT) de alta resolução e algoritmos supervisionados de aprendizado de máquina oferece uma oportunidade inédita para detecção e predição espacialmente explícitas de focos ativos, reduzindo custos de campo e viabilizando o manejo conservacionista de precisão.</w:t>
      </w:r>
    </w:p>
    <w:p>
      <w:pPr>
        <w:spacing w:before="40" w:after="80" w:line="276" w:lineRule="auto"/>
        <w:jc w:val="both"/>
      </w:pPr>
      <w:r>
        <w:rPr>
          <w:rFonts w:ascii="Calibri" w:hAnsi="Calibri"/>
          <w:b/>
          <w:sz w:val="22"/>
        </w:rPr>
        <w:t xml:space="preserve">Objetivos: </w:t>
      </w:r>
      <w:r>
        <w:rPr>
          <w:rFonts w:ascii="Calibri" w:hAnsi="Calibri"/>
          <w:sz w:val="22"/>
        </w:rPr>
        <w:t>Desenvolver e validar um arcabouço computacional (SAREL) para amostragem estratificada, calibração radiométrica multiescala e predição de risco de erosão laminar no Oeste do Paraná, integrando séries temporais do Sentinel-2 MSI, ortomosaicos centimétricos de VANT e o algoritmo XGBoost sob validação espacial em blocos.</w:t>
      </w:r>
    </w:p>
    <w:p>
      <w:pPr>
        <w:spacing w:before="40" w:after="80" w:line="276" w:lineRule="auto"/>
        <w:jc w:val="both"/>
      </w:pPr>
      <w:r>
        <w:rPr>
          <w:rFonts w:ascii="Calibri" w:hAnsi="Calibri"/>
          <w:b/>
          <w:sz w:val="22"/>
        </w:rPr>
        <w:t xml:space="preserve">Metodologia: </w:t>
      </w:r>
      <w:r>
        <w:rPr>
          <w:rFonts w:ascii="Calibri" w:hAnsi="Calibri"/>
          <w:sz w:val="22"/>
        </w:rPr>
        <w:t>A pesquisa estruturou-se em 18 estratos biofísicos ortogonais baseados em declividade (3% a 20%), frequência multitemporal de solo exposto via índice BSI e erodibilidade pedológica oficial (Coelho et al., 2024). Aplicou-se thinning geodésico Haversine (1 km a 5 km) vinculado a imóveis do SICAR para mitigar a dependência espacial (Tobler, 1970). Atributos topográficos foram reduzidos do Copernicus DEM GLO30 em projeção métrica conformal SIRGAS 2000 / UTM 22S (EPSG:31982). O conjunto de validação independente (held-out) fundamentou-se em quatro sítios de referência (10 a 50 ha) voados pelo VANT multiespectral Spectral 2 (Nuvem UAV, 5 bandas calibradas, RTK/PPK, GSD 3 a 7,5 cm), confrontados radiometricamente (Pearson r) com o Sentinel-2. O treinamento adotou XGBoost com validação cruzada Leave-One-Catchment-Out (LOCO) e explicabilidade física via SHAP.</w:t>
      </w:r>
    </w:p>
    <w:p>
      <w:pPr>
        <w:spacing w:before="40" w:after="80" w:line="276" w:lineRule="auto"/>
        <w:jc w:val="both"/>
      </w:pPr>
      <w:r>
        <w:rPr>
          <w:rFonts w:ascii="Calibri" w:hAnsi="Calibri"/>
          <w:b/>
          <w:sz w:val="22"/>
        </w:rPr>
        <w:t xml:space="preserve">Resultados e Discussão: </w:t>
      </w:r>
      <w:r>
        <w:rPr>
          <w:rFonts w:ascii="Calibri" w:hAnsi="Calibri"/>
          <w:sz w:val="22"/>
        </w:rPr>
        <w:t>Constatou-se forte convergência radiométrica entre o Sentinel-2 e os ortomosaicos do VANT (r &gt; 0,85 no NIR e RedEdge), validando a resolução de 10 m para identificar descontinuidade superficial de horizontes pedológicos. A modelagem dual segregou com eficácia a detecção contemporânea de focos ativos (Modelo D, t0) da predição prospectiva de risco (Modelo P), cuja imposição de intervalo de guarda temporal bienal (24 meses) eliminou o vazamento de dados (Kaufman et al., 2012) e espelhou a rotação de culturas. Na validação espacial LOCO, o classificador alcançou AUC-ROC de 0,89 e F1-score de 0,84 na separação entre áreas degradadas (BSI &gt; 0,10; NDVI &lt; 0,40) e controle sob plantio direto (BSI &lt; 0,00; NDVI &gt; 0,65), confirmando declividade e banda B12 como preditores de maior relevância física.</w:t>
      </w:r>
    </w:p>
    <w:p>
      <w:pPr>
        <w:spacing w:before="40" w:after="80" w:line="276" w:lineRule="auto"/>
        <w:jc w:val="both"/>
      </w:pPr>
      <w:r>
        <w:rPr>
          <w:rFonts w:ascii="Calibri" w:hAnsi="Calibri"/>
          <w:b/>
          <w:sz w:val="22"/>
        </w:rPr>
        <w:t xml:space="preserve">Considerações Finais: </w:t>
      </w:r>
      <w:r>
        <w:rPr>
          <w:rFonts w:ascii="Calibri" w:hAnsi="Calibri"/>
          <w:sz w:val="22"/>
        </w:rPr>
        <w:t>O método proposto revelou-se computacionalmente reprodutível, seguro e pericialmente auditável, superando as limitações dos modelos univariados. A integração de VANT multiespectral e dados orbitais ancorados no SICAR estabelece uma ferramenta prática para perícias agronômicas, governança territorial de bacias e direcionamento de práticas conservacionistas de solo e água.</w:t>
      </w:r>
    </w:p>
    <w:p>
      <w:pPr>
        <w:spacing w:before="120" w:after="120" w:line="276" w:lineRule="auto"/>
        <w:jc w:val="both"/>
      </w:pPr>
      <w:r>
        <w:rPr>
          <w:rFonts w:ascii="Calibri" w:hAnsi="Calibri"/>
          <w:b/>
          <w:sz w:val="22"/>
        </w:rPr>
        <w:t xml:space="preserve">Palavras-chave: </w:t>
      </w:r>
      <w:r>
        <w:rPr>
          <w:rFonts w:ascii="Calibri" w:hAnsi="Calibri"/>
          <w:sz w:val="22"/>
        </w:rPr>
        <w:t>erosão laminar, sensoriamento remoto, aprendizado de máquina, vant multiespectral, bacia hidrográfica.</w:t>
      </w:r>
    </w:p>
    <w:p>
      <w:pPr>
        <w:spacing w:before="120" w:after="40"/>
        <w:jc w:val="both"/>
      </w:pPr>
      <w:r>
        <w:rPr>
          <w:rFonts w:ascii="Calibri" w:hAnsi="Calibri"/>
          <w:b/>
          <w:sz w:val="22"/>
        </w:rPr>
        <w:t>Agradecimentos (Nota do Autor):</w:t>
      </w:r>
    </w:p>
    <w:p>
      <w:pPr>
        <w:spacing w:before="0" w:after="160" w:line="276" w:lineRule="auto"/>
        <w:jc w:val="both"/>
      </w:pPr>
      <w:r>
        <w:rPr>
          <w:rFonts w:ascii="Calibri" w:hAnsi="Calibri"/>
          <w:sz w:val="20"/>
        </w:rPr>
        <w:t>O presente trabalho foi realizado com o apoio do Programa de Pós-Graduação em Tecnologias Computacionais para o Agronegócio (PPGTCA) da Universidade Tecnológica Federal do Paraná (UTFPR) e da Coordenação de Aperfeiçoamento de Pessoal de Nível Superior - Brasil (CAPES) - Código de Financiamento 001.</w:t>
      </w:r>
    </w:p>
    <w:p>
      <w:pPr>
        <w:spacing w:before="160" w:after="80"/>
        <w:jc w:val="both"/>
      </w:pPr>
      <w:r>
        <w:rPr>
          <w:rFonts w:ascii="Calibri" w:hAnsi="Calibri"/>
          <w:b/>
          <w:sz w:val="22"/>
        </w:rPr>
        <w:t>Referências</w:t>
      </w:r>
    </w:p>
    <w:p>
      <w:pPr>
        <w:spacing w:before="40" w:after="80" w:line="276" w:lineRule="auto"/>
        <w:ind w:left="720" w:hanging="720"/>
        <w:jc w:val="both"/>
      </w:pPr>
      <w:r>
        <w:rPr>
          <w:rFonts w:ascii="Calibri" w:hAnsi="Calibri"/>
          <w:sz w:val="20"/>
        </w:rPr>
        <w:t xml:space="preserve">Chen, T., &amp; Guestrin, C. (2016). </w:t>
      </w:r>
      <w:r>
        <w:rPr>
          <w:rFonts w:ascii="Calibri" w:hAnsi="Calibri"/>
          <w:sz w:val="20"/>
        </w:rPr>
        <w:t xml:space="preserve">XGBoost: A scalable tree boosting system. </w:t>
      </w:r>
      <w:r>
        <w:rPr>
          <w:rFonts w:ascii="Calibri" w:hAnsi="Calibri"/>
          <w:i/>
          <w:sz w:val="20"/>
        </w:rPr>
        <w:t xml:space="preserve">Proceedings of the 22nd ACM SIGKDD International Conference on Knowledge Discovery and Data Mining, </w:t>
      </w:r>
      <w:r>
        <w:rPr>
          <w:rFonts w:ascii="Calibri" w:hAnsi="Calibri"/>
          <w:sz w:val="20"/>
        </w:rPr>
        <w:t>785–794. https://doi.org/10.1145/2939672.2939785</w:t>
      </w:r>
    </w:p>
    <w:p>
      <w:pPr>
        <w:spacing w:before="40" w:after="80" w:line="276" w:lineRule="auto"/>
        <w:ind w:left="720" w:hanging="720"/>
        <w:jc w:val="both"/>
      </w:pPr>
      <w:r>
        <w:rPr>
          <w:rFonts w:ascii="Calibri" w:hAnsi="Calibri"/>
          <w:sz w:val="20"/>
        </w:rPr>
        <w:t xml:space="preserve">Coelho, M. R., Fontana, A., Donagemma, G. K., &amp; Adami, M. (2024). </w:t>
      </w:r>
      <w:r>
        <w:rPr>
          <w:rFonts w:ascii="Calibri" w:hAnsi="Calibri"/>
          <w:i/>
          <w:sz w:val="20"/>
        </w:rPr>
        <w:t xml:space="preserve">Erodibilidade dos solos do Brasil </w:t>
      </w:r>
      <w:r>
        <w:rPr>
          <w:rFonts w:ascii="Calibri" w:hAnsi="Calibri"/>
          <w:sz w:val="20"/>
        </w:rPr>
        <w:t>(Documentos 246). Embrapa Solos. http://www.infoteca.cnptia.embrapa.br/infoteca/handle/doc/1170044</w:t>
      </w:r>
    </w:p>
    <w:p>
      <w:pPr>
        <w:spacing w:before="40" w:after="80" w:line="276" w:lineRule="auto"/>
        <w:ind w:left="720" w:hanging="720"/>
        <w:jc w:val="both"/>
      </w:pPr>
      <w:r>
        <w:rPr>
          <w:rFonts w:ascii="Calibri" w:hAnsi="Calibri"/>
          <w:sz w:val="20"/>
        </w:rPr>
        <w:t xml:space="preserve">Dieckow, J., Bayer, C., Conceição, P. C., Zanatta, J. A., Martin-Neto, L., &amp; Milori, D. M. B. P. (2009). </w:t>
      </w:r>
      <w:r>
        <w:rPr>
          <w:rFonts w:ascii="Calibri" w:hAnsi="Calibri"/>
          <w:sz w:val="20"/>
        </w:rPr>
        <w:t xml:space="preserve">Land use, tillage, texture and organic matter stock and composition in tropical and subtropical Brazilian soils. </w:t>
      </w:r>
      <w:r>
        <w:rPr>
          <w:rFonts w:ascii="Calibri" w:hAnsi="Calibri"/>
          <w:i/>
          <w:sz w:val="20"/>
        </w:rPr>
        <w:t xml:space="preserve">European Journal of Soil Science, </w:t>
      </w:r>
      <w:r>
        <w:rPr>
          <w:rFonts w:ascii="Calibri" w:hAnsi="Calibri"/>
          <w:sz w:val="20"/>
        </w:rPr>
        <w:t>60(2), 240–249. https://doi.org/10.1111/j.1365-2389.2008.01101.x</w:t>
      </w:r>
    </w:p>
    <w:p>
      <w:pPr>
        <w:spacing w:before="40" w:after="80" w:line="276" w:lineRule="auto"/>
        <w:ind w:left="720" w:hanging="720"/>
        <w:jc w:val="both"/>
      </w:pPr>
      <w:r>
        <w:rPr>
          <w:rFonts w:ascii="Calibri" w:hAnsi="Calibri"/>
          <w:sz w:val="20"/>
        </w:rPr>
        <w:t xml:space="preserve">Durigon, V. T., Carvalho, D. F., Antunes, M. A. H., Oliveira, P. T. S., &amp; Fernandes, M. M. (2014). </w:t>
      </w:r>
      <w:r>
        <w:rPr>
          <w:rFonts w:ascii="Calibri" w:hAnsi="Calibri"/>
          <w:sz w:val="20"/>
        </w:rPr>
        <w:t xml:space="preserve">NDVI time series for monitoring RUSLE cover management factor in a tropical watershed. </w:t>
      </w:r>
      <w:r>
        <w:rPr>
          <w:rFonts w:ascii="Calibri" w:hAnsi="Calibri"/>
          <w:i/>
          <w:sz w:val="20"/>
        </w:rPr>
        <w:t xml:space="preserve">International Journal of Remote Sensing, </w:t>
      </w:r>
      <w:r>
        <w:rPr>
          <w:rFonts w:ascii="Calibri" w:hAnsi="Calibri"/>
          <w:sz w:val="20"/>
        </w:rPr>
        <w:t>35(2), 441–453. https://doi.org/10.1080/01431161.2013.871081</w:t>
      </w:r>
    </w:p>
    <w:p>
      <w:pPr>
        <w:spacing w:before="40" w:after="80" w:line="276" w:lineRule="auto"/>
        <w:ind w:left="720" w:hanging="720"/>
        <w:jc w:val="both"/>
      </w:pPr>
      <w:r>
        <w:rPr>
          <w:rFonts w:ascii="Calibri" w:hAnsi="Calibri"/>
          <w:sz w:val="20"/>
        </w:rPr>
        <w:t xml:space="preserve">Kaufman, S., Rosset, S., Perlich, C., &amp; Stitelman, O. (2012). </w:t>
      </w:r>
      <w:r>
        <w:rPr>
          <w:rFonts w:ascii="Calibri" w:hAnsi="Calibri"/>
          <w:sz w:val="20"/>
        </w:rPr>
        <w:t xml:space="preserve">Leakage in data mining: Formulation, detection, and avoidance. </w:t>
      </w:r>
      <w:r>
        <w:rPr>
          <w:rFonts w:ascii="Calibri" w:hAnsi="Calibri"/>
          <w:i/>
          <w:sz w:val="20"/>
        </w:rPr>
        <w:t xml:space="preserve">ACM Transactions on Knowledge Discovery from Data, </w:t>
      </w:r>
      <w:r>
        <w:rPr>
          <w:rFonts w:ascii="Calibri" w:hAnsi="Calibri"/>
          <w:sz w:val="20"/>
        </w:rPr>
        <w:t>6(4), 1–21. https://doi.org/10.1145/2382577.2382579</w:t>
      </w:r>
    </w:p>
    <w:p>
      <w:pPr>
        <w:spacing w:before="40" w:after="80" w:line="276" w:lineRule="auto"/>
        <w:ind w:left="720" w:hanging="720"/>
        <w:jc w:val="both"/>
      </w:pPr>
      <w:r>
        <w:rPr>
          <w:rFonts w:ascii="Calibri" w:hAnsi="Calibri"/>
          <w:sz w:val="20"/>
        </w:rPr>
        <w:t xml:space="preserve">Tobler, W. R. (1970). </w:t>
      </w:r>
      <w:r>
        <w:rPr>
          <w:rFonts w:ascii="Calibri" w:hAnsi="Calibri"/>
          <w:sz w:val="20"/>
        </w:rPr>
        <w:t xml:space="preserve">A computer movie simulating urban growth in the Detroit region. </w:t>
      </w:r>
      <w:r>
        <w:rPr>
          <w:rFonts w:ascii="Calibri" w:hAnsi="Calibri"/>
          <w:i/>
          <w:sz w:val="20"/>
        </w:rPr>
        <w:t xml:space="preserve">Economic Geography, </w:t>
      </w:r>
      <w:r>
        <w:rPr>
          <w:rFonts w:ascii="Calibri" w:hAnsi="Calibri"/>
          <w:sz w:val="20"/>
        </w:rPr>
        <w:t>46(sup1), 234–240. https://doi.org/10.2307/143141</w:t>
      </w:r>
    </w:p>
    <w:sectPr>
      <w:headerReference w:type="default" r:id="rId8"/>
      <w:footnotePr/>
      <w:endnotePr/>
      <w:type w:val="nextPage"/>
      <w:pgSz w:h="16838" w:orient="portrait" w:w="11906"/>
      <w:pgMar w:top="1417" w:right="1701" w:bottom="1417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58"/>
      <w:pBdr/>
      <w:spacing/>
      <w:ind/>
      <w:jc w:val="center"/>
      <w:rPr/>
    </w:pPr>
    <w:r/>
    <w:r/>
    <w:r>
      <mc:AlternateContent>
        <mc:Choice Requires="wpg">
          <w:drawing>
            <wp:inline xmlns:wp="http://schemas.openxmlformats.org/drawingml/2006/wordprocessingDrawing" distT="0" distB="0" distL="0" distR="0">
              <wp:extent cx="5400040" cy="1138862"/>
              <wp:effectExtent l="0" t="0" r="0" b="0"/>
              <wp:docPr id="1" name="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27047910" name=""/>
                      <pic:cNvPicPr>
                        <a:picLocks noChangeAspect="1"/>
                      </pic:cNvPicPr>
                      <pic:nvPr/>
                    </pic:nvPicPr>
                    <pic:blipFill>
                      <a:blip r:embed="rId1"/>
                      <a:stretch/>
                    </pic:blipFill>
                    <pic:spPr bwMode="auto">
                      <a:xfrm>
                        <a:off x="0" y="0"/>
                        <a:ext cx="5400039" cy="1138861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width:425.20pt;height:89.67pt;mso-wrap-distance-left:0.00pt;mso-wrap-distance-top:0.00pt;mso-wrap-distance-right:0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/>
    <w:r/>
    <w:r/>
    <w:r/>
    <w:r/>
    <w:r/>
    <w:r/>
  </w:p>
  <w:p>
    <w:pPr>
      <w:pStyle w:val="758"/>
      <w:pBdr/>
      <w:spacing/>
      <w:ind/>
      <w:rPr/>
    </w:pPr>
    <w:r/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73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73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3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3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3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50">
    <w:name w:val="Heading 1 Char"/>
    <w:basedOn w:val="735"/>
    <w:link w:val="72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35"/>
    <w:link w:val="7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35"/>
    <w:link w:val="7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35"/>
    <w:link w:val="72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35"/>
    <w:link w:val="7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35"/>
    <w:link w:val="73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35"/>
    <w:link w:val="73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35"/>
    <w:link w:val="73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35"/>
    <w:link w:val="7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735"/>
    <w:link w:val="74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735"/>
    <w:link w:val="74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735"/>
    <w:link w:val="751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735"/>
    <w:link w:val="755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170">
    <w:name w:val="No Spacing"/>
    <w:basedOn w:val="725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3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35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35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3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35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735"/>
    <w:link w:val="758"/>
    <w:uiPriority w:val="99"/>
    <w:pPr>
      <w:pBdr/>
      <w:spacing/>
      <w:ind/>
    </w:pPr>
  </w:style>
  <w:style w:type="character" w:styleId="179">
    <w:name w:val="Footer Char"/>
    <w:basedOn w:val="735"/>
    <w:link w:val="760"/>
    <w:uiPriority w:val="99"/>
    <w:pPr>
      <w:pBdr/>
      <w:spacing/>
      <w:ind/>
    </w:pPr>
  </w:style>
  <w:style w:type="paragraph" w:styleId="180">
    <w:name w:val="Caption"/>
    <w:basedOn w:val="725"/>
    <w:next w:val="72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25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35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35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25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35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35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73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25"/>
    <w:next w:val="725"/>
    <w:uiPriority w:val="39"/>
    <w:unhideWhenUsed/>
    <w:pPr>
      <w:pBdr/>
      <w:spacing w:after="100"/>
      <w:ind/>
    </w:pPr>
  </w:style>
  <w:style w:type="paragraph" w:styleId="190">
    <w:name w:val="toc 2"/>
    <w:basedOn w:val="725"/>
    <w:next w:val="725"/>
    <w:uiPriority w:val="39"/>
    <w:unhideWhenUsed/>
    <w:pPr>
      <w:pBdr/>
      <w:spacing w:after="100"/>
      <w:ind w:left="220"/>
    </w:pPr>
  </w:style>
  <w:style w:type="paragraph" w:styleId="191">
    <w:name w:val="toc 3"/>
    <w:basedOn w:val="725"/>
    <w:next w:val="725"/>
    <w:uiPriority w:val="39"/>
    <w:unhideWhenUsed/>
    <w:pPr>
      <w:pBdr/>
      <w:spacing w:after="100"/>
      <w:ind w:left="440"/>
    </w:pPr>
  </w:style>
  <w:style w:type="paragraph" w:styleId="192">
    <w:name w:val="toc 4"/>
    <w:basedOn w:val="725"/>
    <w:next w:val="725"/>
    <w:uiPriority w:val="39"/>
    <w:unhideWhenUsed/>
    <w:pPr>
      <w:pBdr/>
      <w:spacing w:after="100"/>
      <w:ind w:left="660"/>
    </w:pPr>
  </w:style>
  <w:style w:type="paragraph" w:styleId="193">
    <w:name w:val="toc 5"/>
    <w:basedOn w:val="725"/>
    <w:next w:val="725"/>
    <w:uiPriority w:val="39"/>
    <w:unhideWhenUsed/>
    <w:pPr>
      <w:pBdr/>
      <w:spacing w:after="100"/>
      <w:ind w:left="880"/>
    </w:pPr>
  </w:style>
  <w:style w:type="paragraph" w:styleId="194">
    <w:name w:val="toc 6"/>
    <w:basedOn w:val="725"/>
    <w:next w:val="725"/>
    <w:uiPriority w:val="39"/>
    <w:unhideWhenUsed/>
    <w:pPr>
      <w:pBdr/>
      <w:spacing w:after="100"/>
      <w:ind w:left="1100"/>
    </w:pPr>
  </w:style>
  <w:style w:type="paragraph" w:styleId="195">
    <w:name w:val="toc 7"/>
    <w:basedOn w:val="725"/>
    <w:next w:val="725"/>
    <w:uiPriority w:val="39"/>
    <w:unhideWhenUsed/>
    <w:pPr>
      <w:pBdr/>
      <w:spacing w:after="100"/>
      <w:ind w:left="1320"/>
    </w:pPr>
  </w:style>
  <w:style w:type="paragraph" w:styleId="196">
    <w:name w:val="toc 8"/>
    <w:basedOn w:val="725"/>
    <w:next w:val="725"/>
    <w:uiPriority w:val="39"/>
    <w:unhideWhenUsed/>
    <w:pPr>
      <w:pBdr/>
      <w:spacing w:after="100"/>
      <w:ind w:left="1540"/>
    </w:pPr>
  </w:style>
  <w:style w:type="paragraph" w:styleId="197">
    <w:name w:val="toc 9"/>
    <w:basedOn w:val="725"/>
    <w:next w:val="725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35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25"/>
    <w:next w:val="725"/>
    <w:uiPriority w:val="99"/>
    <w:unhideWhenUsed/>
    <w:pPr>
      <w:pBdr/>
      <w:spacing w:after="0" w:afterAutospacing="0"/>
      <w:ind/>
    </w:pPr>
  </w:style>
  <w:style w:type="paragraph" w:styleId="725" w:default="1">
    <w:name w:val="Normal"/>
    <w:qFormat/>
    <w:pPr>
      <w:pBdr/>
      <w:spacing/>
      <w:ind/>
    </w:pPr>
  </w:style>
  <w:style w:type="paragraph" w:styleId="726">
    <w:name w:val="Heading 1"/>
    <w:basedOn w:val="725"/>
    <w:next w:val="725"/>
    <w:link w:val="738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727">
    <w:name w:val="Heading 2"/>
    <w:basedOn w:val="725"/>
    <w:next w:val="725"/>
    <w:link w:val="739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728">
    <w:name w:val="Heading 3"/>
    <w:basedOn w:val="725"/>
    <w:next w:val="725"/>
    <w:link w:val="740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729">
    <w:name w:val="Heading 4"/>
    <w:basedOn w:val="725"/>
    <w:next w:val="725"/>
    <w:link w:val="741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30">
    <w:name w:val="Heading 5"/>
    <w:basedOn w:val="725"/>
    <w:next w:val="725"/>
    <w:link w:val="742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731">
    <w:name w:val="Heading 6"/>
    <w:basedOn w:val="725"/>
    <w:next w:val="725"/>
    <w:link w:val="743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32">
    <w:name w:val="Heading 7"/>
    <w:basedOn w:val="725"/>
    <w:next w:val="725"/>
    <w:link w:val="744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733">
    <w:name w:val="Heading 8"/>
    <w:basedOn w:val="725"/>
    <w:next w:val="725"/>
    <w:link w:val="745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734">
    <w:name w:val="Heading 9"/>
    <w:basedOn w:val="725"/>
    <w:next w:val="725"/>
    <w:link w:val="746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735" w:default="1">
    <w:name w:val="Default Paragraph Font"/>
    <w:uiPriority w:val="1"/>
    <w:unhideWhenUsed/>
    <w:pPr>
      <w:pBdr/>
      <w:spacing/>
      <w:ind/>
    </w:pPr>
  </w:style>
  <w:style w:type="table" w:styleId="736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37" w:default="1">
    <w:name w:val="No List"/>
    <w:uiPriority w:val="99"/>
    <w:semiHidden/>
    <w:unhideWhenUsed/>
    <w:pPr>
      <w:pBdr/>
      <w:spacing/>
      <w:ind/>
    </w:pPr>
  </w:style>
  <w:style w:type="character" w:styleId="738" w:customStyle="1">
    <w:name w:val="Título 1 Char"/>
    <w:basedOn w:val="735"/>
    <w:link w:val="726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739" w:customStyle="1">
    <w:name w:val="Título 2 Char"/>
    <w:basedOn w:val="735"/>
    <w:link w:val="72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740" w:customStyle="1">
    <w:name w:val="Título 3 Char"/>
    <w:basedOn w:val="735"/>
    <w:link w:val="728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741" w:customStyle="1">
    <w:name w:val="Título 4 Char"/>
    <w:basedOn w:val="735"/>
    <w:link w:val="729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742" w:customStyle="1">
    <w:name w:val="Título 5 Char"/>
    <w:basedOn w:val="735"/>
    <w:link w:val="730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743" w:customStyle="1">
    <w:name w:val="Título 6 Char"/>
    <w:basedOn w:val="735"/>
    <w:link w:val="731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744" w:customStyle="1">
    <w:name w:val="Título 7 Char"/>
    <w:basedOn w:val="735"/>
    <w:link w:val="732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745" w:customStyle="1">
    <w:name w:val="Título 8 Char"/>
    <w:basedOn w:val="735"/>
    <w:link w:val="733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746" w:customStyle="1">
    <w:name w:val="Título 9 Char"/>
    <w:basedOn w:val="735"/>
    <w:link w:val="734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747">
    <w:name w:val="Title"/>
    <w:basedOn w:val="725"/>
    <w:next w:val="725"/>
    <w:link w:val="748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748" w:customStyle="1">
    <w:name w:val="Título Char"/>
    <w:basedOn w:val="735"/>
    <w:link w:val="747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749">
    <w:name w:val="Subtitle"/>
    <w:basedOn w:val="725"/>
    <w:next w:val="725"/>
    <w:link w:val="750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750" w:customStyle="1">
    <w:name w:val="Subtítulo Char"/>
    <w:basedOn w:val="735"/>
    <w:link w:val="749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751">
    <w:name w:val="Quote"/>
    <w:basedOn w:val="725"/>
    <w:next w:val="725"/>
    <w:link w:val="75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752" w:customStyle="1">
    <w:name w:val="Citação Char"/>
    <w:basedOn w:val="735"/>
    <w:link w:val="75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753">
    <w:name w:val="List Paragraph"/>
    <w:basedOn w:val="725"/>
    <w:uiPriority w:val="34"/>
    <w:qFormat/>
    <w:pPr>
      <w:pBdr/>
      <w:spacing/>
      <w:ind w:left="720"/>
      <w:contextualSpacing w:val="true"/>
    </w:pPr>
  </w:style>
  <w:style w:type="character" w:styleId="754">
    <w:name w:val="Intense Emphasis"/>
    <w:basedOn w:val="73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755">
    <w:name w:val="Intense Quote"/>
    <w:basedOn w:val="725"/>
    <w:next w:val="725"/>
    <w:link w:val="75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756" w:customStyle="1">
    <w:name w:val="Citação Intensa Char"/>
    <w:basedOn w:val="735"/>
    <w:link w:val="75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757">
    <w:name w:val="Intense Reference"/>
    <w:basedOn w:val="73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758">
    <w:name w:val="Header"/>
    <w:basedOn w:val="725"/>
    <w:link w:val="759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character" w:styleId="759" w:customStyle="1">
    <w:name w:val="Cabeçalho Char"/>
    <w:basedOn w:val="735"/>
    <w:link w:val="758"/>
    <w:uiPriority w:val="99"/>
    <w:pPr>
      <w:pBdr/>
      <w:spacing/>
      <w:ind/>
    </w:pPr>
  </w:style>
  <w:style w:type="paragraph" w:styleId="760">
    <w:name w:val="Footer"/>
    <w:basedOn w:val="725"/>
    <w:link w:val="761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character" w:styleId="761" w:customStyle="1">
    <w:name w:val="Rodapé Char"/>
    <w:basedOn w:val="735"/>
    <w:link w:val="760"/>
    <w:uiPriority w:val="99"/>
    <w:pPr>
      <w:pBdr/>
      <w:spacing/>
      <w:ind/>
    </w:pPr>
  </w:style>
  <w:style w:type="character" w:styleId="762">
    <w:name w:val="Hyperlink"/>
    <w:basedOn w:val="735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763">
    <w:name w:val="Unresolved Mention"/>
    <w:basedOn w:val="735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header" Target="header1.xml"/><Relationship Id="rId9" Type="http://schemas.openxmlformats.org/officeDocument/2006/relationships/hyperlink" Target="https://www.google.com/search?q=https://doi.org/10.xxxx/xxxx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Sascha Habu</dc:creator>
  <cp:keywords/>
  <dc:description/>
  <cp:lastModifiedBy>HIGO FIGUEIREDO DOS SANTOS (higosantos)</cp:lastModifiedBy>
  <cp:revision>8</cp:revision>
  <dcterms:created xsi:type="dcterms:W3CDTF">2026-08-17T19:27:00Z</dcterms:created>
  <dcterms:modified xsi:type="dcterms:W3CDTF">2026-08-23T10:24:44Z</dcterms:modified>
</cp:coreProperties>
</file>