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9E" w:rsidRDefault="00F82DF9" w:rsidP="00ED04FD">
      <w:r>
        <w:rPr>
          <w:noProof/>
          <w:lang w:eastAsia="en-GB"/>
        </w:rPr>
        <w:drawing>
          <wp:inline distT="0" distB="0" distL="0" distR="0" wp14:anchorId="2B5A5D40" wp14:editId="54BFB266">
            <wp:extent cx="5731510" cy="4161790"/>
            <wp:effectExtent l="0" t="0" r="254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D04FD" w:rsidRDefault="00F82DF9" w:rsidP="00ED04FD">
      <w:r>
        <w:rPr>
          <w:noProof/>
          <w:lang w:eastAsia="en-GB"/>
        </w:rPr>
        <w:drawing>
          <wp:inline distT="0" distB="0" distL="0" distR="0" wp14:anchorId="370BE492" wp14:editId="20C98435">
            <wp:extent cx="5731510" cy="4161790"/>
            <wp:effectExtent l="0" t="0" r="254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04FD" w:rsidRDefault="00ED04FD" w:rsidP="00ED04FD">
      <w:r>
        <w:rPr>
          <w:noProof/>
          <w:lang w:eastAsia="en-GB"/>
        </w:rPr>
        <w:lastRenderedPageBreak/>
        <w:drawing>
          <wp:inline distT="0" distB="0" distL="0" distR="0" wp14:anchorId="02D45C03" wp14:editId="3871B50B">
            <wp:extent cx="5731510" cy="4161790"/>
            <wp:effectExtent l="0" t="0" r="254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4D1A" w:rsidRPr="00ED04FD" w:rsidRDefault="001A6277" w:rsidP="00ED04FD">
      <w:r>
        <w:rPr>
          <w:noProof/>
          <w:lang w:eastAsia="en-GB"/>
        </w:rPr>
        <w:drawing>
          <wp:inline distT="0" distB="0" distL="0" distR="0" wp14:anchorId="2947F5D0" wp14:editId="31E95A11">
            <wp:extent cx="5731510" cy="4159250"/>
            <wp:effectExtent l="0" t="0" r="254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A4D1A" w:rsidRPr="00ED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E"/>
    <w:rsid w:val="001A6277"/>
    <w:rsid w:val="002763F2"/>
    <w:rsid w:val="00376FED"/>
    <w:rsid w:val="0086409E"/>
    <w:rsid w:val="00ED04FD"/>
    <w:rsid w:val="00F82DF9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CBA-BA3C-4191-973C-CB5D1647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[HashAggregate.xlsx]PreissTable!PivotTable3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32-bit Preiss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PreissTable!$B$3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PreissTable!$A$4:$A$39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PreissTable!$B$4:$B$39</c:f>
              <c:numCache>
                <c:formatCode>0.00%</c:formatCode>
                <c:ptCount val="35"/>
                <c:pt idx="0">
                  <c:v>2.37158689597749E-2</c:v>
                </c:pt>
                <c:pt idx="1">
                  <c:v>2.6874156593643228E-2</c:v>
                </c:pt>
                <c:pt idx="2">
                  <c:v>2.7161273651267623E-2</c:v>
                </c:pt>
                <c:pt idx="3">
                  <c:v>3.0951218811909615E-2</c:v>
                </c:pt>
                <c:pt idx="4">
                  <c:v>3.5774785379999424E-2</c:v>
                </c:pt>
                <c:pt idx="5">
                  <c:v>2.4117832840449049E-2</c:v>
                </c:pt>
                <c:pt idx="6">
                  <c:v>3.1525452927158401E-2</c:v>
                </c:pt>
                <c:pt idx="7">
                  <c:v>2.6127652243819806E-2</c:v>
                </c:pt>
                <c:pt idx="8">
                  <c:v>3.0003732521749118E-2</c:v>
                </c:pt>
                <c:pt idx="9">
                  <c:v>2.7965201412615923E-2</c:v>
                </c:pt>
                <c:pt idx="10">
                  <c:v>2.7993913118378361E-2</c:v>
                </c:pt>
                <c:pt idx="11">
                  <c:v>2.8281030176002756E-2</c:v>
                </c:pt>
                <c:pt idx="12">
                  <c:v>3.6004479026098941E-2</c:v>
                </c:pt>
                <c:pt idx="13">
                  <c:v>2.9142381348875937E-2</c:v>
                </c:pt>
                <c:pt idx="14">
                  <c:v>2.4146544546211492E-2</c:v>
                </c:pt>
                <c:pt idx="15">
                  <c:v>2.4462373309598322E-2</c:v>
                </c:pt>
                <c:pt idx="16">
                  <c:v>2.4519796721123203E-2</c:v>
                </c:pt>
                <c:pt idx="17">
                  <c:v>3.1439317809871081E-2</c:v>
                </c:pt>
                <c:pt idx="18">
                  <c:v>2.6615751241781276E-2</c:v>
                </c:pt>
                <c:pt idx="19">
                  <c:v>2.7017715122455425E-2</c:v>
                </c:pt>
                <c:pt idx="20">
                  <c:v>3.3133308449855008E-2</c:v>
                </c:pt>
                <c:pt idx="21">
                  <c:v>2.3055499727238794E-2</c:v>
                </c:pt>
                <c:pt idx="22">
                  <c:v>2.9343363289213012E-2</c:v>
                </c:pt>
                <c:pt idx="23">
                  <c:v>3.3592695742054035E-2</c:v>
                </c:pt>
                <c:pt idx="24">
                  <c:v>3.258778604036866E-2</c:v>
                </c:pt>
                <c:pt idx="25">
                  <c:v>3.5458956616612594E-2</c:v>
                </c:pt>
                <c:pt idx="26">
                  <c:v>2.3773292371299781E-2</c:v>
                </c:pt>
                <c:pt idx="27">
                  <c:v>4.7632719859886874E-2</c:v>
                </c:pt>
                <c:pt idx="28">
                  <c:v>3.2358092394269143E-2</c:v>
                </c:pt>
                <c:pt idx="29">
                  <c:v>2.506531913060955E-2</c:v>
                </c:pt>
                <c:pt idx="30">
                  <c:v>2.5352436188233941E-2</c:v>
                </c:pt>
                <c:pt idx="31">
                  <c:v>2.3830715782824658E-2</c:v>
                </c:pt>
                <c:pt idx="32">
                  <c:v>2.7075138533980303E-2</c:v>
                </c:pt>
                <c:pt idx="33">
                  <c:v>2.2251571965890494E-2</c:v>
                </c:pt>
                <c:pt idx="34">
                  <c:v>2.1648626144879269E-2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579928"/>
        <c:axId val="464580320"/>
      </c:barChart>
      <c:catAx>
        <c:axId val="46457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80320"/>
        <c:crosses val="autoZero"/>
        <c:auto val="1"/>
        <c:lblAlgn val="ctr"/>
        <c:lblOffset val="100"/>
        <c:noMultiLvlLbl val="0"/>
      </c:catAx>
      <c:valAx>
        <c:axId val="4645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79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[HashAggregate.xlsx]PJWTable!PivotTable3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PJW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PJWTable!$B$3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PJWTable!$A$4:$A$39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PJWTable!$B$4:$B$39</c:f>
              <c:numCache>
                <c:formatCode>0.00%</c:formatCode>
                <c:ptCount val="35"/>
                <c:pt idx="0">
                  <c:v>2.7794527234616822E-2</c:v>
                </c:pt>
                <c:pt idx="1">
                  <c:v>2.894306141786545E-2</c:v>
                </c:pt>
                <c:pt idx="2">
                  <c:v>2.7765813880035604E-2</c:v>
                </c:pt>
                <c:pt idx="3">
                  <c:v>2.8655927872053292E-2</c:v>
                </c:pt>
                <c:pt idx="4">
                  <c:v>2.8684641226634507E-2</c:v>
                </c:pt>
                <c:pt idx="5">
                  <c:v>2.7335113561317369E-2</c:v>
                </c:pt>
                <c:pt idx="6">
                  <c:v>2.9172768254515175E-2</c:v>
                </c:pt>
                <c:pt idx="7">
                  <c:v>2.8167800844172624E-2</c:v>
                </c:pt>
                <c:pt idx="8">
                  <c:v>2.8024234071266547E-2</c:v>
                </c:pt>
                <c:pt idx="9">
                  <c:v>2.6071725959743879E-2</c:v>
                </c:pt>
                <c:pt idx="10">
                  <c:v>3.0895569529388118E-2</c:v>
                </c:pt>
                <c:pt idx="11">
                  <c:v>2.9373761736583685E-2</c:v>
                </c:pt>
                <c:pt idx="12">
                  <c:v>2.8971774772446664E-2</c:v>
                </c:pt>
                <c:pt idx="13">
                  <c:v>2.9603468573233409E-2</c:v>
                </c:pt>
                <c:pt idx="14">
                  <c:v>2.8598501162890859E-2</c:v>
                </c:pt>
                <c:pt idx="15">
                  <c:v>3.040744250150745E-2</c:v>
                </c:pt>
                <c:pt idx="16">
                  <c:v>2.7794527234616822E-2</c:v>
                </c:pt>
                <c:pt idx="17">
                  <c:v>2.874206793579694E-2</c:v>
                </c:pt>
                <c:pt idx="18">
                  <c:v>2.934504838200247E-2</c:v>
                </c:pt>
                <c:pt idx="19">
                  <c:v>2.7134120079248859E-2</c:v>
                </c:pt>
                <c:pt idx="20">
                  <c:v>2.8426221035403567E-2</c:v>
                </c:pt>
                <c:pt idx="21">
                  <c:v>2.8541074453728429E-2</c:v>
                </c:pt>
                <c:pt idx="22">
                  <c:v>2.8684641226634507E-2</c:v>
                </c:pt>
                <c:pt idx="23">
                  <c:v>2.7909380652941684E-2</c:v>
                </c:pt>
                <c:pt idx="24">
                  <c:v>2.8139087489591409E-2</c:v>
                </c:pt>
                <c:pt idx="25">
                  <c:v>2.604301260516266E-2</c:v>
                </c:pt>
                <c:pt idx="26">
                  <c:v>2.9718321991558275E-2</c:v>
                </c:pt>
                <c:pt idx="27">
                  <c:v>2.9086628190771527E-2</c:v>
                </c:pt>
                <c:pt idx="28">
                  <c:v>2.980446205530192E-2</c:v>
                </c:pt>
                <c:pt idx="29">
                  <c:v>2.7938094007522899E-2</c:v>
                </c:pt>
                <c:pt idx="30">
                  <c:v>2.9316335027421255E-2</c:v>
                </c:pt>
                <c:pt idx="31">
                  <c:v>3.0895569529388118E-2</c:v>
                </c:pt>
                <c:pt idx="32">
                  <c:v>3.0522295919832312E-2</c:v>
                </c:pt>
                <c:pt idx="33">
                  <c:v>2.7076693370086426E-2</c:v>
                </c:pt>
                <c:pt idx="34">
                  <c:v>2.6416286214718466E-2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922648"/>
        <c:axId val="282084104"/>
      </c:barChart>
      <c:catAx>
        <c:axId val="464922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84104"/>
        <c:crosses val="autoZero"/>
        <c:auto val="1"/>
        <c:lblAlgn val="ctr"/>
        <c:lblOffset val="100"/>
        <c:noMultiLvlLbl val="0"/>
      </c:catAx>
      <c:valAx>
        <c:axId val="28208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22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[HashAggregate.xlsx]CSCTable!PivotTable3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CSC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CSCTable!$B$3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CSCTable!$A$4:$A$39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CSCTable!$B$4:$B$39</c:f>
              <c:numCache>
                <c:formatCode>0.00%</c:formatCode>
                <c:ptCount val="35"/>
                <c:pt idx="0">
                  <c:v>0.72979413706968332</c:v>
                </c:pt>
                <c:pt idx="1">
                  <c:v>8.7283585517815617E-3</c:v>
                </c:pt>
                <c:pt idx="2">
                  <c:v>6.6036923253610493E-3</c:v>
                </c:pt>
                <c:pt idx="3">
                  <c:v>9.7332682534669382E-3</c:v>
                </c:pt>
                <c:pt idx="4">
                  <c:v>7.7234488500961844E-3</c:v>
                </c:pt>
                <c:pt idx="5">
                  <c:v>7.6660254385713059E-3</c:v>
                </c:pt>
                <c:pt idx="6">
                  <c:v>5.6849177409629909E-3</c:v>
                </c:pt>
                <c:pt idx="7">
                  <c:v>8.6422234344942436E-3</c:v>
                </c:pt>
                <c:pt idx="8">
                  <c:v>7.378908380946912E-3</c:v>
                </c:pt>
                <c:pt idx="9">
                  <c:v>8.3263946711074101E-3</c:v>
                </c:pt>
                <c:pt idx="10">
                  <c:v>7.3214849694220336E-3</c:v>
                </c:pt>
                <c:pt idx="11">
                  <c:v>9.7332682534669382E-3</c:v>
                </c:pt>
                <c:pt idx="12">
                  <c:v>6.6036923253610493E-3</c:v>
                </c:pt>
                <c:pt idx="13">
                  <c:v>1.0077808722616211E-2</c:v>
                </c:pt>
                <c:pt idx="14">
                  <c:v>7.3501966751844724E-3</c:v>
                </c:pt>
                <c:pt idx="15">
                  <c:v>8.8144936690688798E-3</c:v>
                </c:pt>
                <c:pt idx="16">
                  <c:v>7.4650434982342301E-3</c:v>
                </c:pt>
                <c:pt idx="17">
                  <c:v>9.560998018892302E-3</c:v>
                </c:pt>
                <c:pt idx="18">
                  <c:v>7.4937552039966698E-3</c:v>
                </c:pt>
                <c:pt idx="19">
                  <c:v>9.273880961267909E-3</c:v>
                </c:pt>
                <c:pt idx="20">
                  <c:v>6.431422090786414E-3</c:v>
                </c:pt>
                <c:pt idx="21">
                  <c:v>9.5322863131298632E-3</c:v>
                </c:pt>
                <c:pt idx="22">
                  <c:v>7.8957190846708197E-3</c:v>
                </c:pt>
                <c:pt idx="23">
                  <c:v>9.8768267822791356E-3</c:v>
                </c:pt>
                <c:pt idx="24">
                  <c:v>7.7521605558586231E-3</c:v>
                </c:pt>
                <c:pt idx="25">
                  <c:v>9.4461511958425452E-3</c:v>
                </c:pt>
                <c:pt idx="26">
                  <c:v>6.1443050331620201E-3</c:v>
                </c:pt>
                <c:pt idx="27">
                  <c:v>7.1492147348473974E-3</c:v>
                </c:pt>
                <c:pt idx="28">
                  <c:v>6.9195210887478828E-3</c:v>
                </c:pt>
                <c:pt idx="29">
                  <c:v>8.6709351402566824E-3</c:v>
                </c:pt>
                <c:pt idx="30">
                  <c:v>6.9195210887478828E-3</c:v>
                </c:pt>
                <c:pt idx="31">
                  <c:v>7.2927732636595939E-3</c:v>
                </c:pt>
                <c:pt idx="32">
                  <c:v>7.6373137328088663E-3</c:v>
                </c:pt>
                <c:pt idx="33">
                  <c:v>7.4650434982342301E-3</c:v>
                </c:pt>
                <c:pt idx="34">
                  <c:v>6.8908093829854432E-3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1792408"/>
        <c:axId val="561984648"/>
      </c:barChart>
      <c:catAx>
        <c:axId val="261792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984648"/>
        <c:crosses val="autoZero"/>
        <c:auto val="1"/>
        <c:lblAlgn val="ctr"/>
        <c:lblOffset val="100"/>
        <c:noMultiLvlLbl val="0"/>
      </c:catAx>
      <c:valAx>
        <c:axId val="56198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792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[HashAggregate.xlsx]UCSCTable!PivotTable3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CSC Hash Uniformity Distribution</a:t>
            </a:r>
          </a:p>
          <a:p>
            <a:pPr>
              <a:defRPr/>
            </a:pPr>
            <a:r>
              <a:rPr lang="en-GB" sz="1100" b="0" i="0" baseline="0">
                <a:effectLst/>
              </a:rPr>
              <a:t>with Unsigned Right Shift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UCSCTable!$B$3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UCSCTable!$A$4:$A$39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UCSCTable!$B$4:$B$39</c:f>
              <c:numCache>
                <c:formatCode>0.00%</c:formatCode>
                <c:ptCount val="35"/>
                <c:pt idx="0">
                  <c:v>2.851154243711956E-2</c:v>
                </c:pt>
                <c:pt idx="1">
                  <c:v>2.8166992075341679E-2</c:v>
                </c:pt>
                <c:pt idx="2">
                  <c:v>2.7449178821637762E-2</c:v>
                </c:pt>
                <c:pt idx="3">
                  <c:v>2.9861031354082922E-2</c:v>
                </c:pt>
                <c:pt idx="4">
                  <c:v>2.7506603881934075E-2</c:v>
                </c:pt>
                <c:pt idx="5">
                  <c:v>2.8052141954749053E-2</c:v>
                </c:pt>
                <c:pt idx="6">
                  <c:v>2.7707591592971172E-2</c:v>
                </c:pt>
                <c:pt idx="7">
                  <c:v>2.943034340186057E-2</c:v>
                </c:pt>
                <c:pt idx="8">
                  <c:v>2.8052141954749053E-2</c:v>
                </c:pt>
                <c:pt idx="9">
                  <c:v>2.8999655449638222E-2</c:v>
                </c:pt>
                <c:pt idx="10">
                  <c:v>2.7334328701045137E-2</c:v>
                </c:pt>
                <c:pt idx="11">
                  <c:v>3.1669920753416791E-2</c:v>
                </c:pt>
                <c:pt idx="12">
                  <c:v>2.7707591592971172E-2</c:v>
                </c:pt>
                <c:pt idx="13">
                  <c:v>3.0205581715860803E-2</c:v>
                </c:pt>
                <c:pt idx="14">
                  <c:v>2.7219478580452511E-2</c:v>
                </c:pt>
                <c:pt idx="15">
                  <c:v>3.0492707017342368E-2</c:v>
                </c:pt>
                <c:pt idx="16">
                  <c:v>2.9229355690823477E-2</c:v>
                </c:pt>
                <c:pt idx="17">
                  <c:v>3.0349144366601584E-2</c:v>
                </c:pt>
                <c:pt idx="18">
                  <c:v>2.7075915929711727E-2</c:v>
                </c:pt>
                <c:pt idx="19">
                  <c:v>3.1210520271046285E-2</c:v>
                </c:pt>
                <c:pt idx="20">
                  <c:v>2.8913517859193751E-2</c:v>
                </c:pt>
                <c:pt idx="21">
                  <c:v>2.9975881474675548E-2</c:v>
                </c:pt>
                <c:pt idx="22">
                  <c:v>2.7248191110600666E-2</c:v>
                </c:pt>
                <c:pt idx="23">
                  <c:v>2.9803606293786609E-2</c:v>
                </c:pt>
                <c:pt idx="24">
                  <c:v>2.8482829906971402E-2</c:v>
                </c:pt>
                <c:pt idx="25">
                  <c:v>2.8856092798897438E-2</c:v>
                </c:pt>
                <c:pt idx="26">
                  <c:v>2.635810267600781E-2</c:v>
                </c:pt>
                <c:pt idx="27">
                  <c:v>2.7190766050304353E-2</c:v>
                </c:pt>
                <c:pt idx="28">
                  <c:v>2.8712530148156657E-2</c:v>
                </c:pt>
                <c:pt idx="29">
                  <c:v>2.9631331112897667E-2</c:v>
                </c:pt>
                <c:pt idx="30">
                  <c:v>2.9975881474675548E-2</c:v>
                </c:pt>
                <c:pt idx="31">
                  <c:v>2.825312966578615E-2</c:v>
                </c:pt>
                <c:pt idx="32">
                  <c:v>2.9057080509934535E-2</c:v>
                </c:pt>
                <c:pt idx="33">
                  <c:v>2.7851154243711956E-2</c:v>
                </c:pt>
                <c:pt idx="34">
                  <c:v>2.3458137131043989E-2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990136"/>
        <c:axId val="561987784"/>
      </c:barChart>
      <c:catAx>
        <c:axId val="56199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987784"/>
        <c:crosses val="autoZero"/>
        <c:auto val="1"/>
        <c:lblAlgn val="ctr"/>
        <c:lblOffset val="100"/>
        <c:noMultiLvlLbl val="0"/>
      </c:catAx>
      <c:valAx>
        <c:axId val="56198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990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Thomson</dc:creator>
  <cp:keywords/>
  <dc:description/>
  <cp:lastModifiedBy>Nicholas Thomson</cp:lastModifiedBy>
  <cp:revision>4</cp:revision>
  <cp:lastPrinted>2016-03-03T00:29:00Z</cp:lastPrinted>
  <dcterms:created xsi:type="dcterms:W3CDTF">2016-03-02T22:49:00Z</dcterms:created>
  <dcterms:modified xsi:type="dcterms:W3CDTF">2016-03-03T00:31:00Z</dcterms:modified>
</cp:coreProperties>
</file>