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DBD8B" w14:textId="77777777" w:rsidR="004E2E2D" w:rsidRDefault="004E2E2D" w:rsidP="004E2E2D">
      <w:pPr>
        <w:spacing w:line="360" w:lineRule="auto"/>
        <w:ind w:left="993"/>
        <w:jc w:val="center"/>
        <w:rPr>
          <w:b/>
          <w:bCs/>
          <w:u w:val="single"/>
        </w:rPr>
      </w:pPr>
      <w:r>
        <w:rPr>
          <w:b/>
          <w:bCs/>
          <w:u w:val="single"/>
        </w:rPr>
        <w:t>INSTRUÇÃO DE PREÇO DO PRESENTE CERTAME</w:t>
      </w:r>
    </w:p>
    <w:p w14:paraId="289D528B" w14:textId="77777777" w:rsidR="004E2E2D" w:rsidRDefault="004E2E2D" w:rsidP="004E2E2D">
      <w:pPr>
        <w:spacing w:line="360" w:lineRule="auto"/>
        <w:ind w:left="993"/>
      </w:pPr>
    </w:p>
    <w:p w14:paraId="36745831" w14:textId="77777777" w:rsidR="004E2E2D" w:rsidRDefault="004E2E2D" w:rsidP="004E2E2D">
      <w:pPr>
        <w:spacing w:line="360" w:lineRule="auto"/>
        <w:ind w:left="993" w:firstLine="1842"/>
        <w:jc w:val="both"/>
      </w:pPr>
      <w:r>
        <w:t>De forma objetiva, em razão do período pandêmico caracterizado pelo COVID-19, e todos os efeitos decorrentes de tal situação, de modo especial seguindo as orientações quanto as restrições de deslocamentos de pessoas,</w:t>
      </w:r>
      <w:r>
        <w:rPr>
          <w:color w:val="C9211E"/>
        </w:rPr>
        <w:t xml:space="preserve"> </w:t>
      </w:r>
      <w:r>
        <w:rPr>
          <w:color w:val="000000"/>
        </w:rPr>
        <w:t>e também baseado na realidade quanto ao retorno de somente uma solicitação de orçamento apesar de enviados para várias empresas,</w:t>
      </w:r>
      <w:r>
        <w:rPr>
          <w:color w:val="C9211E"/>
        </w:rPr>
        <w:t xml:space="preserve"> </w:t>
      </w:r>
      <w:r>
        <w:t xml:space="preserve">destacamos que os preços do presente certame tiveram como base contratações similares formalizadas por outros órgãos da administração pública de nosso estado. Conforme critérios definidos na PORTARIA Nº 804, DE 13 DE NOVEMBRO DE 2018 expedida pelo Ministério da Justiça, de modo especial no inciso II do artigo 2º, e a recente INSTRUÇÃO NORMATIVA Nº 73, DE 5 DE AGOSTO DE 2020, cujos dispositivos indicam como parâmetro de pesquisa, a busca de contratações similares de outros entes públicos. </w:t>
      </w:r>
    </w:p>
    <w:p w14:paraId="28682466" w14:textId="77777777" w:rsidR="004E2E2D" w:rsidRDefault="004E2E2D" w:rsidP="004E2E2D">
      <w:pPr>
        <w:spacing w:line="360" w:lineRule="auto"/>
        <w:ind w:left="993" w:firstLine="1842"/>
        <w:jc w:val="both"/>
        <w:rPr>
          <w:sz w:val="20"/>
          <w:szCs w:val="20"/>
        </w:rPr>
      </w:pPr>
    </w:p>
    <w:p w14:paraId="3E49134E" w14:textId="77777777" w:rsidR="004E2E2D" w:rsidRDefault="004E2E2D" w:rsidP="004E2E2D">
      <w:pPr>
        <w:spacing w:line="360" w:lineRule="auto"/>
        <w:ind w:left="2694"/>
        <w:jc w:val="both"/>
        <w:rPr>
          <w:b/>
          <w:bCs/>
          <w:sz w:val="20"/>
          <w:szCs w:val="20"/>
        </w:rPr>
      </w:pPr>
      <w:r>
        <w:rPr>
          <w:b/>
          <w:bCs/>
          <w:sz w:val="20"/>
          <w:szCs w:val="20"/>
        </w:rPr>
        <w:t>Art. 2° A pesquisa de preços será realizada em observância às orientações contidas nos Anexos I, II e III desta Portaria e mediante a utilização dos seguintes parâmetros:</w:t>
      </w:r>
    </w:p>
    <w:p w14:paraId="14765E4C" w14:textId="77777777" w:rsidR="004E2E2D" w:rsidRDefault="004E2E2D" w:rsidP="004E2E2D">
      <w:pPr>
        <w:pStyle w:val="PargrafodaLista"/>
        <w:numPr>
          <w:ilvl w:val="0"/>
          <w:numId w:val="1"/>
        </w:numPr>
        <w:tabs>
          <w:tab w:val="clear" w:pos="720"/>
          <w:tab w:val="left" w:pos="1099"/>
          <w:tab w:val="left" w:pos="3686"/>
        </w:tabs>
        <w:spacing w:before="97" w:line="319" w:lineRule="auto"/>
        <w:ind w:left="2694" w:right="119" w:firstLine="874"/>
        <w:rPr>
          <w:sz w:val="20"/>
          <w:szCs w:val="20"/>
        </w:rPr>
      </w:pPr>
      <w:r>
        <w:rPr>
          <w:b/>
          <w:bCs/>
          <w:w w:val="110"/>
          <w:sz w:val="20"/>
          <w:szCs w:val="20"/>
        </w:rPr>
        <w:t xml:space="preserve">- </w:t>
      </w:r>
      <w:r>
        <w:rPr>
          <w:w w:val="110"/>
          <w:sz w:val="20"/>
          <w:szCs w:val="20"/>
        </w:rPr>
        <w:t>painel de preços ou outra ferramenta que venha a ser disponibilizada pelo órgão central</w:t>
      </w:r>
      <w:r>
        <w:rPr>
          <w:spacing w:val="-34"/>
          <w:w w:val="110"/>
          <w:sz w:val="20"/>
          <w:szCs w:val="20"/>
        </w:rPr>
        <w:t xml:space="preserve"> </w:t>
      </w:r>
      <w:r>
        <w:rPr>
          <w:w w:val="110"/>
          <w:sz w:val="20"/>
          <w:szCs w:val="20"/>
        </w:rPr>
        <w:t xml:space="preserve">do </w:t>
      </w:r>
      <w:r>
        <w:rPr>
          <w:w w:val="130"/>
          <w:sz w:val="20"/>
          <w:szCs w:val="20"/>
        </w:rPr>
        <w:t>S</w:t>
      </w:r>
      <w:r>
        <w:rPr>
          <w:spacing w:val="-1"/>
          <w:w w:val="82"/>
          <w:sz w:val="20"/>
          <w:szCs w:val="20"/>
        </w:rPr>
        <w:t>i</w:t>
      </w:r>
      <w:r>
        <w:rPr>
          <w:w w:val="125"/>
          <w:sz w:val="20"/>
          <w:szCs w:val="20"/>
        </w:rPr>
        <w:t>s</w:t>
      </w:r>
      <w:r>
        <w:rPr>
          <w:spacing w:val="-2"/>
          <w:w w:val="91"/>
          <w:sz w:val="20"/>
          <w:szCs w:val="20"/>
        </w:rPr>
        <w:t>t</w:t>
      </w:r>
      <w:r>
        <w:rPr>
          <w:w w:val="111"/>
          <w:sz w:val="20"/>
          <w:szCs w:val="20"/>
        </w:rPr>
        <w:t>e</w:t>
      </w:r>
      <w:r>
        <w:rPr>
          <w:w w:val="114"/>
          <w:sz w:val="20"/>
          <w:szCs w:val="20"/>
        </w:rPr>
        <w:t>m</w:t>
      </w:r>
      <w:r>
        <w:rPr>
          <w:w w:val="108"/>
          <w:sz w:val="20"/>
          <w:szCs w:val="20"/>
        </w:rPr>
        <w:t>a</w:t>
      </w:r>
      <w:r>
        <w:rPr>
          <w:sz w:val="20"/>
          <w:szCs w:val="20"/>
        </w:rPr>
        <w:t xml:space="preserve"> </w:t>
      </w:r>
      <w:r>
        <w:rPr>
          <w:spacing w:val="-14"/>
          <w:sz w:val="20"/>
          <w:szCs w:val="20"/>
        </w:rPr>
        <w:t xml:space="preserve"> </w:t>
      </w:r>
      <w:r>
        <w:rPr>
          <w:w w:val="116"/>
          <w:sz w:val="20"/>
          <w:szCs w:val="20"/>
        </w:rPr>
        <w:t>d</w:t>
      </w:r>
      <w:r>
        <w:rPr>
          <w:w w:val="111"/>
          <w:sz w:val="20"/>
          <w:szCs w:val="20"/>
        </w:rPr>
        <w:t>e</w:t>
      </w:r>
      <w:r>
        <w:rPr>
          <w:sz w:val="20"/>
          <w:szCs w:val="20"/>
        </w:rPr>
        <w:t xml:space="preserve"> </w:t>
      </w:r>
      <w:r>
        <w:rPr>
          <w:spacing w:val="-14"/>
          <w:sz w:val="20"/>
          <w:szCs w:val="20"/>
        </w:rPr>
        <w:t xml:space="preserve"> </w:t>
      </w:r>
      <w:r>
        <w:rPr>
          <w:w w:val="130"/>
          <w:sz w:val="20"/>
          <w:szCs w:val="20"/>
        </w:rPr>
        <w:t>S</w:t>
      </w:r>
      <w:r>
        <w:rPr>
          <w:w w:val="111"/>
          <w:sz w:val="20"/>
          <w:szCs w:val="20"/>
        </w:rPr>
        <w:t>e</w:t>
      </w:r>
      <w:r>
        <w:rPr>
          <w:w w:val="96"/>
          <w:sz w:val="20"/>
          <w:szCs w:val="20"/>
        </w:rPr>
        <w:t>r</w:t>
      </w:r>
      <w:r>
        <w:rPr>
          <w:w w:val="112"/>
          <w:sz w:val="20"/>
          <w:szCs w:val="20"/>
        </w:rPr>
        <w:t>v</w:t>
      </w:r>
      <w:r>
        <w:rPr>
          <w:spacing w:val="-1"/>
          <w:w w:val="82"/>
          <w:sz w:val="20"/>
          <w:szCs w:val="20"/>
        </w:rPr>
        <w:t>i</w:t>
      </w:r>
      <w:r>
        <w:rPr>
          <w:spacing w:val="-1"/>
          <w:w w:val="115"/>
          <w:sz w:val="20"/>
          <w:szCs w:val="20"/>
        </w:rPr>
        <w:t>ç</w:t>
      </w:r>
      <w:r>
        <w:rPr>
          <w:w w:val="114"/>
          <w:sz w:val="20"/>
          <w:szCs w:val="20"/>
        </w:rPr>
        <w:t>o</w:t>
      </w:r>
      <w:r>
        <w:rPr>
          <w:w w:val="125"/>
          <w:sz w:val="20"/>
          <w:szCs w:val="20"/>
        </w:rPr>
        <w:t>s</w:t>
      </w:r>
      <w:r>
        <w:rPr>
          <w:sz w:val="20"/>
          <w:szCs w:val="20"/>
        </w:rPr>
        <w:t xml:space="preserve"> </w:t>
      </w:r>
      <w:r>
        <w:rPr>
          <w:spacing w:val="-14"/>
          <w:sz w:val="20"/>
          <w:szCs w:val="20"/>
        </w:rPr>
        <w:t xml:space="preserve"> </w:t>
      </w:r>
      <w:r>
        <w:rPr>
          <w:spacing w:val="-1"/>
          <w:w w:val="108"/>
          <w:sz w:val="20"/>
          <w:szCs w:val="20"/>
        </w:rPr>
        <w:t>G</w:t>
      </w:r>
      <w:r>
        <w:rPr>
          <w:w w:val="111"/>
          <w:sz w:val="20"/>
          <w:szCs w:val="20"/>
        </w:rPr>
        <w:t>e</w:t>
      </w:r>
      <w:r>
        <w:rPr>
          <w:w w:val="96"/>
          <w:sz w:val="20"/>
          <w:szCs w:val="20"/>
        </w:rPr>
        <w:t>r</w:t>
      </w:r>
      <w:r>
        <w:rPr>
          <w:spacing w:val="-1"/>
          <w:w w:val="108"/>
          <w:sz w:val="20"/>
          <w:szCs w:val="20"/>
        </w:rPr>
        <w:t>a</w:t>
      </w:r>
      <w:r>
        <w:rPr>
          <w:spacing w:val="-1"/>
          <w:w w:val="82"/>
          <w:sz w:val="20"/>
          <w:szCs w:val="20"/>
        </w:rPr>
        <w:t>i</w:t>
      </w:r>
      <w:r>
        <w:rPr>
          <w:w w:val="125"/>
          <w:sz w:val="20"/>
          <w:szCs w:val="20"/>
        </w:rPr>
        <w:t>s</w:t>
      </w:r>
      <w:r>
        <w:rPr>
          <w:sz w:val="20"/>
          <w:szCs w:val="20"/>
        </w:rPr>
        <w:t xml:space="preserve"> </w:t>
      </w:r>
      <w:r>
        <w:rPr>
          <w:spacing w:val="-14"/>
          <w:sz w:val="20"/>
          <w:szCs w:val="20"/>
        </w:rPr>
        <w:t xml:space="preserve"> </w:t>
      </w:r>
      <w:r>
        <w:rPr>
          <w:w w:val="118"/>
          <w:sz w:val="20"/>
          <w:szCs w:val="20"/>
        </w:rPr>
        <w:t>-</w:t>
      </w:r>
      <w:r>
        <w:rPr>
          <w:sz w:val="20"/>
          <w:szCs w:val="20"/>
        </w:rPr>
        <w:t xml:space="preserve"> </w:t>
      </w:r>
      <w:r>
        <w:rPr>
          <w:spacing w:val="-14"/>
          <w:sz w:val="20"/>
          <w:szCs w:val="20"/>
        </w:rPr>
        <w:t xml:space="preserve"> </w:t>
      </w:r>
      <w:r>
        <w:rPr>
          <w:w w:val="130"/>
          <w:sz w:val="20"/>
          <w:szCs w:val="20"/>
        </w:rPr>
        <w:t>S</w:t>
      </w:r>
      <w:r>
        <w:rPr>
          <w:spacing w:val="-1"/>
          <w:w w:val="96"/>
          <w:sz w:val="20"/>
          <w:szCs w:val="20"/>
        </w:rPr>
        <w:t>I</w:t>
      </w:r>
      <w:r>
        <w:rPr>
          <w:w w:val="130"/>
          <w:sz w:val="20"/>
          <w:szCs w:val="20"/>
        </w:rPr>
        <w:t>S</w:t>
      </w:r>
      <w:r>
        <w:rPr>
          <w:w w:val="108"/>
          <w:sz w:val="20"/>
          <w:szCs w:val="20"/>
        </w:rPr>
        <w:t>G</w:t>
      </w:r>
      <w:r>
        <w:rPr>
          <w:sz w:val="20"/>
          <w:szCs w:val="20"/>
        </w:rPr>
        <w:t xml:space="preserve"> </w:t>
      </w:r>
      <w:r>
        <w:rPr>
          <w:spacing w:val="-14"/>
          <w:sz w:val="20"/>
          <w:szCs w:val="20"/>
        </w:rPr>
        <w:t xml:space="preserve"> </w:t>
      </w:r>
      <w:r>
        <w:rPr>
          <w:w w:val="114"/>
          <w:sz w:val="20"/>
          <w:szCs w:val="20"/>
        </w:rPr>
        <w:t>p</w:t>
      </w:r>
      <w:r>
        <w:rPr>
          <w:spacing w:val="-1"/>
          <w:w w:val="108"/>
          <w:sz w:val="20"/>
          <w:szCs w:val="20"/>
        </w:rPr>
        <w:t>a</w:t>
      </w:r>
      <w:r>
        <w:rPr>
          <w:w w:val="96"/>
          <w:sz w:val="20"/>
          <w:szCs w:val="20"/>
        </w:rPr>
        <w:t>r</w:t>
      </w:r>
      <w:r>
        <w:rPr>
          <w:w w:val="108"/>
          <w:sz w:val="20"/>
          <w:szCs w:val="20"/>
        </w:rPr>
        <w:t>a</w:t>
      </w:r>
      <w:r>
        <w:rPr>
          <w:sz w:val="20"/>
          <w:szCs w:val="20"/>
        </w:rPr>
        <w:t xml:space="preserve"> </w:t>
      </w:r>
      <w:r>
        <w:rPr>
          <w:spacing w:val="-14"/>
          <w:sz w:val="20"/>
          <w:szCs w:val="20"/>
        </w:rPr>
        <w:t xml:space="preserve"> </w:t>
      </w:r>
      <w:r>
        <w:rPr>
          <w:w w:val="114"/>
          <w:sz w:val="20"/>
          <w:szCs w:val="20"/>
        </w:rPr>
        <w:t>p</w:t>
      </w:r>
      <w:r>
        <w:rPr>
          <w:w w:val="111"/>
          <w:sz w:val="20"/>
          <w:szCs w:val="20"/>
        </w:rPr>
        <w:t>e</w:t>
      </w:r>
      <w:r>
        <w:rPr>
          <w:w w:val="125"/>
          <w:sz w:val="20"/>
          <w:szCs w:val="20"/>
        </w:rPr>
        <w:t>s</w:t>
      </w:r>
      <w:r>
        <w:rPr>
          <w:w w:val="114"/>
          <w:sz w:val="20"/>
          <w:szCs w:val="20"/>
        </w:rPr>
        <w:t>q</w:t>
      </w:r>
      <w:r>
        <w:rPr>
          <w:w w:val="113"/>
          <w:sz w:val="20"/>
          <w:szCs w:val="20"/>
        </w:rPr>
        <w:t>u</w:t>
      </w:r>
      <w:r>
        <w:rPr>
          <w:spacing w:val="-1"/>
          <w:w w:val="82"/>
          <w:sz w:val="20"/>
          <w:szCs w:val="20"/>
        </w:rPr>
        <w:t>i</w:t>
      </w:r>
      <w:r>
        <w:rPr>
          <w:w w:val="125"/>
          <w:sz w:val="20"/>
          <w:szCs w:val="20"/>
        </w:rPr>
        <w:t>s</w:t>
      </w:r>
      <w:r>
        <w:rPr>
          <w:spacing w:val="-1"/>
          <w:w w:val="108"/>
          <w:sz w:val="20"/>
          <w:szCs w:val="20"/>
        </w:rPr>
        <w:t>a</w:t>
      </w:r>
      <w:r>
        <w:rPr>
          <w:w w:val="59"/>
          <w:sz w:val="20"/>
          <w:szCs w:val="20"/>
        </w:rPr>
        <w:t>,</w:t>
      </w:r>
      <w:r>
        <w:rPr>
          <w:sz w:val="20"/>
          <w:szCs w:val="20"/>
        </w:rPr>
        <w:t xml:space="preserve"> </w:t>
      </w:r>
      <w:r>
        <w:rPr>
          <w:spacing w:val="-14"/>
          <w:sz w:val="20"/>
          <w:szCs w:val="20"/>
        </w:rPr>
        <w:t xml:space="preserve"> </w:t>
      </w:r>
      <w:r>
        <w:rPr>
          <w:spacing w:val="-1"/>
          <w:w w:val="108"/>
          <w:sz w:val="20"/>
          <w:szCs w:val="20"/>
        </w:rPr>
        <w:t>a</w:t>
      </w:r>
      <w:r>
        <w:rPr>
          <w:w w:val="111"/>
          <w:sz w:val="20"/>
          <w:szCs w:val="20"/>
        </w:rPr>
        <w:t>n</w:t>
      </w:r>
      <w:r>
        <w:rPr>
          <w:spacing w:val="-1"/>
          <w:w w:val="108"/>
          <w:sz w:val="20"/>
          <w:szCs w:val="20"/>
        </w:rPr>
        <w:t>á</w:t>
      </w:r>
      <w:r>
        <w:rPr>
          <w:w w:val="99"/>
          <w:sz w:val="20"/>
          <w:szCs w:val="20"/>
        </w:rPr>
        <w:t>l</w:t>
      </w:r>
      <w:r>
        <w:rPr>
          <w:spacing w:val="-1"/>
          <w:w w:val="82"/>
          <w:sz w:val="20"/>
          <w:szCs w:val="20"/>
        </w:rPr>
        <w:t>i</w:t>
      </w:r>
      <w:r>
        <w:rPr>
          <w:w w:val="125"/>
          <w:sz w:val="20"/>
          <w:szCs w:val="20"/>
        </w:rPr>
        <w:t>s</w:t>
      </w:r>
      <w:r>
        <w:rPr>
          <w:w w:val="111"/>
          <w:sz w:val="20"/>
          <w:szCs w:val="20"/>
        </w:rPr>
        <w:t>e</w:t>
      </w:r>
      <w:r>
        <w:rPr>
          <w:sz w:val="20"/>
          <w:szCs w:val="20"/>
        </w:rPr>
        <w:t xml:space="preserve"> </w:t>
      </w:r>
      <w:r>
        <w:rPr>
          <w:spacing w:val="-14"/>
          <w:sz w:val="20"/>
          <w:szCs w:val="20"/>
        </w:rPr>
        <w:t xml:space="preserve"> </w:t>
      </w:r>
      <w:r>
        <w:rPr>
          <w:w w:val="111"/>
          <w:sz w:val="20"/>
          <w:szCs w:val="20"/>
        </w:rPr>
        <w:t>e</w:t>
      </w:r>
      <w:r>
        <w:rPr>
          <w:sz w:val="20"/>
          <w:szCs w:val="20"/>
        </w:rPr>
        <w:t xml:space="preserve"> </w:t>
      </w:r>
      <w:r>
        <w:rPr>
          <w:spacing w:val="-14"/>
          <w:sz w:val="20"/>
          <w:szCs w:val="20"/>
        </w:rPr>
        <w:t xml:space="preserve"> </w:t>
      </w:r>
      <w:r>
        <w:rPr>
          <w:spacing w:val="-1"/>
          <w:w w:val="115"/>
          <w:sz w:val="20"/>
          <w:szCs w:val="20"/>
        </w:rPr>
        <w:t>c</w:t>
      </w:r>
      <w:r>
        <w:rPr>
          <w:w w:val="114"/>
          <w:sz w:val="20"/>
          <w:szCs w:val="20"/>
        </w:rPr>
        <w:t>omp</w:t>
      </w:r>
      <w:r>
        <w:rPr>
          <w:spacing w:val="-1"/>
          <w:w w:val="108"/>
          <w:sz w:val="20"/>
          <w:szCs w:val="20"/>
        </w:rPr>
        <w:t>a</w:t>
      </w:r>
      <w:r>
        <w:rPr>
          <w:w w:val="96"/>
          <w:sz w:val="20"/>
          <w:szCs w:val="20"/>
        </w:rPr>
        <w:t>r</w:t>
      </w:r>
      <w:r>
        <w:rPr>
          <w:spacing w:val="-1"/>
          <w:w w:val="108"/>
          <w:sz w:val="20"/>
          <w:szCs w:val="20"/>
        </w:rPr>
        <w:t>a</w:t>
      </w:r>
      <w:r>
        <w:rPr>
          <w:spacing w:val="-1"/>
          <w:w w:val="115"/>
          <w:sz w:val="20"/>
          <w:szCs w:val="20"/>
        </w:rPr>
        <w:t>ç</w:t>
      </w:r>
      <w:r>
        <w:rPr>
          <w:spacing w:val="-1"/>
          <w:w w:val="108"/>
          <w:sz w:val="20"/>
          <w:szCs w:val="20"/>
        </w:rPr>
        <w:t>ã</w:t>
      </w:r>
      <w:r>
        <w:rPr>
          <w:w w:val="114"/>
          <w:sz w:val="20"/>
          <w:szCs w:val="20"/>
        </w:rPr>
        <w:t>o</w:t>
      </w:r>
      <w:r>
        <w:rPr>
          <w:sz w:val="20"/>
          <w:szCs w:val="20"/>
        </w:rPr>
        <w:t xml:space="preserve"> </w:t>
      </w:r>
      <w:r>
        <w:rPr>
          <w:spacing w:val="-14"/>
          <w:sz w:val="20"/>
          <w:szCs w:val="20"/>
        </w:rPr>
        <w:t xml:space="preserve"> </w:t>
      </w:r>
      <w:r>
        <w:rPr>
          <w:w w:val="116"/>
          <w:sz w:val="20"/>
          <w:szCs w:val="20"/>
        </w:rPr>
        <w:t>d</w:t>
      </w:r>
      <w:r>
        <w:rPr>
          <w:w w:val="111"/>
          <w:sz w:val="20"/>
          <w:szCs w:val="20"/>
        </w:rPr>
        <w:t>e</w:t>
      </w:r>
      <w:r>
        <w:rPr>
          <w:sz w:val="20"/>
          <w:szCs w:val="20"/>
        </w:rPr>
        <w:t xml:space="preserve"> </w:t>
      </w:r>
      <w:r>
        <w:rPr>
          <w:spacing w:val="-14"/>
          <w:sz w:val="20"/>
          <w:szCs w:val="20"/>
        </w:rPr>
        <w:t xml:space="preserve"> </w:t>
      </w:r>
      <w:r>
        <w:rPr>
          <w:w w:val="116"/>
          <w:sz w:val="20"/>
          <w:szCs w:val="20"/>
        </w:rPr>
        <w:t>d</w:t>
      </w:r>
      <w:r>
        <w:rPr>
          <w:spacing w:val="-1"/>
          <w:w w:val="108"/>
          <w:sz w:val="20"/>
          <w:szCs w:val="20"/>
        </w:rPr>
        <w:t>a</w:t>
      </w:r>
      <w:r>
        <w:rPr>
          <w:w w:val="116"/>
          <w:sz w:val="20"/>
          <w:szCs w:val="20"/>
        </w:rPr>
        <w:t>d</w:t>
      </w:r>
      <w:r>
        <w:rPr>
          <w:w w:val="114"/>
          <w:sz w:val="20"/>
          <w:szCs w:val="20"/>
        </w:rPr>
        <w:t>o</w:t>
      </w:r>
      <w:r>
        <w:rPr>
          <w:w w:val="125"/>
          <w:sz w:val="20"/>
          <w:szCs w:val="20"/>
        </w:rPr>
        <w:t>s</w:t>
      </w:r>
      <w:r>
        <w:rPr>
          <w:sz w:val="20"/>
          <w:szCs w:val="20"/>
        </w:rPr>
        <w:t xml:space="preserve"> </w:t>
      </w:r>
      <w:r>
        <w:rPr>
          <w:spacing w:val="-14"/>
          <w:sz w:val="20"/>
          <w:szCs w:val="20"/>
        </w:rPr>
        <w:t xml:space="preserve"> </w:t>
      </w:r>
      <w:r>
        <w:rPr>
          <w:w w:val="111"/>
          <w:sz w:val="20"/>
          <w:szCs w:val="20"/>
        </w:rPr>
        <w:t>e</w:t>
      </w:r>
      <w:r>
        <w:rPr>
          <w:sz w:val="20"/>
          <w:szCs w:val="20"/>
        </w:rPr>
        <w:t xml:space="preserve"> </w:t>
      </w:r>
      <w:r>
        <w:rPr>
          <w:spacing w:val="-14"/>
          <w:sz w:val="20"/>
          <w:szCs w:val="20"/>
        </w:rPr>
        <w:t xml:space="preserve"> </w:t>
      </w:r>
      <w:r>
        <w:rPr>
          <w:spacing w:val="-1"/>
          <w:w w:val="82"/>
          <w:sz w:val="20"/>
          <w:szCs w:val="20"/>
        </w:rPr>
        <w:t>i</w:t>
      </w:r>
      <w:r>
        <w:rPr>
          <w:spacing w:val="-1"/>
          <w:w w:val="111"/>
          <w:sz w:val="20"/>
          <w:szCs w:val="20"/>
        </w:rPr>
        <w:t>n</w:t>
      </w:r>
      <w:r>
        <w:rPr>
          <w:spacing w:val="-3"/>
          <w:w w:val="95"/>
          <w:sz w:val="20"/>
          <w:szCs w:val="20"/>
        </w:rPr>
        <w:t>f</w:t>
      </w:r>
      <w:r>
        <w:rPr>
          <w:w w:val="114"/>
          <w:sz w:val="20"/>
          <w:szCs w:val="20"/>
        </w:rPr>
        <w:t>o</w:t>
      </w:r>
      <w:r>
        <w:rPr>
          <w:w w:val="96"/>
          <w:sz w:val="20"/>
          <w:szCs w:val="20"/>
        </w:rPr>
        <w:t>r</w:t>
      </w:r>
      <w:r>
        <w:rPr>
          <w:w w:val="114"/>
          <w:sz w:val="20"/>
          <w:szCs w:val="20"/>
        </w:rPr>
        <w:t>m</w:t>
      </w:r>
      <w:r>
        <w:rPr>
          <w:spacing w:val="-1"/>
          <w:w w:val="108"/>
          <w:sz w:val="20"/>
          <w:szCs w:val="20"/>
        </w:rPr>
        <w:t>a</w:t>
      </w:r>
      <w:r>
        <w:rPr>
          <w:spacing w:val="-1"/>
          <w:w w:val="115"/>
          <w:sz w:val="20"/>
          <w:szCs w:val="20"/>
        </w:rPr>
        <w:t>ç</w:t>
      </w:r>
      <w:r>
        <w:rPr>
          <w:w w:val="114"/>
          <w:sz w:val="20"/>
          <w:szCs w:val="20"/>
        </w:rPr>
        <w:t>õ</w:t>
      </w:r>
      <w:r>
        <w:rPr>
          <w:w w:val="111"/>
          <w:sz w:val="20"/>
          <w:szCs w:val="20"/>
        </w:rPr>
        <w:t>e</w:t>
      </w:r>
      <w:r>
        <w:rPr>
          <w:w w:val="125"/>
          <w:sz w:val="20"/>
          <w:szCs w:val="20"/>
        </w:rPr>
        <w:t>s</w:t>
      </w:r>
      <w:r>
        <w:rPr>
          <w:sz w:val="20"/>
          <w:szCs w:val="20"/>
        </w:rPr>
        <w:t xml:space="preserve"> </w:t>
      </w:r>
      <w:r>
        <w:rPr>
          <w:spacing w:val="-14"/>
          <w:sz w:val="20"/>
          <w:szCs w:val="20"/>
        </w:rPr>
        <w:t xml:space="preserve"> </w:t>
      </w:r>
      <w:r>
        <w:rPr>
          <w:w w:val="116"/>
          <w:sz w:val="20"/>
          <w:szCs w:val="20"/>
        </w:rPr>
        <w:t>d</w:t>
      </w:r>
      <w:r>
        <w:rPr>
          <w:w w:val="111"/>
          <w:sz w:val="20"/>
          <w:szCs w:val="20"/>
        </w:rPr>
        <w:t xml:space="preserve">e </w:t>
      </w:r>
      <w:r>
        <w:rPr>
          <w:spacing w:val="-1"/>
          <w:w w:val="115"/>
          <w:sz w:val="20"/>
          <w:szCs w:val="20"/>
        </w:rPr>
        <w:t>c</w:t>
      </w:r>
      <w:r>
        <w:rPr>
          <w:w w:val="114"/>
          <w:sz w:val="20"/>
          <w:szCs w:val="20"/>
        </w:rPr>
        <w:t>omp</w:t>
      </w:r>
      <w:r>
        <w:rPr>
          <w:w w:val="96"/>
          <w:sz w:val="20"/>
          <w:szCs w:val="20"/>
        </w:rPr>
        <w:t>r</w:t>
      </w:r>
      <w:r>
        <w:rPr>
          <w:spacing w:val="-1"/>
          <w:w w:val="108"/>
          <w:sz w:val="20"/>
          <w:szCs w:val="20"/>
        </w:rPr>
        <w:t>a</w:t>
      </w:r>
      <w:r>
        <w:rPr>
          <w:w w:val="125"/>
          <w:sz w:val="20"/>
          <w:szCs w:val="20"/>
        </w:rPr>
        <w:t>s</w:t>
      </w:r>
      <w:r>
        <w:rPr>
          <w:spacing w:val="-7"/>
          <w:sz w:val="20"/>
          <w:szCs w:val="20"/>
        </w:rPr>
        <w:t xml:space="preserve"> </w:t>
      </w:r>
      <w:r>
        <w:rPr>
          <w:w w:val="114"/>
          <w:sz w:val="20"/>
          <w:szCs w:val="20"/>
        </w:rPr>
        <w:t>p</w:t>
      </w:r>
      <w:r>
        <w:rPr>
          <w:w w:val="113"/>
          <w:sz w:val="20"/>
          <w:szCs w:val="20"/>
        </w:rPr>
        <w:t>ú</w:t>
      </w:r>
      <w:r>
        <w:rPr>
          <w:w w:val="114"/>
          <w:sz w:val="20"/>
          <w:szCs w:val="20"/>
        </w:rPr>
        <w:t>b</w:t>
      </w:r>
      <w:r>
        <w:rPr>
          <w:w w:val="99"/>
          <w:sz w:val="20"/>
          <w:szCs w:val="20"/>
        </w:rPr>
        <w:t>l</w:t>
      </w:r>
      <w:r>
        <w:rPr>
          <w:spacing w:val="-1"/>
          <w:w w:val="82"/>
          <w:sz w:val="20"/>
          <w:szCs w:val="20"/>
        </w:rPr>
        <w:t>i</w:t>
      </w:r>
      <w:r>
        <w:rPr>
          <w:spacing w:val="-1"/>
          <w:w w:val="115"/>
          <w:sz w:val="20"/>
          <w:szCs w:val="20"/>
        </w:rPr>
        <w:t>c</w:t>
      </w:r>
      <w:r>
        <w:rPr>
          <w:spacing w:val="-1"/>
          <w:w w:val="108"/>
          <w:sz w:val="20"/>
          <w:szCs w:val="20"/>
        </w:rPr>
        <w:t>a</w:t>
      </w:r>
      <w:r>
        <w:rPr>
          <w:w w:val="125"/>
          <w:sz w:val="20"/>
          <w:szCs w:val="20"/>
        </w:rPr>
        <w:t>s</w:t>
      </w:r>
      <w:r>
        <w:rPr>
          <w:w w:val="61"/>
          <w:sz w:val="20"/>
          <w:szCs w:val="20"/>
        </w:rPr>
        <w:t>;</w:t>
      </w:r>
    </w:p>
    <w:p w14:paraId="1C0C3D9D" w14:textId="77777777" w:rsidR="004E2E2D" w:rsidRDefault="004E2E2D" w:rsidP="004E2E2D">
      <w:pPr>
        <w:pStyle w:val="PargrafodaLista"/>
        <w:numPr>
          <w:ilvl w:val="0"/>
          <w:numId w:val="1"/>
        </w:numPr>
        <w:tabs>
          <w:tab w:val="clear" w:pos="720"/>
          <w:tab w:val="left" w:pos="1155"/>
          <w:tab w:val="left" w:pos="3686"/>
        </w:tabs>
        <w:spacing w:before="97" w:line="319" w:lineRule="auto"/>
        <w:ind w:left="2694" w:right="119" w:firstLine="874"/>
        <w:rPr>
          <w:b/>
          <w:bCs/>
          <w:sz w:val="20"/>
          <w:szCs w:val="20"/>
        </w:rPr>
      </w:pPr>
      <w:r>
        <w:rPr>
          <w:b/>
          <w:bCs/>
          <w:w w:val="118"/>
          <w:sz w:val="20"/>
          <w:szCs w:val="20"/>
        </w:rPr>
        <w:t>-</w:t>
      </w:r>
      <w:r>
        <w:rPr>
          <w:b/>
          <w:bCs/>
          <w:spacing w:val="18"/>
          <w:sz w:val="20"/>
          <w:szCs w:val="20"/>
        </w:rPr>
        <w:t xml:space="preserve"> </w:t>
      </w:r>
      <w:r>
        <w:rPr>
          <w:b/>
          <w:bCs/>
          <w:sz w:val="20"/>
          <w:szCs w:val="20"/>
        </w:rPr>
        <w:t>contratações similares de outros entes públicos, em execução ou concluídos nos cento e oitenta dias anteriores à data da pesquisa de preços;</w:t>
      </w:r>
    </w:p>
    <w:p w14:paraId="1CA465C3" w14:textId="77777777" w:rsidR="004E2E2D" w:rsidRDefault="004E2E2D" w:rsidP="004E2E2D">
      <w:pPr>
        <w:pStyle w:val="PargrafodaLista"/>
        <w:numPr>
          <w:ilvl w:val="0"/>
          <w:numId w:val="1"/>
        </w:numPr>
        <w:tabs>
          <w:tab w:val="clear" w:pos="720"/>
          <w:tab w:val="left" w:pos="1184"/>
          <w:tab w:val="left" w:pos="3828"/>
        </w:tabs>
        <w:spacing w:before="97" w:line="319" w:lineRule="auto"/>
        <w:ind w:left="2694" w:right="118" w:firstLine="874"/>
        <w:rPr>
          <w:sz w:val="20"/>
          <w:szCs w:val="20"/>
        </w:rPr>
      </w:pPr>
      <w:r>
        <w:rPr>
          <w:b/>
          <w:bCs/>
          <w:w w:val="118"/>
          <w:sz w:val="20"/>
          <w:szCs w:val="20"/>
        </w:rPr>
        <w:t>-</w:t>
      </w:r>
      <w:r>
        <w:rPr>
          <w:b/>
          <w:bCs/>
          <w:spacing w:val="2"/>
          <w:sz w:val="20"/>
          <w:szCs w:val="20"/>
        </w:rPr>
        <w:t xml:space="preserve"> </w:t>
      </w:r>
      <w:r>
        <w:rPr>
          <w:sz w:val="20"/>
          <w:szCs w:val="20"/>
        </w:rPr>
        <w:t>pesquisa publicada em mídia especializada, sítios eletrônicos especializados ou de domínio amplo, desde que contenha a data e hora de acesso; ou</w:t>
      </w:r>
    </w:p>
    <w:p w14:paraId="69E0A661" w14:textId="77777777" w:rsidR="004E2E2D" w:rsidRDefault="004E2E2D" w:rsidP="004E2E2D">
      <w:pPr>
        <w:pStyle w:val="PargrafodaLista"/>
        <w:numPr>
          <w:ilvl w:val="0"/>
          <w:numId w:val="1"/>
        </w:numPr>
        <w:tabs>
          <w:tab w:val="clear" w:pos="720"/>
          <w:tab w:val="left" w:pos="1214"/>
          <w:tab w:val="left" w:pos="3828"/>
        </w:tabs>
        <w:spacing w:before="97" w:line="319" w:lineRule="auto"/>
        <w:ind w:left="2694" w:right="118" w:firstLine="874"/>
        <w:rPr>
          <w:sz w:val="20"/>
          <w:szCs w:val="20"/>
        </w:rPr>
      </w:pPr>
      <w:r>
        <w:rPr>
          <w:w w:val="118"/>
          <w:sz w:val="20"/>
          <w:szCs w:val="20"/>
        </w:rPr>
        <w:t>-</w:t>
      </w:r>
      <w:r>
        <w:rPr>
          <w:spacing w:val="10"/>
          <w:sz w:val="20"/>
          <w:szCs w:val="20"/>
        </w:rPr>
        <w:t xml:space="preserve"> </w:t>
      </w:r>
      <w:r>
        <w:rPr>
          <w:sz w:val="20"/>
          <w:szCs w:val="20"/>
        </w:rPr>
        <w:t>pesquisa com os fornecedores</w:t>
      </w:r>
      <w:r>
        <w:rPr>
          <w:w w:val="59"/>
          <w:sz w:val="20"/>
          <w:szCs w:val="20"/>
        </w:rPr>
        <w:t>,</w:t>
      </w:r>
      <w:r>
        <w:rPr>
          <w:spacing w:val="10"/>
          <w:sz w:val="20"/>
          <w:szCs w:val="20"/>
        </w:rPr>
        <w:t xml:space="preserve"> </w:t>
      </w:r>
      <w:r>
        <w:rPr>
          <w:w w:val="116"/>
          <w:sz w:val="20"/>
          <w:szCs w:val="20"/>
        </w:rPr>
        <w:t>d</w:t>
      </w:r>
      <w:r>
        <w:rPr>
          <w:w w:val="111"/>
          <w:sz w:val="20"/>
          <w:szCs w:val="20"/>
        </w:rPr>
        <w:t>es</w:t>
      </w:r>
      <w:r>
        <w:rPr>
          <w:w w:val="116"/>
          <w:sz w:val="20"/>
          <w:szCs w:val="20"/>
        </w:rPr>
        <w:t>d</w:t>
      </w:r>
      <w:r>
        <w:rPr>
          <w:w w:val="111"/>
          <w:sz w:val="20"/>
          <w:szCs w:val="20"/>
        </w:rPr>
        <w:t>e</w:t>
      </w:r>
      <w:r>
        <w:rPr>
          <w:spacing w:val="10"/>
          <w:sz w:val="20"/>
          <w:szCs w:val="20"/>
        </w:rPr>
        <w:t xml:space="preserve"> </w:t>
      </w:r>
      <w:r>
        <w:rPr>
          <w:w w:val="114"/>
          <w:sz w:val="20"/>
          <w:szCs w:val="20"/>
        </w:rPr>
        <w:t>q</w:t>
      </w:r>
      <w:r>
        <w:rPr>
          <w:w w:val="113"/>
          <w:sz w:val="20"/>
          <w:szCs w:val="20"/>
        </w:rPr>
        <w:t>u</w:t>
      </w:r>
      <w:r>
        <w:rPr>
          <w:w w:val="111"/>
          <w:sz w:val="20"/>
          <w:szCs w:val="20"/>
        </w:rPr>
        <w:t>e</w:t>
      </w:r>
      <w:r>
        <w:rPr>
          <w:spacing w:val="10"/>
          <w:sz w:val="20"/>
          <w:szCs w:val="20"/>
        </w:rPr>
        <w:t xml:space="preserve"> </w:t>
      </w:r>
      <w:r>
        <w:rPr>
          <w:spacing w:val="-1"/>
          <w:w w:val="108"/>
          <w:sz w:val="20"/>
          <w:szCs w:val="20"/>
        </w:rPr>
        <w:t>as</w:t>
      </w:r>
      <w:r>
        <w:rPr>
          <w:spacing w:val="10"/>
          <w:sz w:val="20"/>
          <w:szCs w:val="20"/>
        </w:rPr>
        <w:t xml:space="preserve"> </w:t>
      </w:r>
      <w:r>
        <w:rPr>
          <w:w w:val="116"/>
          <w:sz w:val="20"/>
          <w:szCs w:val="20"/>
        </w:rPr>
        <w:t>d</w:t>
      </w:r>
      <w:r>
        <w:rPr>
          <w:spacing w:val="-1"/>
          <w:w w:val="108"/>
          <w:sz w:val="20"/>
          <w:szCs w:val="20"/>
        </w:rPr>
        <w:t>a</w:t>
      </w:r>
      <w:r>
        <w:rPr>
          <w:spacing w:val="-1"/>
          <w:w w:val="91"/>
          <w:sz w:val="20"/>
          <w:szCs w:val="20"/>
        </w:rPr>
        <w:t>t</w:t>
      </w:r>
      <w:r>
        <w:rPr>
          <w:spacing w:val="-1"/>
          <w:w w:val="108"/>
          <w:sz w:val="20"/>
          <w:szCs w:val="20"/>
        </w:rPr>
        <w:t>as</w:t>
      </w:r>
      <w:r>
        <w:rPr>
          <w:spacing w:val="10"/>
          <w:sz w:val="20"/>
          <w:szCs w:val="20"/>
        </w:rPr>
        <w:t xml:space="preserve"> </w:t>
      </w:r>
      <w:r>
        <w:rPr>
          <w:w w:val="116"/>
          <w:sz w:val="20"/>
          <w:szCs w:val="20"/>
        </w:rPr>
        <w:t>d</w:t>
      </w:r>
      <w:r>
        <w:rPr>
          <w:spacing w:val="-1"/>
          <w:w w:val="108"/>
          <w:sz w:val="20"/>
          <w:szCs w:val="20"/>
        </w:rPr>
        <w:t>as</w:t>
      </w:r>
      <w:r>
        <w:rPr>
          <w:spacing w:val="10"/>
          <w:sz w:val="20"/>
          <w:szCs w:val="20"/>
        </w:rPr>
        <w:t xml:space="preserve"> </w:t>
      </w:r>
      <w:r>
        <w:rPr>
          <w:w w:val="114"/>
          <w:sz w:val="20"/>
          <w:szCs w:val="20"/>
        </w:rPr>
        <w:t>p</w:t>
      </w:r>
      <w:r>
        <w:rPr>
          <w:w w:val="111"/>
          <w:sz w:val="20"/>
          <w:szCs w:val="20"/>
        </w:rPr>
        <w:t>e</w:t>
      </w:r>
      <w:r>
        <w:rPr>
          <w:w w:val="125"/>
          <w:sz w:val="20"/>
          <w:szCs w:val="20"/>
        </w:rPr>
        <w:t>s</w:t>
      </w:r>
      <w:r>
        <w:rPr>
          <w:w w:val="114"/>
          <w:sz w:val="20"/>
          <w:szCs w:val="20"/>
        </w:rPr>
        <w:t>q</w:t>
      </w:r>
      <w:r>
        <w:rPr>
          <w:w w:val="113"/>
          <w:sz w:val="20"/>
          <w:szCs w:val="20"/>
        </w:rPr>
        <w:t>u</w:t>
      </w:r>
      <w:r>
        <w:rPr>
          <w:spacing w:val="-1"/>
          <w:w w:val="82"/>
          <w:sz w:val="20"/>
          <w:szCs w:val="20"/>
        </w:rPr>
        <w:t>is</w:t>
      </w:r>
      <w:r>
        <w:rPr>
          <w:spacing w:val="-1"/>
          <w:w w:val="108"/>
          <w:sz w:val="20"/>
          <w:szCs w:val="20"/>
        </w:rPr>
        <w:t>as</w:t>
      </w:r>
      <w:r>
        <w:rPr>
          <w:spacing w:val="10"/>
          <w:sz w:val="20"/>
          <w:szCs w:val="20"/>
        </w:rPr>
        <w:t xml:space="preserve"> </w:t>
      </w:r>
      <w:r>
        <w:rPr>
          <w:w w:val="111"/>
          <w:sz w:val="20"/>
          <w:szCs w:val="20"/>
        </w:rPr>
        <w:t>n</w:t>
      </w:r>
      <w:r>
        <w:rPr>
          <w:spacing w:val="-1"/>
          <w:w w:val="108"/>
          <w:sz w:val="20"/>
          <w:szCs w:val="20"/>
        </w:rPr>
        <w:t>ã</w:t>
      </w:r>
      <w:r>
        <w:rPr>
          <w:w w:val="114"/>
          <w:sz w:val="20"/>
          <w:szCs w:val="20"/>
        </w:rPr>
        <w:t>o</w:t>
      </w:r>
      <w:r>
        <w:rPr>
          <w:spacing w:val="10"/>
          <w:sz w:val="20"/>
          <w:szCs w:val="20"/>
        </w:rPr>
        <w:t xml:space="preserve"> </w:t>
      </w:r>
      <w:r>
        <w:rPr>
          <w:w w:val="125"/>
          <w:sz w:val="20"/>
          <w:szCs w:val="20"/>
        </w:rPr>
        <w:t>s</w:t>
      </w:r>
      <w:r>
        <w:rPr>
          <w:w w:val="111"/>
          <w:sz w:val="20"/>
          <w:szCs w:val="20"/>
        </w:rPr>
        <w:t>e</w:t>
      </w:r>
      <w:r>
        <w:rPr>
          <w:spacing w:val="10"/>
          <w:sz w:val="20"/>
          <w:szCs w:val="20"/>
        </w:rPr>
        <w:t xml:space="preserve"> </w:t>
      </w:r>
      <w:r>
        <w:rPr>
          <w:w w:val="116"/>
          <w:sz w:val="20"/>
          <w:szCs w:val="20"/>
        </w:rPr>
        <w:t>d</w:t>
      </w:r>
      <w:r>
        <w:rPr>
          <w:spacing w:val="-1"/>
          <w:w w:val="82"/>
          <w:sz w:val="20"/>
          <w:szCs w:val="20"/>
        </w:rPr>
        <w:t>i</w:t>
      </w:r>
      <w:r>
        <w:rPr>
          <w:spacing w:val="-3"/>
          <w:w w:val="95"/>
          <w:sz w:val="20"/>
          <w:szCs w:val="20"/>
        </w:rPr>
        <w:t>f</w:t>
      </w:r>
      <w:r>
        <w:rPr>
          <w:w w:val="111"/>
          <w:sz w:val="20"/>
          <w:szCs w:val="20"/>
        </w:rPr>
        <w:t>e</w:t>
      </w:r>
      <w:r>
        <w:rPr>
          <w:spacing w:val="-3"/>
          <w:w w:val="96"/>
          <w:sz w:val="20"/>
          <w:szCs w:val="20"/>
        </w:rPr>
        <w:t>r</w:t>
      </w:r>
      <w:r>
        <w:rPr>
          <w:w w:val="111"/>
          <w:sz w:val="20"/>
          <w:szCs w:val="20"/>
        </w:rPr>
        <w:t>en</w:t>
      </w:r>
      <w:r>
        <w:rPr>
          <w:spacing w:val="-1"/>
          <w:w w:val="115"/>
          <w:sz w:val="20"/>
          <w:szCs w:val="20"/>
        </w:rPr>
        <w:t>c</w:t>
      </w:r>
      <w:r>
        <w:rPr>
          <w:spacing w:val="-1"/>
          <w:w w:val="82"/>
          <w:sz w:val="20"/>
          <w:szCs w:val="20"/>
        </w:rPr>
        <w:t>i</w:t>
      </w:r>
      <w:r>
        <w:rPr>
          <w:w w:val="111"/>
          <w:sz w:val="20"/>
          <w:szCs w:val="20"/>
        </w:rPr>
        <w:t>e</w:t>
      </w:r>
      <w:r>
        <w:rPr>
          <w:w w:val="114"/>
          <w:sz w:val="20"/>
          <w:szCs w:val="20"/>
        </w:rPr>
        <w:t>m</w:t>
      </w:r>
      <w:r>
        <w:rPr>
          <w:spacing w:val="10"/>
          <w:sz w:val="20"/>
          <w:szCs w:val="20"/>
        </w:rPr>
        <w:t xml:space="preserve"> </w:t>
      </w:r>
      <w:r>
        <w:rPr>
          <w:w w:val="111"/>
          <w:sz w:val="20"/>
          <w:szCs w:val="20"/>
        </w:rPr>
        <w:t>e</w:t>
      </w:r>
      <w:r>
        <w:rPr>
          <w:w w:val="114"/>
          <w:sz w:val="20"/>
          <w:szCs w:val="20"/>
        </w:rPr>
        <w:t>m m</w:t>
      </w:r>
      <w:r>
        <w:rPr>
          <w:spacing w:val="-1"/>
          <w:w w:val="108"/>
          <w:sz w:val="20"/>
          <w:szCs w:val="20"/>
        </w:rPr>
        <w:t>a</w:t>
      </w:r>
      <w:r>
        <w:rPr>
          <w:spacing w:val="-1"/>
          <w:w w:val="82"/>
          <w:sz w:val="20"/>
          <w:szCs w:val="20"/>
        </w:rPr>
        <w:t>i</w:t>
      </w:r>
      <w:r>
        <w:rPr>
          <w:w w:val="125"/>
          <w:sz w:val="20"/>
          <w:szCs w:val="20"/>
        </w:rPr>
        <w:t>s</w:t>
      </w:r>
      <w:r>
        <w:rPr>
          <w:spacing w:val="-7"/>
          <w:sz w:val="20"/>
          <w:szCs w:val="20"/>
        </w:rPr>
        <w:t xml:space="preserve"> </w:t>
      </w:r>
      <w:r>
        <w:rPr>
          <w:w w:val="116"/>
          <w:sz w:val="20"/>
          <w:szCs w:val="20"/>
        </w:rPr>
        <w:t>d</w:t>
      </w:r>
      <w:r>
        <w:rPr>
          <w:w w:val="111"/>
          <w:sz w:val="20"/>
          <w:szCs w:val="20"/>
        </w:rPr>
        <w:t>e</w:t>
      </w:r>
      <w:r>
        <w:rPr>
          <w:spacing w:val="-7"/>
          <w:sz w:val="20"/>
          <w:szCs w:val="20"/>
        </w:rPr>
        <w:t xml:space="preserve"> </w:t>
      </w:r>
      <w:r>
        <w:rPr>
          <w:spacing w:val="-1"/>
          <w:w w:val="115"/>
          <w:sz w:val="20"/>
          <w:szCs w:val="20"/>
        </w:rPr>
        <w:t>c</w:t>
      </w:r>
      <w:r>
        <w:rPr>
          <w:w w:val="111"/>
          <w:sz w:val="20"/>
          <w:szCs w:val="20"/>
        </w:rPr>
        <w:t>e</w:t>
      </w:r>
      <w:r>
        <w:rPr>
          <w:spacing w:val="-1"/>
          <w:w w:val="111"/>
          <w:sz w:val="20"/>
          <w:szCs w:val="20"/>
        </w:rPr>
        <w:t>n</w:t>
      </w:r>
      <w:r>
        <w:rPr>
          <w:spacing w:val="-2"/>
          <w:w w:val="91"/>
          <w:sz w:val="20"/>
          <w:szCs w:val="20"/>
        </w:rPr>
        <w:t>t</w:t>
      </w:r>
      <w:r>
        <w:rPr>
          <w:w w:val="114"/>
          <w:sz w:val="20"/>
          <w:szCs w:val="20"/>
        </w:rPr>
        <w:t>o</w:t>
      </w:r>
      <w:r>
        <w:rPr>
          <w:spacing w:val="-7"/>
          <w:sz w:val="20"/>
          <w:szCs w:val="20"/>
        </w:rPr>
        <w:t xml:space="preserve"> </w:t>
      </w:r>
      <w:r>
        <w:rPr>
          <w:w w:val="111"/>
          <w:sz w:val="20"/>
          <w:szCs w:val="20"/>
        </w:rPr>
        <w:t>e</w:t>
      </w:r>
      <w:r>
        <w:rPr>
          <w:spacing w:val="-7"/>
          <w:sz w:val="20"/>
          <w:szCs w:val="20"/>
        </w:rPr>
        <w:t xml:space="preserve"> </w:t>
      </w:r>
      <w:r>
        <w:rPr>
          <w:w w:val="114"/>
          <w:sz w:val="20"/>
          <w:szCs w:val="20"/>
        </w:rPr>
        <w:t>o</w:t>
      </w:r>
      <w:r>
        <w:rPr>
          <w:spacing w:val="-1"/>
          <w:w w:val="82"/>
          <w:sz w:val="20"/>
          <w:szCs w:val="20"/>
        </w:rPr>
        <w:t>i</w:t>
      </w:r>
      <w:r>
        <w:rPr>
          <w:spacing w:val="-2"/>
          <w:w w:val="91"/>
          <w:sz w:val="20"/>
          <w:szCs w:val="20"/>
        </w:rPr>
        <w:t>t</w:t>
      </w:r>
      <w:r>
        <w:rPr>
          <w:w w:val="111"/>
          <w:sz w:val="20"/>
          <w:szCs w:val="20"/>
        </w:rPr>
        <w:t>e</w:t>
      </w:r>
      <w:r>
        <w:rPr>
          <w:spacing w:val="-1"/>
          <w:w w:val="111"/>
          <w:sz w:val="20"/>
          <w:szCs w:val="20"/>
        </w:rPr>
        <w:t>n</w:t>
      </w:r>
      <w:r>
        <w:rPr>
          <w:spacing w:val="-1"/>
          <w:w w:val="91"/>
          <w:sz w:val="20"/>
          <w:szCs w:val="20"/>
        </w:rPr>
        <w:t>t</w:t>
      </w:r>
      <w:r>
        <w:rPr>
          <w:w w:val="108"/>
          <w:sz w:val="20"/>
          <w:szCs w:val="20"/>
        </w:rPr>
        <w:t>a</w:t>
      </w:r>
      <w:r>
        <w:rPr>
          <w:spacing w:val="-7"/>
          <w:sz w:val="20"/>
          <w:szCs w:val="20"/>
        </w:rPr>
        <w:t xml:space="preserve"> </w:t>
      </w:r>
      <w:r>
        <w:rPr>
          <w:w w:val="116"/>
          <w:sz w:val="20"/>
          <w:szCs w:val="20"/>
        </w:rPr>
        <w:t>d</w:t>
      </w:r>
      <w:r>
        <w:rPr>
          <w:spacing w:val="-1"/>
          <w:w w:val="82"/>
          <w:sz w:val="20"/>
          <w:szCs w:val="20"/>
        </w:rPr>
        <w:t>i</w:t>
      </w:r>
      <w:r>
        <w:rPr>
          <w:spacing w:val="-1"/>
          <w:w w:val="108"/>
          <w:sz w:val="20"/>
          <w:szCs w:val="20"/>
        </w:rPr>
        <w:t>as</w:t>
      </w:r>
      <w:r>
        <w:rPr>
          <w:w w:val="56"/>
          <w:sz w:val="20"/>
          <w:szCs w:val="20"/>
        </w:rPr>
        <w:t>.</w:t>
      </w:r>
    </w:p>
    <w:p w14:paraId="6A5BCE72" w14:textId="77777777" w:rsidR="004E2E2D" w:rsidRDefault="004E2E2D" w:rsidP="004E2E2D">
      <w:pPr>
        <w:pStyle w:val="PargrafodaLista"/>
        <w:tabs>
          <w:tab w:val="left" w:pos="1214"/>
          <w:tab w:val="left" w:pos="3828"/>
        </w:tabs>
        <w:spacing w:before="97" w:line="319" w:lineRule="auto"/>
        <w:ind w:left="3568" w:right="118"/>
        <w:rPr>
          <w:sz w:val="20"/>
          <w:szCs w:val="20"/>
        </w:rPr>
      </w:pPr>
    </w:p>
    <w:p w14:paraId="5F0BEB3D" w14:textId="77777777" w:rsidR="004E2E2D" w:rsidRDefault="004E2E2D" w:rsidP="004E2E2D">
      <w:pPr>
        <w:pStyle w:val="Corpodetexto"/>
        <w:spacing w:line="319" w:lineRule="auto"/>
        <w:ind w:left="3544" w:right="119"/>
        <w:jc w:val="both"/>
        <w:rPr>
          <w:b/>
          <w:bCs/>
          <w:sz w:val="20"/>
          <w:szCs w:val="20"/>
        </w:rPr>
      </w:pPr>
      <w:r>
        <w:rPr>
          <w:b/>
          <w:bCs/>
          <w:sz w:val="20"/>
          <w:szCs w:val="20"/>
        </w:rPr>
        <w:t>§ 1° Os parâmetros poderão ser utilizados  de  forma  combinada  ou  não,  priorizando-se  os  previstos nos incisos I e</w:t>
      </w:r>
      <w:r>
        <w:rPr>
          <w:b/>
          <w:bCs/>
          <w:spacing w:val="-31"/>
          <w:sz w:val="20"/>
          <w:szCs w:val="20"/>
        </w:rPr>
        <w:t xml:space="preserve"> </w:t>
      </w:r>
      <w:r>
        <w:rPr>
          <w:b/>
          <w:bCs/>
          <w:sz w:val="20"/>
          <w:szCs w:val="20"/>
        </w:rPr>
        <w:t>II.</w:t>
      </w:r>
    </w:p>
    <w:p w14:paraId="674C7EB7" w14:textId="77777777" w:rsidR="004E2E2D" w:rsidRDefault="004E2E2D" w:rsidP="004E2E2D">
      <w:pPr>
        <w:pStyle w:val="Corpodetexto"/>
        <w:spacing w:line="319" w:lineRule="auto"/>
        <w:ind w:left="2694" w:right="119"/>
        <w:jc w:val="both"/>
        <w:rPr>
          <w:sz w:val="20"/>
          <w:szCs w:val="20"/>
        </w:rPr>
      </w:pPr>
    </w:p>
    <w:p w14:paraId="7CA62079" w14:textId="77777777" w:rsidR="004E2E2D" w:rsidRDefault="004E2E2D" w:rsidP="004E2E2D">
      <w:pPr>
        <w:spacing w:line="360" w:lineRule="auto"/>
        <w:ind w:left="3544"/>
        <w:jc w:val="both"/>
        <w:rPr>
          <w:b/>
          <w:bCs/>
          <w:sz w:val="20"/>
          <w:szCs w:val="20"/>
        </w:rPr>
      </w:pPr>
      <w:r>
        <w:rPr>
          <w:b/>
          <w:bCs/>
          <w:sz w:val="20"/>
          <w:szCs w:val="20"/>
        </w:rPr>
        <w:t>§ 2º A impossibilidade de utilização preferencial dos parâmetros previstos nos incisos I e II deve ser justificada e comprovada mediante a juntada de documentos que evidenciem ter havido efetiva tentativa de emprego deles.</w:t>
      </w:r>
    </w:p>
    <w:p w14:paraId="0C38B4AD" w14:textId="77777777" w:rsidR="004E2E2D" w:rsidRDefault="004E2E2D" w:rsidP="004E2E2D">
      <w:pPr>
        <w:spacing w:line="360" w:lineRule="auto"/>
        <w:ind w:left="3544"/>
        <w:jc w:val="both"/>
        <w:rPr>
          <w:sz w:val="20"/>
          <w:szCs w:val="20"/>
        </w:rPr>
      </w:pPr>
    </w:p>
    <w:p w14:paraId="767807EB" w14:textId="77777777" w:rsidR="004E2E2D" w:rsidRDefault="004E2E2D" w:rsidP="004E2E2D">
      <w:pPr>
        <w:spacing w:line="360" w:lineRule="auto"/>
        <w:ind w:left="3544"/>
        <w:jc w:val="both"/>
        <w:rPr>
          <w:sz w:val="20"/>
          <w:szCs w:val="20"/>
        </w:rPr>
      </w:pPr>
      <w:r>
        <w:rPr>
          <w:sz w:val="20"/>
          <w:szCs w:val="20"/>
        </w:rPr>
        <w:t xml:space="preserve">§ 3º A definição dos parâmetros utilizados, no caso concreto, para a </w:t>
      </w:r>
      <w:r>
        <w:rPr>
          <w:sz w:val="20"/>
          <w:szCs w:val="20"/>
        </w:rPr>
        <w:lastRenderedPageBreak/>
        <w:t>realização da pesquisa de preços,  deve  ser  formalmente  justificada  e  a  instrução  processual  deverá  conter  a  documentação comprobatória das razões que forem, para tanto, invocadas.</w:t>
      </w:r>
    </w:p>
    <w:p w14:paraId="75D4AF9D" w14:textId="77777777" w:rsidR="004E2E2D" w:rsidRDefault="004E2E2D" w:rsidP="004E2E2D">
      <w:pPr>
        <w:pStyle w:val="Corpodetexto"/>
        <w:spacing w:line="360" w:lineRule="auto"/>
        <w:ind w:left="3544" w:right="118"/>
        <w:jc w:val="both"/>
        <w:rPr>
          <w:b/>
          <w:bCs/>
          <w:sz w:val="20"/>
          <w:szCs w:val="20"/>
        </w:rPr>
      </w:pPr>
    </w:p>
    <w:p w14:paraId="7B6213F1" w14:textId="77777777" w:rsidR="004E2E2D" w:rsidRDefault="004E2E2D" w:rsidP="004E2E2D">
      <w:pPr>
        <w:spacing w:line="360" w:lineRule="auto"/>
        <w:ind w:left="3544"/>
        <w:jc w:val="both"/>
        <w:rPr>
          <w:b/>
          <w:bCs/>
          <w:sz w:val="20"/>
          <w:szCs w:val="20"/>
        </w:rPr>
      </w:pPr>
      <w:r>
        <w:rPr>
          <w:b/>
          <w:bCs/>
          <w:sz w:val="20"/>
          <w:szCs w:val="20"/>
        </w:rPr>
        <w:t>§ 4º A pesquisa de preços realizada exclusivamente com a utilização do parâmetro previsto no inciso  IV,  somente  será  admitida  quando  comprovada  a  inviabilidade  de  utilização  dos  parâmetros previstos nos incisos I, II e III.</w:t>
      </w:r>
    </w:p>
    <w:p w14:paraId="7CA3F2C4" w14:textId="77777777" w:rsidR="004E2E2D" w:rsidRDefault="004E2E2D" w:rsidP="004E2E2D">
      <w:pPr>
        <w:spacing w:line="360" w:lineRule="auto"/>
        <w:ind w:left="993"/>
        <w:jc w:val="both"/>
      </w:pPr>
    </w:p>
    <w:p w14:paraId="38A550E6" w14:textId="77777777" w:rsidR="004E2E2D" w:rsidRDefault="004E2E2D" w:rsidP="004E2E2D">
      <w:pPr>
        <w:tabs>
          <w:tab w:val="left" w:pos="851"/>
        </w:tabs>
        <w:spacing w:line="360" w:lineRule="auto"/>
        <w:ind w:left="992" w:firstLine="1702"/>
        <w:jc w:val="both"/>
      </w:pPr>
      <w:r>
        <w:t>A IN nº 73 por sua vez, reza a mesma situação, apresentando no entanto o diferencial quanto ao elastecimento do prazo de um ano para consideração da validade do contratação tomada como base. Tudo conforme aponta o inciso II do artigo 5°, vejamos:</w:t>
      </w:r>
    </w:p>
    <w:p w14:paraId="391D5F99" w14:textId="77777777" w:rsidR="004E2E2D" w:rsidRDefault="004E2E2D" w:rsidP="004E2E2D">
      <w:pPr>
        <w:tabs>
          <w:tab w:val="left" w:pos="851"/>
        </w:tabs>
        <w:spacing w:line="360" w:lineRule="auto"/>
        <w:ind w:left="992" w:firstLine="1702"/>
        <w:jc w:val="both"/>
      </w:pPr>
    </w:p>
    <w:p w14:paraId="36E93478" w14:textId="77777777" w:rsidR="004E2E2D" w:rsidRDefault="004E2E2D" w:rsidP="004E2E2D">
      <w:pPr>
        <w:tabs>
          <w:tab w:val="left" w:pos="851"/>
        </w:tabs>
        <w:spacing w:line="360" w:lineRule="auto"/>
        <w:ind w:left="3544" w:firstLine="1"/>
        <w:jc w:val="both"/>
        <w:rPr>
          <w:b/>
          <w:bCs/>
        </w:rPr>
      </w:pPr>
      <w:r>
        <w:rPr>
          <w:b/>
          <w:bCs/>
        </w:rPr>
        <w:t>II - aquisições e contratações similares de outros entes públicos, ﬁrmadas no período de até 1 (um) ano anterior à data de divulgação do instrumento convocatório;</w:t>
      </w:r>
    </w:p>
    <w:p w14:paraId="2B8EA8CD" w14:textId="77777777" w:rsidR="004E2E2D" w:rsidRDefault="004E2E2D" w:rsidP="004E2E2D">
      <w:pPr>
        <w:tabs>
          <w:tab w:val="left" w:pos="851"/>
        </w:tabs>
        <w:spacing w:line="360" w:lineRule="auto"/>
        <w:ind w:left="992" w:firstLine="1702"/>
        <w:jc w:val="both"/>
      </w:pPr>
    </w:p>
    <w:p w14:paraId="1AEE85B6" w14:textId="77777777" w:rsidR="004E2E2D" w:rsidRDefault="004E2E2D" w:rsidP="004E2E2D">
      <w:pPr>
        <w:tabs>
          <w:tab w:val="left" w:pos="851"/>
        </w:tabs>
        <w:spacing w:line="360" w:lineRule="auto"/>
        <w:ind w:left="992" w:firstLine="1843"/>
        <w:jc w:val="both"/>
      </w:pPr>
      <w:r>
        <w:t>A busca e, por conseguinte, embasamento de preços em contratos similares, traz sem dúvida alguma maior agilidade ao lançamento do certame. A administração não fica  adstrito apenas a intenção de participação e, por conseguinte boa vontade de fornecedores em retornarem as solicitações de orçamentos. Tais solicitações além de sequer serem em sua maioria respondidas, quando ocorrem, são cumpridas apenas no momento que os fornecedores entenderem como viáveis.</w:t>
      </w:r>
    </w:p>
    <w:p w14:paraId="4B8C444C" w14:textId="77777777" w:rsidR="004E2E2D" w:rsidRDefault="004E2E2D" w:rsidP="004E2E2D">
      <w:pPr>
        <w:tabs>
          <w:tab w:val="left" w:pos="851"/>
        </w:tabs>
        <w:spacing w:line="360" w:lineRule="auto"/>
        <w:ind w:left="992" w:firstLine="1702"/>
        <w:jc w:val="both"/>
      </w:pPr>
      <w:r>
        <w:t xml:space="preserve"> </w:t>
      </w:r>
    </w:p>
    <w:p w14:paraId="5F2505C1" w14:textId="77777777" w:rsidR="004E2E2D" w:rsidRDefault="004E2E2D" w:rsidP="004E2E2D">
      <w:pPr>
        <w:tabs>
          <w:tab w:val="left" w:pos="851"/>
        </w:tabs>
        <w:spacing w:line="360" w:lineRule="auto"/>
        <w:ind w:left="992" w:firstLine="1843"/>
        <w:jc w:val="both"/>
      </w:pPr>
      <w:r>
        <w:t xml:space="preserve">Além disso, a administração apresenta como base preços constantes de contratos públicos integrantes de certames já homologados por outras administrações. Contratos já referendados pelo Tribunal de Contas do estado, posto que, extraídos do site do próprio orgão da Administração Pública Municipal ou mesmo do respectivo Tribunal.   </w:t>
      </w:r>
    </w:p>
    <w:p w14:paraId="2A5A9767" w14:textId="77777777" w:rsidR="004E2E2D" w:rsidRPr="00A27169" w:rsidRDefault="004E2E2D" w:rsidP="004E2E2D">
      <w:pPr>
        <w:spacing w:line="360" w:lineRule="auto"/>
        <w:ind w:left="993" w:firstLine="2835"/>
        <w:jc w:val="both"/>
        <w:rPr>
          <w:lang w:val="pt-BR"/>
        </w:rPr>
      </w:pPr>
    </w:p>
    <w:p w14:paraId="706F1F89" w14:textId="77777777" w:rsidR="004E2E2D" w:rsidRDefault="004E2E2D" w:rsidP="004E2E2D">
      <w:pPr>
        <w:spacing w:line="360" w:lineRule="auto"/>
        <w:ind w:left="993" w:firstLine="1842"/>
        <w:jc w:val="both"/>
      </w:pPr>
      <w:r w:rsidRPr="00A27169">
        <w:rPr>
          <w:lang w:val="pt-BR"/>
        </w:rPr>
        <w:t xml:space="preserve">Acerca da matéria, o Tribunal de Contas da União manifestou posicionamento destacando o dever quanto a busca diversificada de fontes de preços, com prioridade para o Painel de Preços e </w:t>
      </w:r>
      <w:r w:rsidRPr="00A27169">
        <w:rPr>
          <w:b/>
          <w:bCs/>
          <w:lang w:val="pt-BR"/>
        </w:rPr>
        <w:t>as contratações similares de outros Órgãos</w:t>
      </w:r>
      <w:r w:rsidRPr="00A27169">
        <w:rPr>
          <w:lang w:val="pt-BR"/>
        </w:rPr>
        <w:t>.</w:t>
      </w:r>
    </w:p>
    <w:p w14:paraId="7219B1CB" w14:textId="77777777" w:rsidR="004E2E2D" w:rsidRDefault="004E2E2D" w:rsidP="004E2E2D">
      <w:pPr>
        <w:spacing w:line="360" w:lineRule="auto"/>
        <w:ind w:left="993" w:firstLine="1842"/>
        <w:jc w:val="both"/>
      </w:pPr>
      <w:r w:rsidRPr="00A27169">
        <w:rPr>
          <w:lang w:val="pt-BR"/>
        </w:rPr>
        <w:t xml:space="preserve"> Vejamos: </w:t>
      </w:r>
    </w:p>
    <w:p w14:paraId="5EC6AFA8" w14:textId="77777777" w:rsidR="004E2E2D" w:rsidRPr="00A27169" w:rsidRDefault="004E2E2D" w:rsidP="004E2E2D">
      <w:pPr>
        <w:spacing w:line="360" w:lineRule="auto"/>
        <w:ind w:left="993" w:firstLine="1842"/>
        <w:jc w:val="both"/>
        <w:rPr>
          <w:lang w:val="pt-BR"/>
        </w:rPr>
      </w:pPr>
    </w:p>
    <w:p w14:paraId="074DA410" w14:textId="77777777" w:rsidR="004E2E2D" w:rsidRDefault="004E2E2D" w:rsidP="004E2E2D">
      <w:pPr>
        <w:spacing w:line="360" w:lineRule="auto"/>
        <w:ind w:left="993" w:firstLine="1842"/>
        <w:jc w:val="both"/>
      </w:pPr>
      <w:r w:rsidRPr="00A27169">
        <w:rPr>
          <w:sz w:val="20"/>
          <w:szCs w:val="20"/>
          <w:lang w:val="pt-BR"/>
        </w:rPr>
        <w:t>TCU – Acórdão nº 1445/2015 – Plenário</w:t>
      </w:r>
    </w:p>
    <w:p w14:paraId="489BC018" w14:textId="77777777" w:rsidR="004E2E2D" w:rsidRPr="00A27169" w:rsidRDefault="004E2E2D" w:rsidP="004E2E2D">
      <w:pPr>
        <w:ind w:left="2835"/>
        <w:jc w:val="both"/>
        <w:rPr>
          <w:sz w:val="20"/>
          <w:szCs w:val="20"/>
          <w:lang w:val="pt-BR"/>
        </w:rPr>
      </w:pPr>
      <w:r w:rsidRPr="00A27169">
        <w:rPr>
          <w:sz w:val="20"/>
          <w:szCs w:val="20"/>
          <w:lang w:val="pt-BR"/>
        </w:rPr>
        <w:t xml:space="preserve">Na elaboração do orçamento estimativo da licitação, bem como na demonstração da vantajosidade de eventual prorrogação de contrato, </w:t>
      </w:r>
      <w:r w:rsidRPr="00A27169">
        <w:rPr>
          <w:b/>
          <w:bCs/>
          <w:sz w:val="20"/>
          <w:szCs w:val="20"/>
          <w:lang w:val="pt-BR"/>
        </w:rPr>
        <w:t xml:space="preserve">deve ser utilizadas fontes diversificadas de pesquisa de preços. Deve </w:t>
      </w:r>
      <w:r w:rsidRPr="00A27169">
        <w:rPr>
          <w:b/>
          <w:bCs/>
          <w:sz w:val="20"/>
          <w:szCs w:val="20"/>
          <w:lang w:val="pt-BR"/>
        </w:rPr>
        <w:lastRenderedPageBreak/>
        <w:t>ser priorizadas </w:t>
      </w:r>
      <w:r w:rsidRPr="00A27169">
        <w:rPr>
          <w:sz w:val="20"/>
          <w:szCs w:val="20"/>
          <w:lang w:val="pt-BR"/>
        </w:rPr>
        <w:t>consultas ao Portal de Compras Governamentais e</w:t>
      </w:r>
      <w:r w:rsidRPr="00A27169">
        <w:rPr>
          <w:b/>
          <w:bCs/>
          <w:sz w:val="20"/>
          <w:szCs w:val="20"/>
          <w:lang w:val="pt-BR"/>
        </w:rPr>
        <w:t xml:space="preserve"> a contratações similares de outros entes públicos, em detrimento de pesquisas com fornecedores, publicadas em mídias especializadas ou em sítios eletrônicos especializados ou de domínio amplo, cuja adoção deve ser tida como prática subsidiária</w:t>
      </w:r>
      <w:r w:rsidRPr="00A27169">
        <w:rPr>
          <w:sz w:val="20"/>
          <w:szCs w:val="20"/>
          <w:lang w:val="pt-BR"/>
        </w:rPr>
        <w:t xml:space="preserve">. </w:t>
      </w:r>
    </w:p>
    <w:p w14:paraId="1A254119" w14:textId="77777777" w:rsidR="004E2E2D" w:rsidRDefault="004E2E2D" w:rsidP="004E2E2D">
      <w:pPr>
        <w:jc w:val="both"/>
      </w:pPr>
    </w:p>
    <w:p w14:paraId="223F1089" w14:textId="77777777" w:rsidR="004E2E2D" w:rsidRDefault="004E2E2D" w:rsidP="004E2E2D">
      <w:pPr>
        <w:shd w:val="clear" w:color="auto" w:fill="FFFFFF"/>
        <w:ind w:left="2835"/>
        <w:jc w:val="both"/>
        <w:rPr>
          <w:sz w:val="20"/>
          <w:szCs w:val="20"/>
        </w:rPr>
      </w:pPr>
    </w:p>
    <w:p w14:paraId="686A10F0" w14:textId="77777777" w:rsidR="004E2E2D" w:rsidRDefault="004E2E2D" w:rsidP="004E2E2D">
      <w:pPr>
        <w:shd w:val="clear" w:color="auto" w:fill="FFFFFF"/>
        <w:spacing w:line="360" w:lineRule="auto"/>
        <w:ind w:left="2835"/>
        <w:jc w:val="both"/>
      </w:pPr>
      <w:r>
        <w:rPr>
          <w:sz w:val="20"/>
          <w:szCs w:val="20"/>
        </w:rPr>
        <w:t xml:space="preserve">TCU - </w:t>
      </w:r>
      <w:hyperlink r:id="rId5" w:anchor="_blank" w:history="1">
        <w:r>
          <w:rPr>
            <w:b/>
            <w:sz w:val="20"/>
            <w:szCs w:val="20"/>
          </w:rPr>
          <w:t>ACÓRDÃO 2170/2007 ATA 43/2007 - PLENÁRIO - 17/10/2007</w:t>
        </w:r>
      </w:hyperlink>
    </w:p>
    <w:p w14:paraId="4818B7BB" w14:textId="77777777" w:rsidR="004E2E2D" w:rsidRDefault="004E2E2D" w:rsidP="004E2E2D">
      <w:pPr>
        <w:shd w:val="clear" w:color="auto" w:fill="FFFFFF"/>
        <w:spacing w:line="360" w:lineRule="auto"/>
        <w:ind w:left="2835"/>
        <w:jc w:val="both"/>
      </w:pPr>
      <w:hyperlink r:id="rId6" w:anchor="_blank" w:history="1">
        <w:r>
          <w:rPr>
            <w:sz w:val="20"/>
            <w:szCs w:val="20"/>
          </w:rPr>
          <w:t xml:space="preserve">Relator: UBIRATAN AGUIAR </w:t>
        </w:r>
      </w:hyperlink>
    </w:p>
    <w:p w14:paraId="774D5407" w14:textId="77777777" w:rsidR="004E2E2D" w:rsidRDefault="004E2E2D" w:rsidP="004E2E2D">
      <w:pPr>
        <w:shd w:val="clear" w:color="auto" w:fill="FFFFFF"/>
        <w:spacing w:line="360" w:lineRule="auto"/>
        <w:ind w:left="2835"/>
        <w:jc w:val="both"/>
      </w:pPr>
      <w:r>
        <w:rPr>
          <w:sz w:val="20"/>
          <w:szCs w:val="20"/>
        </w:rPr>
        <w:t xml:space="preserve">Sumário:REPRESENTAÇÃO. PEDIDO DE REEXAME. PREGÃO ELETRÔNICO. SERVIÇOS DE INFORMÁTICA. REVOGAÇÃO DE MEDIDA CAUTELAR. PROVIMENTO PARCIAL. 1. A aferição de preços nas aquisições e contratações de produtos e serviços de tecnologia da informação, no âmbito da Administração Pública federal, na fase de estimativa de preços, no momento de adjudicação do objeto do certame licitatório, na contratação e alterações posteriores, </w:t>
      </w:r>
      <w:r>
        <w:rPr>
          <w:b/>
          <w:bCs/>
          <w:sz w:val="20"/>
          <w:szCs w:val="20"/>
        </w:rPr>
        <w:t>deve se basear em valores aceitáveis, que se encontrem dentro da faixa usualmente praticada pelo mercado em determinada época,</w:t>
      </w:r>
      <w:r>
        <w:rPr>
          <w:sz w:val="20"/>
          <w:szCs w:val="20"/>
        </w:rPr>
        <w:t xml:space="preserve"> obtida por meio de pesquisa a partir de fontes diversas, como orçamentos de fornecedores, </w:t>
      </w:r>
      <w:r>
        <w:rPr>
          <w:b/>
          <w:bCs/>
          <w:sz w:val="20"/>
          <w:szCs w:val="20"/>
        </w:rPr>
        <w:t>valores adjudicados em licitações de órgãos públicos</w:t>
      </w:r>
      <w:r>
        <w:rPr>
          <w:sz w:val="20"/>
          <w:szCs w:val="20"/>
        </w:rPr>
        <w:t xml:space="preserve"> - inclusos aqueles constantes no Comprasnet -, valores registrados em atas de Sistema de Registro de Preços, entre outras, </w:t>
      </w:r>
      <w:r>
        <w:rPr>
          <w:b/>
          <w:bCs/>
          <w:sz w:val="20"/>
          <w:szCs w:val="20"/>
        </w:rPr>
        <w:t>a exemplo de compras/contratações realizadas por corporações privadas em condições idênticas ou semelhantes àquelas da Administração Pública</w:t>
      </w:r>
      <w:r>
        <w:rPr>
          <w:sz w:val="20"/>
          <w:szCs w:val="20"/>
        </w:rPr>
        <w:t>. 2. Preço aceitável, a ser considerado na faixa de preços referida no item precedente, é aquele que não representa claro viés em relação ao contexto do mercado, ou seja, abaixo do limite inferior ou acima do maior valor constante da faixa identificada para o produto ou serviço. 3. A utilização de fontes que não sejam capazes de representar o mercado de tecnologia da informação para produtos com certa complexidade ou serviços fornecidos para o setor público - como sites na Internet, inclusive internacionais - pode servir apenas como mero indicativo de preço, sem que sirvam os valores encontrados, por si sós, para caracterização de sobrepreço ou superfaturamento. 4. Os critérios apontados nos itens precedentes devem balizar, também, a atuação dos órgãos de controle, ao ser imputado sobrepreço ou superfaturamento nas aquisições e contratações relacionadas à área de tecnologia da informação.</w:t>
      </w:r>
    </w:p>
    <w:p w14:paraId="6C9D7B3D" w14:textId="77777777" w:rsidR="004E2E2D" w:rsidRDefault="004E2E2D" w:rsidP="004E2E2D">
      <w:pPr>
        <w:spacing w:line="360" w:lineRule="auto"/>
        <w:jc w:val="both"/>
      </w:pPr>
    </w:p>
    <w:p w14:paraId="708DC62C" w14:textId="77777777" w:rsidR="004E2E2D" w:rsidRDefault="004E2E2D" w:rsidP="004E2E2D">
      <w:pPr>
        <w:spacing w:line="360" w:lineRule="auto"/>
        <w:ind w:left="1134" w:firstLine="1701"/>
        <w:jc w:val="both"/>
      </w:pPr>
      <w:r>
        <w:t xml:space="preserve">O anexo I da portaria 804, reforça a orientação do Tribunal de Contas da União inclusive quanto </w:t>
      </w:r>
      <w:r>
        <w:rPr>
          <w:b/>
          <w:bCs/>
        </w:rPr>
        <w:t>a utilização como parâmetro os contratos anteriores firmados com o próprio órgão</w:t>
      </w:r>
      <w:r>
        <w:t xml:space="preserve">. </w:t>
      </w:r>
      <w:r>
        <w:rPr>
          <w:i/>
          <w:iCs/>
        </w:rPr>
        <w:t xml:space="preserve">In Verbis: </w:t>
      </w:r>
    </w:p>
    <w:p w14:paraId="09F87F4C" w14:textId="77777777" w:rsidR="004E2E2D" w:rsidRDefault="004E2E2D" w:rsidP="004E2E2D">
      <w:pPr>
        <w:spacing w:line="360" w:lineRule="auto"/>
        <w:ind w:left="2835"/>
        <w:jc w:val="both"/>
        <w:rPr>
          <w:sz w:val="20"/>
          <w:szCs w:val="20"/>
        </w:rPr>
      </w:pPr>
    </w:p>
    <w:p w14:paraId="1D383D16" w14:textId="77777777" w:rsidR="004E2E2D" w:rsidRDefault="004E2E2D" w:rsidP="004E2E2D">
      <w:pPr>
        <w:ind w:left="2835"/>
        <w:jc w:val="both"/>
      </w:pPr>
      <w:r>
        <w:rPr>
          <w:sz w:val="20"/>
          <w:szCs w:val="20"/>
        </w:rPr>
        <w:t xml:space="preserve">A  unidade  requisitante,  conforme  orientação  do  Tribunal  de  Contas  da  União,  deverá consultar o maior número de fontes possíveis, de modo a </w:t>
      </w:r>
      <w:r>
        <w:rPr>
          <w:sz w:val="20"/>
          <w:szCs w:val="20"/>
        </w:rPr>
        <w:lastRenderedPageBreak/>
        <w:t xml:space="preserve">possibilitar que a pesquisa de preços reflita o real comportamento do mercado, </w:t>
      </w:r>
      <w:r>
        <w:rPr>
          <w:b/>
          <w:bCs/>
          <w:sz w:val="20"/>
          <w:szCs w:val="20"/>
        </w:rPr>
        <w:t>levando em conta diversas origens, como, por exemplo, contratos anteriores do próprio órgão e os firmados por outros órgãos públicos</w:t>
      </w:r>
      <w:r>
        <w:rPr>
          <w:sz w:val="20"/>
          <w:szCs w:val="20"/>
        </w:rPr>
        <w:t>, valores registrados no Sistema Integrado de Administração de Serviços Gerais - SIASG, nas atas de registro de preços da Administração Pública Federal e cotações com fornecedores (Acórdãos n° 2.318/2014 - Plenário e Acórdão 2.816/2014 - Plenário).</w:t>
      </w:r>
    </w:p>
    <w:p w14:paraId="118C2A7F" w14:textId="77777777" w:rsidR="004E2E2D" w:rsidRDefault="004E2E2D" w:rsidP="004E2E2D">
      <w:pPr>
        <w:spacing w:line="360" w:lineRule="auto"/>
        <w:ind w:left="2835"/>
        <w:jc w:val="both"/>
        <w:rPr>
          <w:sz w:val="20"/>
          <w:szCs w:val="20"/>
        </w:rPr>
      </w:pPr>
    </w:p>
    <w:p w14:paraId="4946F1C6" w14:textId="77777777" w:rsidR="004E2E2D" w:rsidRDefault="004E2E2D" w:rsidP="004E2E2D">
      <w:pPr>
        <w:spacing w:line="360" w:lineRule="auto"/>
        <w:ind w:left="1134" w:firstLine="1701"/>
        <w:jc w:val="both"/>
      </w:pPr>
      <w:r>
        <w:t xml:space="preserve">Ainda com base nas decisões destacadas, salientamos do respectivo posicionamento que além da definição quanto aos requisitos a serem priorizados, resulta clara a condição de utilização de orçamentos de fornecedores e consulta em sites especializados apenas de forma subsidiária na consulta de preços. Reforçando desse modo a regra dos parágrafos 2º e 4º do artigo 2º da Portaria 804 e inciso II do artigo 5º da IN nº 73. </w:t>
      </w:r>
    </w:p>
    <w:p w14:paraId="41B61624" w14:textId="77777777" w:rsidR="004E2E2D" w:rsidRDefault="004E2E2D" w:rsidP="004E2E2D">
      <w:pPr>
        <w:spacing w:line="360" w:lineRule="auto"/>
        <w:ind w:left="1134" w:firstLine="1701"/>
        <w:jc w:val="both"/>
      </w:pPr>
      <w:r>
        <w:t xml:space="preserve"> Assim, diante da realidade aqui apresentada, essa administração tomou como base contratações de Sistemas de Gestão formalizados pelas administrações dos municípios de Imbituba/SC, São João Batista/SC, São Joaquim/SC,  todos pertencentes a nosso estado e com similaridades tanto no aspecto populacional como também na prestação dos serviços de gestão pública com nosso município. </w:t>
      </w:r>
    </w:p>
    <w:p w14:paraId="017C3B6C" w14:textId="77777777" w:rsidR="004E2E2D" w:rsidRDefault="004E2E2D" w:rsidP="004E2E2D">
      <w:pPr>
        <w:spacing w:line="360" w:lineRule="auto"/>
        <w:ind w:firstLine="2835"/>
        <w:jc w:val="both"/>
        <w:rPr>
          <w:b/>
          <w:bCs/>
        </w:rPr>
      </w:pPr>
    </w:p>
    <w:p w14:paraId="160057A2" w14:textId="77777777" w:rsidR="004E2E2D" w:rsidRDefault="004E2E2D" w:rsidP="004E2E2D">
      <w:pPr>
        <w:tabs>
          <w:tab w:val="left" w:pos="851"/>
        </w:tabs>
        <w:spacing w:line="360" w:lineRule="auto"/>
        <w:ind w:left="992" w:firstLine="1843"/>
        <w:jc w:val="both"/>
      </w:pPr>
      <w:r>
        <w:t xml:space="preserve">Segue adiante descritivo dos valores pagos por tais administrações: </w:t>
      </w:r>
    </w:p>
    <w:p w14:paraId="262E9A93" w14:textId="77777777" w:rsidR="004E2E2D" w:rsidRDefault="004E2E2D" w:rsidP="004E2E2D">
      <w:pPr>
        <w:tabs>
          <w:tab w:val="left" w:pos="851"/>
        </w:tabs>
        <w:spacing w:line="360" w:lineRule="auto"/>
        <w:ind w:left="992"/>
        <w:jc w:val="both"/>
        <w:rPr>
          <w:b/>
          <w:bCs/>
          <w:u w:val="single"/>
        </w:rPr>
      </w:pPr>
    </w:p>
    <w:p w14:paraId="64ECCBA2" w14:textId="77777777" w:rsidR="004E2E2D" w:rsidRDefault="004E2E2D" w:rsidP="004E2E2D">
      <w:pPr>
        <w:ind w:left="1134"/>
        <w:jc w:val="both"/>
        <w:rPr>
          <w:rStyle w:val="LinkdaInternet"/>
          <w:b/>
          <w:bCs/>
        </w:rPr>
      </w:pPr>
      <w:hyperlink r:id="rId7"/>
    </w:p>
    <w:p w14:paraId="6B4D0052" w14:textId="77777777" w:rsidR="004E2E2D" w:rsidRDefault="004E2E2D" w:rsidP="004E2E2D">
      <w:pPr>
        <w:ind w:left="1134"/>
        <w:jc w:val="both"/>
      </w:pPr>
      <w:hyperlink r:id="rId8">
        <w:r>
          <w:rPr>
            <w:rStyle w:val="LinkdaInternet"/>
            <w:b/>
            <w:bCs/>
          </w:rPr>
          <w:t>PREFEITURA MUNICIPAL DE SANTO AMARO DA IMPERATRIZ</w:t>
        </w:r>
      </w:hyperlink>
    </w:p>
    <w:p w14:paraId="041232B1" w14:textId="77777777" w:rsidR="004E2E2D" w:rsidRDefault="004E2E2D" w:rsidP="004E2E2D">
      <w:pPr>
        <w:ind w:left="1134"/>
        <w:jc w:val="both"/>
        <w:rPr>
          <w:rStyle w:val="LinkdaInternet"/>
        </w:rPr>
      </w:pPr>
    </w:p>
    <w:p w14:paraId="492F6F2A" w14:textId="77777777" w:rsidR="004E2E2D" w:rsidRDefault="004E2E2D" w:rsidP="004E2E2D">
      <w:pPr>
        <w:ind w:left="1134"/>
        <w:jc w:val="both"/>
      </w:pPr>
      <w:r>
        <w:rPr>
          <w:rStyle w:val="LinkdaInternet"/>
        </w:rPr>
        <w:t>P</w:t>
      </w:r>
      <w:hyperlink r:id="rId9">
        <w:r>
          <w:rPr>
            <w:rStyle w:val="LinkdaInternet"/>
          </w:rPr>
          <w:t>REGÃO PRESENCIAL 50/20</w:t>
        </w:r>
      </w:hyperlink>
      <w:r>
        <w:rPr>
          <w:rStyle w:val="LinkdaInternet"/>
        </w:rPr>
        <w:t>19</w:t>
      </w:r>
    </w:p>
    <w:p w14:paraId="3BC8874F" w14:textId="77777777" w:rsidR="004E2E2D" w:rsidRDefault="004E2E2D" w:rsidP="004E2E2D">
      <w:pPr>
        <w:ind w:left="1134"/>
        <w:jc w:val="both"/>
      </w:pPr>
      <w:r>
        <w:t>VALOR INICIAL: R$ 367.020,00</w:t>
      </w:r>
    </w:p>
    <w:p w14:paraId="16FBAE81" w14:textId="77777777" w:rsidR="004E2E2D" w:rsidRDefault="004E2E2D" w:rsidP="004E2E2D">
      <w:pPr>
        <w:ind w:left="1134"/>
        <w:jc w:val="both"/>
      </w:pPr>
      <w:r>
        <w:t>VALOR FINAL: R$ 749.858,64</w:t>
      </w:r>
    </w:p>
    <w:p w14:paraId="5062454F" w14:textId="77777777" w:rsidR="004E2E2D" w:rsidRDefault="004E2E2D" w:rsidP="004E2E2D">
      <w:pPr>
        <w:ind w:left="1134"/>
        <w:jc w:val="both"/>
      </w:pPr>
      <w:r>
        <w:t>CONTRATO: 123 / ADITIVO: 04/01/2021</w:t>
      </w:r>
    </w:p>
    <w:p w14:paraId="6509B540" w14:textId="77777777" w:rsidR="004E2E2D" w:rsidRDefault="004E2E2D" w:rsidP="004E2E2D">
      <w:pPr>
        <w:ind w:left="1134"/>
        <w:jc w:val="both"/>
      </w:pPr>
      <w:r>
        <w:t>INICIO: 04/01/2021 – ENCERRA: 03/01/2022</w:t>
      </w:r>
    </w:p>
    <w:p w14:paraId="407B3204" w14:textId="77777777" w:rsidR="004E2E2D" w:rsidRDefault="004E2E2D" w:rsidP="004E2E2D">
      <w:pPr>
        <w:ind w:left="1134"/>
        <w:jc w:val="both"/>
        <w:rPr>
          <w:b/>
          <w:bCs/>
          <w:u w:val="single"/>
        </w:rPr>
      </w:pPr>
    </w:p>
    <w:p w14:paraId="513A8E28" w14:textId="77777777" w:rsidR="004E2E2D" w:rsidRDefault="004E2E2D" w:rsidP="004E2E2D">
      <w:pPr>
        <w:ind w:left="1134"/>
        <w:jc w:val="both"/>
      </w:pPr>
      <w:r>
        <w:rPr>
          <w:b/>
          <w:bCs/>
        </w:rPr>
        <w:t>OBJETO:</w:t>
      </w:r>
      <w:r>
        <w:t xml:space="preserve">  a presente licitação tem por objeto a contratação de empresa especializada para licenciamento temporário e não exclusivo de uso de sistemas de informática integrados para a gestão pública, com total aderência às nbcasp e ao pcasp , siconv, siops, siope, exigências da lc-131 (lei complementar 131/09 lei da transparência), siconfi/stn, demais orientações e determinações dastn-secretaria do tesouro nacional, e demais legislações vigentes, para serem utilizados pela prefeitura municipal</w:t>
      </w:r>
      <w:r>
        <w:rPr>
          <w:sz w:val="16"/>
        </w:rPr>
        <w:t>.</w:t>
      </w:r>
    </w:p>
    <w:p w14:paraId="4E6C720B" w14:textId="77777777" w:rsidR="004E2E2D" w:rsidRDefault="004E2E2D" w:rsidP="004E2E2D"/>
    <w:p w14:paraId="315FDDD9" w14:textId="77777777" w:rsidR="004E2E2D" w:rsidRDefault="004E2E2D" w:rsidP="004E2E2D">
      <w:pPr>
        <w:ind w:left="1134"/>
        <w:jc w:val="both"/>
      </w:pPr>
      <w:r>
        <w:rPr>
          <w:b/>
          <w:bCs/>
        </w:rPr>
        <w:t xml:space="preserve">Fonte: </w:t>
      </w:r>
      <w:hyperlink r:id="rId10">
        <w:r>
          <w:rPr>
            <w:rStyle w:val="LinkdaInternet"/>
            <w:b/>
            <w:bCs/>
          </w:rPr>
          <w:t>https://e-gov.betha.com.br/transparencia/01037-098/con_contratos.faces</w:t>
        </w:r>
      </w:hyperlink>
    </w:p>
    <w:p w14:paraId="45CE9D1B" w14:textId="77777777" w:rsidR="004E2E2D" w:rsidRDefault="004E2E2D" w:rsidP="004E2E2D">
      <w:pPr>
        <w:ind w:left="1134"/>
        <w:jc w:val="both"/>
        <w:rPr>
          <w:b/>
          <w:bCs/>
        </w:rPr>
      </w:pPr>
    </w:p>
    <w:p w14:paraId="226DF565" w14:textId="77777777" w:rsidR="004E2E2D" w:rsidRDefault="004E2E2D" w:rsidP="004E2E2D">
      <w:pPr>
        <w:ind w:left="1134"/>
        <w:jc w:val="both"/>
        <w:rPr>
          <w:rStyle w:val="LinkdaInternet"/>
          <w:b/>
          <w:bCs/>
        </w:rPr>
      </w:pPr>
    </w:p>
    <w:p w14:paraId="6F6BDC56" w14:textId="77777777" w:rsidR="004E2E2D" w:rsidRDefault="004E2E2D" w:rsidP="004E2E2D">
      <w:pPr>
        <w:ind w:left="1134"/>
        <w:jc w:val="both"/>
        <w:rPr>
          <w:rStyle w:val="LinkdaInternet"/>
          <w:b/>
          <w:bCs/>
        </w:rPr>
      </w:pPr>
    </w:p>
    <w:p w14:paraId="17F0B55F" w14:textId="77777777" w:rsidR="004E2E2D" w:rsidRDefault="004E2E2D" w:rsidP="004E2E2D">
      <w:pPr>
        <w:ind w:left="1134"/>
        <w:jc w:val="both"/>
      </w:pPr>
      <w:hyperlink r:id="rId11">
        <w:r>
          <w:rPr>
            <w:rStyle w:val="LinkdaInternet"/>
            <w:b/>
            <w:bCs/>
          </w:rPr>
          <w:t xml:space="preserve">PREFEITURA MUNICIPAL DE BALNEÁRIO </w:t>
        </w:r>
      </w:hyperlink>
      <w:r>
        <w:rPr>
          <w:b/>
          <w:bCs/>
        </w:rPr>
        <w:t xml:space="preserve">PIÇARRAS </w:t>
      </w:r>
    </w:p>
    <w:p w14:paraId="086AC72C" w14:textId="77777777" w:rsidR="004E2E2D" w:rsidRDefault="004E2E2D" w:rsidP="004E2E2D">
      <w:pPr>
        <w:ind w:left="1134"/>
        <w:rPr>
          <w:rStyle w:val="LinkdaInternet"/>
        </w:rPr>
      </w:pPr>
      <w:hyperlink r:id="rId12"/>
    </w:p>
    <w:p w14:paraId="0367854E" w14:textId="77777777" w:rsidR="004E2E2D" w:rsidRDefault="004E2E2D" w:rsidP="004E2E2D">
      <w:pPr>
        <w:ind w:left="1134"/>
      </w:pPr>
      <w:hyperlink r:id="rId13">
        <w:r>
          <w:rPr>
            <w:rStyle w:val="LinkdaInternet"/>
          </w:rPr>
          <w:t>PREGÃO PRESENCIAL 13/</w:t>
        </w:r>
      </w:hyperlink>
      <w:r>
        <w:t xml:space="preserve">2019 - VALOR ATUAL ANUAL R$ </w:t>
      </w:r>
      <w:r>
        <w:rPr>
          <w:rFonts w:cstheme="minorHAnsi"/>
        </w:rPr>
        <w:t>1.110.121,99</w:t>
      </w:r>
    </w:p>
    <w:p w14:paraId="3571BC28" w14:textId="77777777" w:rsidR="004E2E2D" w:rsidRDefault="004E2E2D" w:rsidP="004E2E2D">
      <w:pPr>
        <w:ind w:left="1134"/>
      </w:pPr>
      <w:r>
        <w:rPr>
          <w:rFonts w:cstheme="minorHAnsi"/>
        </w:rPr>
        <w:t>TERMO ADITIVO 010/2020 PMBP DE 23/12/2020</w:t>
      </w:r>
    </w:p>
    <w:p w14:paraId="674C148F" w14:textId="77777777" w:rsidR="004E2E2D" w:rsidRDefault="004E2E2D" w:rsidP="004E2E2D">
      <w:pPr>
        <w:ind w:left="1134"/>
      </w:pPr>
      <w:r>
        <w:rPr>
          <w:rFonts w:cstheme="minorHAnsi"/>
        </w:rPr>
        <w:t>CONTRATO Nº 013/2019 PMBP DE 26/04/2019</w:t>
      </w:r>
    </w:p>
    <w:p w14:paraId="6CBD9D78" w14:textId="77777777" w:rsidR="004E2E2D" w:rsidRDefault="004E2E2D" w:rsidP="004E2E2D">
      <w:pPr>
        <w:ind w:left="1134"/>
      </w:pPr>
      <w:r>
        <w:rPr>
          <w:rFonts w:cstheme="minorHAnsi"/>
        </w:rPr>
        <w:lastRenderedPageBreak/>
        <w:t>PROCESSO LICITATÓRIO Nº 010/2019 PMBP</w:t>
      </w:r>
    </w:p>
    <w:p w14:paraId="414EF789" w14:textId="77777777" w:rsidR="004E2E2D" w:rsidRDefault="004E2E2D" w:rsidP="004E2E2D">
      <w:pPr>
        <w:ind w:left="1134"/>
      </w:pPr>
      <w:r>
        <w:rPr>
          <w:rFonts w:cstheme="minorHAnsi"/>
        </w:rPr>
        <w:t xml:space="preserve">PREGÃO PRESENCIAL Nº 003/2019 PMBP </w:t>
      </w:r>
    </w:p>
    <w:p w14:paraId="0D7B0ED3" w14:textId="77777777" w:rsidR="004E2E2D" w:rsidRDefault="004E2E2D" w:rsidP="004E2E2D">
      <w:pPr>
        <w:ind w:left="1134"/>
      </w:pPr>
      <w:r>
        <w:rPr>
          <w:rFonts w:cstheme="minorHAnsi"/>
        </w:rPr>
        <w:t>HOMOLOGADO EM 26/04/2019</w:t>
      </w:r>
    </w:p>
    <w:p w14:paraId="44F47624" w14:textId="77777777" w:rsidR="004E2E2D" w:rsidRDefault="004E2E2D" w:rsidP="004E2E2D">
      <w:pPr>
        <w:ind w:left="1134"/>
        <w:rPr>
          <w:b/>
          <w:bCs/>
        </w:rPr>
      </w:pPr>
    </w:p>
    <w:p w14:paraId="71651379" w14:textId="77777777" w:rsidR="004E2E2D" w:rsidRDefault="004E2E2D" w:rsidP="004E2E2D">
      <w:pPr>
        <w:ind w:left="1134"/>
        <w:jc w:val="both"/>
      </w:pPr>
      <w:r>
        <w:rPr>
          <w:b/>
          <w:bCs/>
        </w:rPr>
        <w:t xml:space="preserve">OBJETO: </w:t>
      </w:r>
      <w:r>
        <w:rPr>
          <w:rFonts w:cstheme="minorHAnsi"/>
          <w:b/>
          <w:bCs/>
          <w:sz w:val="20"/>
          <w:szCs w:val="20"/>
        </w:rPr>
        <w:t>O presente contrato é decorrente do PROCESSO LICITATÓRIO Nº 010/2019 PMBP, PREGÃO PRESENCIAL Nº 003/2019 PMBP, do qual foi vencedora a CONTRATADA, obrigando-se a mesma a fornecer sistema integrado de gestão pública, incluindo ainda serviços de instalação, migração de dados, treinamento, implantação, manutenção, garantia de atualização legal, atualização tecnológica e suporte para atendimento de necessidades da Administração Municipal, conforme solicitação das Secretarias e Autarquias Municipais, anexa ao Processo</w:t>
      </w:r>
      <w:r>
        <w:rPr>
          <w:b/>
          <w:bCs/>
        </w:rPr>
        <w:t xml:space="preserve"> </w:t>
      </w:r>
      <w:r>
        <w:rPr>
          <w:b/>
          <w:bCs/>
          <w:color w:val="000000"/>
        </w:rPr>
        <w:t xml:space="preserve"> </w:t>
      </w:r>
    </w:p>
    <w:p w14:paraId="4DA90556" w14:textId="77777777" w:rsidR="004E2E2D" w:rsidRDefault="004E2E2D" w:rsidP="004E2E2D">
      <w:pPr>
        <w:ind w:left="1134"/>
        <w:jc w:val="both"/>
        <w:rPr>
          <w:b/>
          <w:bCs/>
        </w:rPr>
      </w:pPr>
    </w:p>
    <w:p w14:paraId="683EA229" w14:textId="77777777" w:rsidR="004E2E2D" w:rsidRDefault="004E2E2D" w:rsidP="004E2E2D">
      <w:pPr>
        <w:ind w:left="1134"/>
        <w:jc w:val="both"/>
      </w:pPr>
      <w:r>
        <w:rPr>
          <w:b/>
          <w:bCs/>
        </w:rPr>
        <w:t xml:space="preserve">Fonte: </w:t>
      </w:r>
      <w:hyperlink r:id="rId14" w:anchor="!/grupo/1/item/2/tipo/1" w:history="1">
        <w:hyperlink>
          <w:r>
            <w:rPr>
              <w:rStyle w:val="LinkdaInternet"/>
              <w:b/>
              <w:bCs/>
            </w:rPr>
            <w:t>https://balneariopicarras.atende.net/?pg=transparencia#!/grupo/1/item/2/tipo/1</w:t>
          </w:r>
        </w:hyperlink>
      </w:hyperlink>
    </w:p>
    <w:p w14:paraId="45DFEAA4" w14:textId="77777777" w:rsidR="004E2E2D" w:rsidRDefault="004E2E2D" w:rsidP="004E2E2D">
      <w:pPr>
        <w:ind w:left="1134"/>
        <w:jc w:val="both"/>
        <w:rPr>
          <w:b/>
          <w:bCs/>
        </w:rPr>
      </w:pPr>
    </w:p>
    <w:p w14:paraId="3A39770F" w14:textId="77777777" w:rsidR="004E2E2D" w:rsidRDefault="004E2E2D" w:rsidP="004E2E2D">
      <w:pPr>
        <w:ind w:left="1134"/>
        <w:jc w:val="both"/>
        <w:rPr>
          <w:rStyle w:val="LinkdaInternet"/>
          <w:b/>
          <w:bCs/>
        </w:rPr>
      </w:pPr>
    </w:p>
    <w:p w14:paraId="4999605A" w14:textId="77777777" w:rsidR="004E2E2D" w:rsidRDefault="004E2E2D" w:rsidP="004E2E2D">
      <w:pPr>
        <w:ind w:left="1134"/>
        <w:jc w:val="both"/>
        <w:rPr>
          <w:rStyle w:val="LinkdaInternet"/>
          <w:b/>
          <w:bCs/>
        </w:rPr>
      </w:pPr>
    </w:p>
    <w:p w14:paraId="1C1237BC" w14:textId="77777777" w:rsidR="004E2E2D" w:rsidRDefault="004E2E2D" w:rsidP="004E2E2D">
      <w:pPr>
        <w:ind w:left="1134"/>
        <w:jc w:val="both"/>
        <w:rPr>
          <w:rStyle w:val="LinkdaInternet"/>
          <w:b/>
          <w:bCs/>
        </w:rPr>
      </w:pPr>
    </w:p>
    <w:p w14:paraId="01F0F560" w14:textId="77777777" w:rsidR="004E2E2D" w:rsidRDefault="004E2E2D" w:rsidP="004E2E2D">
      <w:pPr>
        <w:ind w:left="1134"/>
        <w:jc w:val="both"/>
      </w:pPr>
      <w:hyperlink r:id="rId15">
        <w:r>
          <w:rPr>
            <w:rStyle w:val="LinkdaInternet"/>
            <w:b/>
            <w:bCs/>
          </w:rPr>
          <w:t xml:space="preserve">PREFEITURA MUNICIPAL DE </w:t>
        </w:r>
      </w:hyperlink>
      <w:r>
        <w:rPr>
          <w:b/>
          <w:bCs/>
        </w:rPr>
        <w:t>BOMBINHAS</w:t>
      </w:r>
    </w:p>
    <w:p w14:paraId="140221B2" w14:textId="77777777" w:rsidR="004E2E2D" w:rsidRDefault="004E2E2D" w:rsidP="004E2E2D">
      <w:pPr>
        <w:ind w:left="1134"/>
        <w:jc w:val="both"/>
      </w:pPr>
      <w:hyperlink r:id="rId16">
        <w:r>
          <w:rPr>
            <w:rStyle w:val="LinkdaInternet"/>
          </w:rPr>
          <w:t>PROCESSO DE COMPRA: 47/</w:t>
        </w:r>
      </w:hyperlink>
      <w:r>
        <w:t>2020 – LICITAÇÃO: 06/2020</w:t>
      </w:r>
    </w:p>
    <w:p w14:paraId="30D35786" w14:textId="77777777" w:rsidR="004E2E2D" w:rsidRDefault="004E2E2D" w:rsidP="004E2E2D">
      <w:pPr>
        <w:ind w:left="1134"/>
        <w:jc w:val="both"/>
      </w:pPr>
      <w:r>
        <w:t>CONTRATO 074</w:t>
      </w:r>
      <w:r>
        <w:rPr>
          <w:color w:val="333333"/>
        </w:rPr>
        <w:t>/2020</w:t>
      </w:r>
      <w:r>
        <w:t xml:space="preserve"> – VENCIMENTO EM 04/04/2021 </w:t>
      </w:r>
    </w:p>
    <w:p w14:paraId="36D18074" w14:textId="77777777" w:rsidR="004E2E2D" w:rsidRDefault="004E2E2D" w:rsidP="004E2E2D">
      <w:pPr>
        <w:ind w:left="1134"/>
        <w:jc w:val="both"/>
      </w:pPr>
      <w:r>
        <w:t>VALOR ATUAL ANUAL R$ 690.795,30</w:t>
      </w:r>
    </w:p>
    <w:p w14:paraId="1E39B4A4" w14:textId="77777777" w:rsidR="004E2E2D" w:rsidRDefault="004E2E2D" w:rsidP="004E2E2D">
      <w:pPr>
        <w:spacing w:line="360" w:lineRule="auto"/>
        <w:ind w:left="1134"/>
        <w:jc w:val="both"/>
        <w:rPr>
          <w:b/>
          <w:bCs/>
        </w:rPr>
      </w:pPr>
    </w:p>
    <w:p w14:paraId="26D3AA88" w14:textId="77777777" w:rsidR="004E2E2D" w:rsidRDefault="004E2E2D" w:rsidP="004E2E2D">
      <w:pPr>
        <w:ind w:left="1134"/>
      </w:pPr>
      <w:r>
        <w:rPr>
          <w:b/>
          <w:bCs/>
        </w:rPr>
        <w:t>OBJETO:</w:t>
      </w:r>
      <w:r>
        <w:t xml:space="preserve"> </w:t>
      </w:r>
      <w:r>
        <w:rPr>
          <w:bCs/>
          <w:color w:val="000000"/>
        </w:rPr>
        <w:t>CONTRATA</w:t>
      </w:r>
      <w:r>
        <w:t>ÇÃO DE EMPRESA PARA LOCAÇÃO DE SOFTWARE DE GESTÃO PÚBLICA, BEM COMO, SUPORTE TÉCNICO NECESSÁRIO A</w:t>
      </w:r>
    </w:p>
    <w:p w14:paraId="2141EAAA" w14:textId="77777777" w:rsidR="004E2E2D" w:rsidRDefault="004E2E2D" w:rsidP="004E2E2D">
      <w:pPr>
        <w:ind w:left="1134"/>
      </w:pPr>
      <w:r>
        <w:t>OPERACIONALIZAÇÃO DOS SISTEMAS, EM CARÁTER EMERGENCIAL PELO PERÍODO DE 90 (NOVENTA) DIAS</w:t>
      </w:r>
      <w:r>
        <w:rPr>
          <w:bCs/>
          <w:color w:val="000000"/>
        </w:rPr>
        <w:t>.</w:t>
      </w:r>
      <w:r>
        <w:rPr>
          <w:b/>
          <w:bCs/>
          <w:color w:val="000000"/>
        </w:rPr>
        <w:t xml:space="preserve"> </w:t>
      </w:r>
    </w:p>
    <w:p w14:paraId="78D44BA1" w14:textId="77777777" w:rsidR="004E2E2D" w:rsidRDefault="004E2E2D" w:rsidP="004E2E2D">
      <w:pPr>
        <w:ind w:left="1134"/>
        <w:jc w:val="both"/>
        <w:rPr>
          <w:b/>
          <w:bCs/>
        </w:rPr>
      </w:pPr>
    </w:p>
    <w:p w14:paraId="03665175" w14:textId="77777777" w:rsidR="004E2E2D" w:rsidRDefault="004E2E2D" w:rsidP="004E2E2D">
      <w:pPr>
        <w:ind w:left="1134"/>
        <w:jc w:val="both"/>
      </w:pPr>
      <w:r>
        <w:rPr>
          <w:b/>
          <w:bCs/>
        </w:rPr>
        <w:t xml:space="preserve">Fonte: </w:t>
      </w:r>
      <w:hyperlink>
        <w:r>
          <w:rPr>
            <w:rStyle w:val="LinkdaInternet"/>
            <w:b/>
            <w:bCs/>
          </w:rPr>
          <w:t>https://e-gov.betha.com.br/transparencia/01037-098/con_contratos.faces</w:t>
        </w:r>
      </w:hyperlink>
    </w:p>
    <w:p w14:paraId="074FB3A0" w14:textId="77777777" w:rsidR="004E2E2D" w:rsidRDefault="004E2E2D" w:rsidP="004E2E2D">
      <w:pPr>
        <w:ind w:left="1134"/>
        <w:jc w:val="both"/>
      </w:pPr>
    </w:p>
    <w:p w14:paraId="17AAA47E" w14:textId="77777777" w:rsidR="004E2E2D" w:rsidRDefault="004E2E2D" w:rsidP="004E2E2D">
      <w:pPr>
        <w:ind w:left="1134"/>
        <w:jc w:val="both"/>
      </w:pPr>
    </w:p>
    <w:p w14:paraId="0875456D" w14:textId="77777777" w:rsidR="004E2E2D" w:rsidRDefault="004E2E2D" w:rsidP="004E2E2D">
      <w:pPr>
        <w:ind w:left="1134"/>
        <w:jc w:val="both"/>
      </w:pPr>
    </w:p>
    <w:p w14:paraId="15F51D4C" w14:textId="77777777" w:rsidR="004E2E2D" w:rsidRDefault="004E2E2D" w:rsidP="004E2E2D">
      <w:pPr>
        <w:ind w:left="1134"/>
        <w:jc w:val="both"/>
        <w:rPr>
          <w:b/>
          <w:bCs/>
        </w:rPr>
      </w:pPr>
      <w:r>
        <w:t xml:space="preserve"> </w:t>
      </w:r>
    </w:p>
    <w:p w14:paraId="7771B703" w14:textId="77777777" w:rsidR="004E2E2D" w:rsidRDefault="004E2E2D" w:rsidP="004E2E2D">
      <w:pPr>
        <w:tabs>
          <w:tab w:val="left" w:pos="851"/>
        </w:tabs>
        <w:spacing w:line="360" w:lineRule="auto"/>
        <w:ind w:left="992" w:firstLine="1"/>
        <w:jc w:val="both"/>
        <w:rPr>
          <w:b/>
          <w:bCs/>
          <w:u w:val="single"/>
        </w:rPr>
      </w:pPr>
      <w:r>
        <w:rPr>
          <w:b/>
          <w:bCs/>
          <w:u w:val="single"/>
        </w:rPr>
        <w:t>CONCLUSÃO</w:t>
      </w:r>
    </w:p>
    <w:p w14:paraId="6086D617" w14:textId="77777777" w:rsidR="004E2E2D" w:rsidRDefault="004E2E2D" w:rsidP="004E2E2D">
      <w:pPr>
        <w:tabs>
          <w:tab w:val="left" w:pos="851"/>
        </w:tabs>
        <w:spacing w:line="360" w:lineRule="auto"/>
        <w:ind w:left="992" w:firstLine="1843"/>
        <w:jc w:val="both"/>
      </w:pPr>
      <w:r>
        <w:t xml:space="preserve">Desse modo concluímos que, os valores praticados pelas contratações das administrações ora tomadas como parâmetro, indicam que o valor definido por essa administração para a presente contratação, não se caracteriza como excessivo nem como inexequível. </w:t>
      </w:r>
    </w:p>
    <w:p w14:paraId="2FD00EB1" w14:textId="77777777" w:rsidR="004E2E2D" w:rsidRDefault="004E2E2D" w:rsidP="004E2E2D">
      <w:pPr>
        <w:tabs>
          <w:tab w:val="left" w:pos="851"/>
        </w:tabs>
        <w:spacing w:line="360" w:lineRule="auto"/>
        <w:ind w:left="992" w:firstLine="1843"/>
        <w:jc w:val="both"/>
      </w:pPr>
      <w:r>
        <w:t xml:space="preserve">Necessário salientar de que os sistemas das administrações tomadas como parâmetro ou de que qualquer outra que ainda se encontra em sistema desktop ou então que apresentam sistema de gestão por intermédio de emulação de dados, além de baseados em tecnologia inferior, apresentam custos finais superiores. </w:t>
      </w:r>
    </w:p>
    <w:p w14:paraId="5BD06A13" w14:textId="77777777" w:rsidR="004E2E2D" w:rsidRDefault="004E2E2D" w:rsidP="004E2E2D">
      <w:pPr>
        <w:tabs>
          <w:tab w:val="left" w:pos="851"/>
        </w:tabs>
        <w:spacing w:line="360" w:lineRule="auto"/>
        <w:ind w:left="992" w:firstLine="1843"/>
        <w:jc w:val="both"/>
      </w:pPr>
      <w:r>
        <w:t xml:space="preserve">Além do que, de acordo com o atual momento, o sistema baseado ainda em </w:t>
      </w:r>
      <w:r>
        <w:rPr>
          <w:i/>
          <w:iCs/>
        </w:rPr>
        <w:t>desktop</w:t>
      </w:r>
      <w:r>
        <w:t xml:space="preserve">, acaba por trazer dificuldades para gerir o sistema de gestão distante do prédio central ou qualquer outra unidade da administração ou mesmo em </w:t>
      </w:r>
      <w:r>
        <w:rPr>
          <w:i/>
          <w:iCs/>
        </w:rPr>
        <w:t>home office</w:t>
      </w:r>
      <w:r>
        <w:t xml:space="preserve">, posto que, ainda não em sistema operacional baseado em nuvem. </w:t>
      </w:r>
    </w:p>
    <w:p w14:paraId="65824992" w14:textId="77777777" w:rsidR="004E2E2D" w:rsidRDefault="004E2E2D" w:rsidP="004E2E2D">
      <w:pPr>
        <w:tabs>
          <w:tab w:val="left" w:pos="851"/>
        </w:tabs>
        <w:spacing w:line="360" w:lineRule="auto"/>
        <w:ind w:left="992" w:firstLine="1843"/>
        <w:jc w:val="both"/>
      </w:pPr>
      <w:r>
        <w:t xml:space="preserve">Cumpre ainda salientar de que o valor definido para a presente </w:t>
      </w:r>
      <w:r>
        <w:lastRenderedPageBreak/>
        <w:t>contratação demonstra ainda que, não somente pelos parâmetros apurados, mas pela necessidade atual e futura dessa administração, principalmente em se assegurar de que estará contratando um fornecedor que possa suprir integralmente tais necessidades, de modo especial quanto ao aumento constante inerente a capacidade de armazenamento nos serviços de data center, o valor definido se encontra dentro da realidade do mercado.</w:t>
      </w:r>
    </w:p>
    <w:p w14:paraId="6C5A8834" w14:textId="77777777" w:rsidR="00D82798" w:rsidRDefault="00D82798"/>
    <w:sectPr w:rsidR="00D82798">
      <w:footerReference w:type="default" r:id="rId17"/>
      <w:pgSz w:w="11906" w:h="16850"/>
      <w:pgMar w:top="1780" w:right="1278" w:bottom="1121" w:left="860" w:header="0" w:footer="862"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7051578"/>
      <w:docPartObj>
        <w:docPartGallery w:val="Page Numbers (Bottom of Page)"/>
        <w:docPartUnique/>
      </w:docPartObj>
    </w:sdtPr>
    <w:sdtEndPr/>
    <w:sdtContent>
      <w:p w14:paraId="524D4ABE" w14:textId="77777777" w:rsidR="00646390" w:rsidRDefault="004E2E2D">
        <w:pPr>
          <w:pStyle w:val="Rodap"/>
          <w:jc w:val="center"/>
        </w:pPr>
        <w:r>
          <w:fldChar w:fldCharType="begin"/>
        </w:r>
        <w:r>
          <w:instrText>PAGE</w:instrText>
        </w:r>
        <w:r>
          <w:fldChar w:fldCharType="separate"/>
        </w:r>
        <w:r>
          <w:t>6</w:t>
        </w:r>
        <w:r>
          <w:fldChar w:fldCharType="end"/>
        </w:r>
      </w:p>
    </w:sdtContent>
  </w:sdt>
  <w:p w14:paraId="7A3939A8" w14:textId="77777777" w:rsidR="00646390" w:rsidRDefault="004E2E2D">
    <w:pPr>
      <w:pStyle w:val="Rodap"/>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74D9"/>
    <w:multiLevelType w:val="multilevel"/>
    <w:tmpl w:val="F3746682"/>
    <w:lvl w:ilvl="0">
      <w:start w:val="1"/>
      <w:numFmt w:val="upperRoman"/>
      <w:lvlText w:val="%1"/>
      <w:lvlJc w:val="left"/>
      <w:pPr>
        <w:tabs>
          <w:tab w:val="num" w:pos="720"/>
        </w:tabs>
        <w:ind w:left="119" w:hanging="105"/>
      </w:pPr>
      <w:rPr>
        <w:rFonts w:eastAsia="Trebuchet MS" w:cs="Trebuchet MS"/>
        <w:b/>
        <w:color w:val="162836"/>
        <w:w w:val="96"/>
        <w:sz w:val="20"/>
        <w:szCs w:val="17"/>
        <w:lang w:val="pt-PT" w:eastAsia="pt-PT" w:bidi="pt-PT"/>
      </w:rPr>
    </w:lvl>
    <w:lvl w:ilvl="1">
      <w:start w:val="1"/>
      <w:numFmt w:val="bullet"/>
      <w:lvlText w:val=""/>
      <w:lvlJc w:val="left"/>
      <w:pPr>
        <w:tabs>
          <w:tab w:val="num" w:pos="1080"/>
        </w:tabs>
        <w:ind w:left="1009" w:hanging="105"/>
      </w:pPr>
      <w:rPr>
        <w:rFonts w:ascii="Symbol" w:hAnsi="Symbol" w:cs="Symbol" w:hint="default"/>
      </w:rPr>
    </w:lvl>
    <w:lvl w:ilvl="2">
      <w:start w:val="1"/>
      <w:numFmt w:val="bullet"/>
      <w:lvlText w:val=""/>
      <w:lvlJc w:val="left"/>
      <w:pPr>
        <w:tabs>
          <w:tab w:val="num" w:pos="1440"/>
        </w:tabs>
        <w:ind w:left="1899" w:hanging="105"/>
      </w:pPr>
      <w:rPr>
        <w:rFonts w:ascii="Symbol" w:hAnsi="Symbol" w:cs="Symbol" w:hint="default"/>
      </w:rPr>
    </w:lvl>
    <w:lvl w:ilvl="3">
      <w:start w:val="1"/>
      <w:numFmt w:val="bullet"/>
      <w:lvlText w:val=""/>
      <w:lvlJc w:val="left"/>
      <w:pPr>
        <w:tabs>
          <w:tab w:val="num" w:pos="1800"/>
        </w:tabs>
        <w:ind w:left="2788" w:hanging="105"/>
      </w:pPr>
      <w:rPr>
        <w:rFonts w:ascii="Symbol" w:hAnsi="Symbol" w:cs="Symbol" w:hint="default"/>
      </w:rPr>
    </w:lvl>
    <w:lvl w:ilvl="4">
      <w:start w:val="1"/>
      <w:numFmt w:val="bullet"/>
      <w:lvlText w:val=""/>
      <w:lvlJc w:val="left"/>
      <w:pPr>
        <w:tabs>
          <w:tab w:val="num" w:pos="2160"/>
        </w:tabs>
        <w:ind w:left="3678" w:hanging="105"/>
      </w:pPr>
      <w:rPr>
        <w:rFonts w:ascii="Symbol" w:hAnsi="Symbol" w:cs="Symbol" w:hint="default"/>
      </w:rPr>
    </w:lvl>
    <w:lvl w:ilvl="5">
      <w:start w:val="1"/>
      <w:numFmt w:val="bullet"/>
      <w:lvlText w:val=""/>
      <w:lvlJc w:val="left"/>
      <w:pPr>
        <w:tabs>
          <w:tab w:val="num" w:pos="2520"/>
        </w:tabs>
        <w:ind w:left="4567" w:hanging="105"/>
      </w:pPr>
      <w:rPr>
        <w:rFonts w:ascii="Symbol" w:hAnsi="Symbol" w:cs="Symbol" w:hint="default"/>
      </w:rPr>
    </w:lvl>
    <w:lvl w:ilvl="6">
      <w:start w:val="1"/>
      <w:numFmt w:val="bullet"/>
      <w:lvlText w:val=""/>
      <w:lvlJc w:val="left"/>
      <w:pPr>
        <w:tabs>
          <w:tab w:val="num" w:pos="2880"/>
        </w:tabs>
        <w:ind w:left="5457" w:hanging="105"/>
      </w:pPr>
      <w:rPr>
        <w:rFonts w:ascii="Symbol" w:hAnsi="Symbol" w:cs="Symbol" w:hint="default"/>
      </w:rPr>
    </w:lvl>
    <w:lvl w:ilvl="7">
      <w:start w:val="1"/>
      <w:numFmt w:val="bullet"/>
      <w:lvlText w:val=""/>
      <w:lvlJc w:val="left"/>
      <w:pPr>
        <w:tabs>
          <w:tab w:val="num" w:pos="3240"/>
        </w:tabs>
        <w:ind w:left="6346" w:hanging="105"/>
      </w:pPr>
      <w:rPr>
        <w:rFonts w:ascii="Symbol" w:hAnsi="Symbol" w:cs="Symbol" w:hint="default"/>
      </w:rPr>
    </w:lvl>
    <w:lvl w:ilvl="8">
      <w:start w:val="1"/>
      <w:numFmt w:val="bullet"/>
      <w:lvlText w:val=""/>
      <w:lvlJc w:val="left"/>
      <w:pPr>
        <w:tabs>
          <w:tab w:val="num" w:pos="3600"/>
        </w:tabs>
        <w:ind w:left="7236" w:hanging="105"/>
      </w:pPr>
      <w:rPr>
        <w:rFonts w:ascii="Symbol" w:hAnsi="Symbol" w:cs="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BE"/>
    <w:rsid w:val="002765BE"/>
    <w:rsid w:val="004E2E2D"/>
    <w:rsid w:val="00D82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5DFC8-B35D-4F54-9BA6-6829B5C7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2E2D"/>
    <w:pPr>
      <w:widowControl w:val="0"/>
      <w:suppressAutoHyphens/>
      <w:spacing w:after="0" w:line="240" w:lineRule="auto"/>
    </w:pPr>
    <w:rPr>
      <w:rFonts w:ascii="Arial" w:eastAsia="Arial" w:hAnsi="Arial" w:cs="Arial"/>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basedOn w:val="Fontepargpadro"/>
    <w:link w:val="Corpodetexto"/>
    <w:uiPriority w:val="1"/>
    <w:qFormat/>
    <w:rsid w:val="004E2E2D"/>
    <w:rPr>
      <w:rFonts w:ascii="Arial" w:eastAsia="Arial" w:hAnsi="Arial" w:cs="Arial"/>
      <w:sz w:val="24"/>
      <w:szCs w:val="24"/>
      <w:lang w:val="pt-PT" w:eastAsia="pt-PT" w:bidi="pt-PT"/>
    </w:rPr>
  </w:style>
  <w:style w:type="character" w:customStyle="1" w:styleId="RodapChar">
    <w:name w:val="Rodapé Char"/>
    <w:basedOn w:val="Fontepargpadro"/>
    <w:link w:val="Rodap"/>
    <w:uiPriority w:val="99"/>
    <w:qFormat/>
    <w:rsid w:val="004E2E2D"/>
    <w:rPr>
      <w:rFonts w:ascii="Arial" w:eastAsia="Arial" w:hAnsi="Arial" w:cs="Arial"/>
      <w:lang w:val="pt-PT" w:eastAsia="pt-PT" w:bidi="pt-PT"/>
    </w:rPr>
  </w:style>
  <w:style w:type="character" w:customStyle="1" w:styleId="LinkdaInternet">
    <w:name w:val="Link da Internet"/>
    <w:basedOn w:val="Fontepargpadro"/>
    <w:uiPriority w:val="99"/>
    <w:unhideWhenUsed/>
    <w:rsid w:val="004E2E2D"/>
    <w:rPr>
      <w:color w:val="0563C1" w:themeColor="hyperlink"/>
      <w:u w:val="single"/>
    </w:rPr>
  </w:style>
  <w:style w:type="paragraph" w:styleId="Corpodetexto">
    <w:name w:val="Body Text"/>
    <w:basedOn w:val="Normal"/>
    <w:link w:val="CorpodetextoChar"/>
    <w:uiPriority w:val="1"/>
    <w:qFormat/>
    <w:rsid w:val="004E2E2D"/>
    <w:rPr>
      <w:sz w:val="24"/>
      <w:szCs w:val="24"/>
    </w:rPr>
  </w:style>
  <w:style w:type="character" w:customStyle="1" w:styleId="CorpodetextoChar1">
    <w:name w:val="Corpo de texto Char1"/>
    <w:basedOn w:val="Fontepargpadro"/>
    <w:uiPriority w:val="99"/>
    <w:semiHidden/>
    <w:rsid w:val="004E2E2D"/>
    <w:rPr>
      <w:rFonts w:ascii="Arial" w:eastAsia="Arial" w:hAnsi="Arial" w:cs="Arial"/>
      <w:lang w:val="pt-PT" w:eastAsia="pt-PT" w:bidi="pt-PT"/>
    </w:rPr>
  </w:style>
  <w:style w:type="paragraph" w:styleId="PargrafodaLista">
    <w:name w:val="List Paragraph"/>
    <w:basedOn w:val="Normal"/>
    <w:uiPriority w:val="1"/>
    <w:qFormat/>
    <w:rsid w:val="004E2E2D"/>
    <w:pPr>
      <w:ind w:left="842"/>
      <w:jc w:val="both"/>
    </w:pPr>
  </w:style>
  <w:style w:type="paragraph" w:styleId="Rodap">
    <w:name w:val="footer"/>
    <w:basedOn w:val="Normal"/>
    <w:link w:val="RodapChar"/>
    <w:uiPriority w:val="99"/>
    <w:unhideWhenUsed/>
    <w:rsid w:val="004E2E2D"/>
    <w:pPr>
      <w:tabs>
        <w:tab w:val="center" w:pos="4252"/>
        <w:tab w:val="right" w:pos="8504"/>
      </w:tabs>
    </w:pPr>
  </w:style>
  <w:style w:type="character" w:customStyle="1" w:styleId="RodapChar1">
    <w:name w:val="Rodapé Char1"/>
    <w:basedOn w:val="Fontepargpadro"/>
    <w:uiPriority w:val="99"/>
    <w:semiHidden/>
    <w:rsid w:val="004E2E2D"/>
    <w:rPr>
      <w:rFonts w:ascii="Arial" w:eastAsia="Arial" w:hAnsi="Arial" w:cs="Arial"/>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tce.rs.gov.br/aplicprod/f?p=50500:10:::NO:10:P10_ID_LICITACAO,P10_PAG_RETORNO,F50500_CD_ORGAO:213930,23,56900&amp;cs=1aLdkDpdqunFQ1I707q0WK1z_lFs" TargetMode="External"/><Relationship Id="rId13" Type="http://schemas.openxmlformats.org/officeDocument/2006/relationships/hyperlink" Target="http://www1.tce.rs.gov.br/aplicprod/f?p=50500:10:::NO:10:P10_ID_LICITACAO,P10_PAG_RETORNO,F50500_CD_ORGAO:213930,23,56900&amp;cs=1aLdkDpdqunFQ1I707q0WK1z_lF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tce.rs.gov.br/aplicprod/f?p=50500:10:::NO:10:P10_ID_LICITACAO,P10_PAG_RETORNO,F50500_CD_ORGAO:213930,23,56900&amp;cs=1aLdkDpdqunFQ1I707q0WK1z_lFs" TargetMode="External"/><Relationship Id="rId12" Type="http://schemas.openxmlformats.org/officeDocument/2006/relationships/hyperlink" Target="http://www1.tce.rs.gov.br/aplicprod/f?p=50500:10:::NO:10:P10_ID_LICITACAO,P10_PAG_RETORNO,F50500_CD_ORGAO:213930,23,56900&amp;cs=1aLdkDpdqunFQ1I707q0WK1z_lF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1.tce.rs.gov.br/aplicprod/f?p=50500:10:::NO:10:P10_ID_LICITACAO,P10_PAG_RETORNO,F50500_CD_ORGAO:213930,23,56900&amp;cs=1aLdkDpdqunFQ1I707q0WK1z_lFs" TargetMode="External"/><Relationship Id="rId1" Type="http://schemas.openxmlformats.org/officeDocument/2006/relationships/numbering" Target="numbering.xml"/><Relationship Id="rId6" Type="http://schemas.openxmlformats.org/officeDocument/2006/relationships/hyperlink" Target="https://contas.tcu.gov.br/pesquisaJurisprudencia/" TargetMode="External"/><Relationship Id="rId11" Type="http://schemas.openxmlformats.org/officeDocument/2006/relationships/hyperlink" Target="http://www1.tce.rs.gov.br/aplicprod/f?p=50500:10:::NO:10:P10_ID_LICITACAO,P10_PAG_RETORNO,F50500_CD_ORGAO:213930,23,56900&amp;cs=1aLdkDpdqunFQ1I707q0WK1z_lFs" TargetMode="External"/><Relationship Id="rId5" Type="http://schemas.openxmlformats.org/officeDocument/2006/relationships/hyperlink" Target="https://contas.tcu.gov.br/pesquisaJurisprudencia/" TargetMode="External"/><Relationship Id="rId15" Type="http://schemas.openxmlformats.org/officeDocument/2006/relationships/hyperlink" Target="http://www1.tce.rs.gov.br/aplicprod/f?p=50500:10:::NO:10:P10_ID_LICITACAO,P10_PAG_RETORNO,F50500_CD_ORGAO:213930,23,56900&amp;cs=1aLdkDpdqunFQ1I707q0WK1z_lFs" TargetMode="External"/><Relationship Id="rId10" Type="http://schemas.openxmlformats.org/officeDocument/2006/relationships/hyperlink" Target="https://e-gov.betha.com.br/transparencia/01037-098/con_contratos.fa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1.tce.rs.gov.br/aplicprod/f?p=50500:10:::NO:10:P10_ID_LICITACAO,P10_PAG_RETORNO,F50500_CD_ORGAO:213930,23,56900&amp;cs=1aLdkDpdqunFQ1I707q0WK1z_lFs" TargetMode="External"/><Relationship Id="rId14" Type="http://schemas.openxmlformats.org/officeDocument/2006/relationships/hyperlink" Target="https://balneariopicarras.atende.net/?pg=transparen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2002</Words>
  <Characters>11412</Characters>
  <Application>Microsoft Office Word</Application>
  <DocSecurity>0</DocSecurity>
  <Lines>95</Lines>
  <Paragraphs>26</Paragraphs>
  <ScaleCrop>false</ScaleCrop>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Bento</dc:creator>
  <cp:keywords/>
  <dc:description/>
  <cp:lastModifiedBy>Roberto Bento</cp:lastModifiedBy>
  <cp:revision>2</cp:revision>
  <dcterms:created xsi:type="dcterms:W3CDTF">2021-03-09T11:11:00Z</dcterms:created>
  <dcterms:modified xsi:type="dcterms:W3CDTF">2021-03-09T11:12:00Z</dcterms:modified>
</cp:coreProperties>
</file>