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Отчёт</w:t>
      </w:r>
    </w:p>
    <w:p>
      <w:pPr>
        <w:jc w:val="center"/>
      </w:pPr>
      <w:r>
        <w:rPr>
          <w:b/>
        </w:rPr>
        <w:t>по Фазе 1 «Выбор концепции проекта»</w:t>
      </w:r>
    </w:p>
    <w:p>
      <w:pPr>
        <w:jc w:val="center"/>
      </w:pPr>
      <w:r>
        <w:rPr>
          <w:b w:val="0"/>
        </w:rPr>
        <w:t>Дисциплина: «Проектный менеджмент»</w:t>
      </w:r>
    </w:p>
    <w:p>
      <w:pPr>
        <w:jc w:val="center"/>
      </w:pPr>
      <w:r>
        <w:rPr>
          <w:b w:val="0"/>
        </w:rPr>
        <w:t>Команда: Редин Никита Андреевич, Шатков Павел Вадимович, Полищук Владислав</w:t>
      </w:r>
    </w:p>
    <w:p>
      <w:pPr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rPr>
          <w:b w:val="0"/>
        </w:rPr>
        <w:t>Выбрать концепцию компактного программного проекта в области информационной безопасности, с которой команда будет работать в последующих фазах, используя методы многокритериального анализа: нечёткий коллективный TOPSIS и чёткий коллективный метод анализа иерархий (МАИ).</w:t>
      </w:r>
    </w:p>
    <w:p>
      <w:pPr>
        <w:pStyle w:val="Heading1"/>
      </w:pPr>
      <w:r>
        <w:t>2. Концепции</w:t>
      </w:r>
    </w:p>
    <w:p>
      <w:r>
        <w:rPr>
          <w:b w:val="0"/>
        </w:rPr>
        <w:t>Сформулированы четыре альтернативные концепции: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Концепция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Направление</w:t>
            </w:r>
          </w:p>
        </w:tc>
      </w:tr>
      <w:tr>
        <w:tc>
          <w:tcPr>
            <w:tcW w:type="dxa" w:w="3230"/>
          </w:tcPr>
          <w:p>
            <w:r>
              <w:t>A1</w:t>
            </w:r>
          </w:p>
        </w:tc>
        <w:tc>
          <w:tcPr>
            <w:tcW w:type="dxa" w:w="3230"/>
          </w:tcPr>
          <w:p>
            <w:r>
              <w:t>Система управления результатами тестирования на проникновение</w:t>
            </w:r>
          </w:p>
        </w:tc>
        <w:tc>
          <w:tcPr>
            <w:tcW w:type="dxa" w:w="3230"/>
          </w:tcPr>
          <w:p>
            <w:r>
              <w:t>Pentest</w:t>
            </w:r>
          </w:p>
        </w:tc>
      </w:tr>
      <w:tr>
        <w:tc>
          <w:tcPr>
            <w:tcW w:type="dxa" w:w="3230"/>
          </w:tcPr>
          <w:p>
            <w:r>
              <w:t>A2</w:t>
            </w:r>
          </w:p>
        </w:tc>
        <w:tc>
          <w:tcPr>
            <w:tcW w:type="dxa" w:w="3230"/>
          </w:tcPr>
          <w:p>
            <w:r>
              <w:t>Система контроля безопасности процесса разработки ПО</w:t>
            </w:r>
          </w:p>
        </w:tc>
        <w:tc>
          <w:tcPr>
            <w:tcW w:type="dxa" w:w="3230"/>
          </w:tcPr>
          <w:p>
            <w:r>
              <w:t>DevSecOps</w:t>
            </w:r>
          </w:p>
        </w:tc>
      </w:tr>
      <w:tr>
        <w:tc>
          <w:tcPr>
            <w:tcW w:type="dxa" w:w="3230"/>
          </w:tcPr>
          <w:p>
            <w:r>
              <w:t>A3</w:t>
            </w:r>
          </w:p>
        </w:tc>
        <w:tc>
          <w:tcPr>
            <w:tcW w:type="dxa" w:w="3230"/>
          </w:tcPr>
          <w:p>
            <w:r>
              <w:t>Система регистрации и обработки инцидентов информационной безопасности</w:t>
            </w:r>
          </w:p>
        </w:tc>
        <w:tc>
          <w:tcPr>
            <w:tcW w:type="dxa" w:w="3230"/>
          </w:tcPr>
          <w:p>
            <w:r>
              <w:t>SOC</w:t>
            </w:r>
          </w:p>
        </w:tc>
      </w:tr>
      <w:tr>
        <w:tc>
          <w:tcPr>
            <w:tcW w:type="dxa" w:w="3230"/>
          </w:tcPr>
          <w:p>
            <w:r>
              <w:t>A4</w:t>
            </w:r>
          </w:p>
        </w:tc>
        <w:tc>
          <w:tcPr>
            <w:tcW w:type="dxa" w:w="3230"/>
          </w:tcPr>
          <w:p>
            <w:r>
              <w:t>Система управления проверками защищённости информационных систем</w:t>
            </w:r>
          </w:p>
        </w:tc>
        <w:tc>
          <w:tcPr>
            <w:tcW w:type="dxa" w:w="3230"/>
          </w:tcPr>
          <w:p>
            <w:r>
              <w:t>Security Audit</w:t>
            </w:r>
          </w:p>
        </w:tc>
      </w:tr>
    </w:tbl>
    <w:p/>
    <w:p>
      <w:pPr>
        <w:pStyle w:val="Heading1"/>
      </w:pPr>
      <w:r>
        <w:t>3. Критерии оценки</w:t>
      </w:r>
    </w:p>
    <w:p>
      <w:r>
        <w:rPr>
          <w:b w:val="0"/>
        </w:rPr>
        <w:t>Определены семь критериев: четыре критерия преимуществ (benefit, большее значение лучше) и три критерия затрат (cost, меньшее значение лучше). Оценка выполнялась по шкале 0–10.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Код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3230"/>
          </w:tcPr>
          <w:p>
            <w:r>
              <w:t>K1</w:t>
            </w:r>
          </w:p>
        </w:tc>
        <w:tc>
          <w:tcPr>
            <w:tcW w:type="dxa" w:w="3230"/>
          </w:tcPr>
          <w:p>
            <w:r>
              <w:t>Практическая значимость</w:t>
            </w:r>
          </w:p>
        </w:tc>
        <w:tc>
          <w:tcPr>
            <w:tcW w:type="dxa" w:w="3230"/>
          </w:tcPr>
          <w:p>
            <w:r>
              <w:t>Benefit</w:t>
            </w:r>
          </w:p>
        </w:tc>
      </w:tr>
      <w:tr>
        <w:tc>
          <w:tcPr>
            <w:tcW w:type="dxa" w:w="3230"/>
          </w:tcPr>
          <w:p>
            <w:r>
              <w:t>K2</w:t>
            </w:r>
          </w:p>
        </w:tc>
        <w:tc>
          <w:tcPr>
            <w:tcW w:type="dxa" w:w="3230"/>
          </w:tcPr>
          <w:p>
            <w:r>
              <w:t>Функциональная содержательность</w:t>
            </w:r>
          </w:p>
        </w:tc>
        <w:tc>
          <w:tcPr>
            <w:tcW w:type="dxa" w:w="3230"/>
          </w:tcPr>
          <w:p>
            <w:r>
              <w:t>Benefit</w:t>
            </w:r>
          </w:p>
        </w:tc>
      </w:tr>
      <w:tr>
        <w:tc>
          <w:tcPr>
            <w:tcW w:type="dxa" w:w="3230"/>
          </w:tcPr>
          <w:p>
            <w:r>
              <w:t>K3</w:t>
            </w:r>
          </w:p>
        </w:tc>
        <w:tc>
          <w:tcPr>
            <w:tcW w:type="dxa" w:w="3230"/>
          </w:tcPr>
          <w:p>
            <w:r>
              <w:t>Потенциал интеграции и развития</w:t>
            </w:r>
          </w:p>
        </w:tc>
        <w:tc>
          <w:tcPr>
            <w:tcW w:type="dxa" w:w="3230"/>
          </w:tcPr>
          <w:p>
            <w:r>
              <w:t>Benefit</w:t>
            </w:r>
          </w:p>
        </w:tc>
      </w:tr>
      <w:tr>
        <w:tc>
          <w:tcPr>
            <w:tcW w:type="dxa" w:w="3230"/>
          </w:tcPr>
          <w:p>
            <w:r>
              <w:t>K4</w:t>
            </w:r>
          </w:p>
        </w:tc>
        <w:tc>
          <w:tcPr>
            <w:tcW w:type="dxa" w:w="3230"/>
          </w:tcPr>
          <w:p>
            <w:r>
              <w:t>Демонстрационная и исследовательская ценность</w:t>
            </w:r>
          </w:p>
        </w:tc>
        <w:tc>
          <w:tcPr>
            <w:tcW w:type="dxa" w:w="3230"/>
          </w:tcPr>
          <w:p>
            <w:r>
              <w:t>Benefit</w:t>
            </w:r>
          </w:p>
        </w:tc>
      </w:tr>
      <w:tr>
        <w:tc>
          <w:tcPr>
            <w:tcW w:type="dxa" w:w="3230"/>
          </w:tcPr>
          <w:p>
            <w:r>
              <w:t>K5</w:t>
            </w:r>
          </w:p>
        </w:tc>
        <w:tc>
          <w:tcPr>
            <w:tcW w:type="dxa" w:w="3230"/>
          </w:tcPr>
          <w:p>
            <w:r>
              <w:t>Трудоёмкость реализации MVP</w:t>
            </w:r>
          </w:p>
        </w:tc>
        <w:tc>
          <w:tcPr>
            <w:tcW w:type="dxa" w:w="3230"/>
          </w:tcPr>
          <w:p>
            <w:r>
              <w:t>Cost</w:t>
            </w:r>
          </w:p>
        </w:tc>
      </w:tr>
      <w:tr>
        <w:tc>
          <w:tcPr>
            <w:tcW w:type="dxa" w:w="3230"/>
          </w:tcPr>
          <w:p>
            <w:r>
              <w:t>K6</w:t>
            </w:r>
          </w:p>
        </w:tc>
        <w:tc>
          <w:tcPr>
            <w:tcW w:type="dxa" w:w="3230"/>
          </w:tcPr>
          <w:p>
            <w:r>
              <w:t>Зависимость MVP от внешних ресурсов</w:t>
            </w:r>
          </w:p>
        </w:tc>
        <w:tc>
          <w:tcPr>
            <w:tcW w:type="dxa" w:w="3230"/>
          </w:tcPr>
          <w:p>
            <w:r>
              <w:t>Cost</w:t>
            </w:r>
          </w:p>
        </w:tc>
      </w:tr>
      <w:tr>
        <w:tc>
          <w:tcPr>
            <w:tcW w:type="dxa" w:w="3230"/>
          </w:tcPr>
          <w:p>
            <w:r>
              <w:t>K7</w:t>
            </w:r>
          </w:p>
        </w:tc>
        <w:tc>
          <w:tcPr>
            <w:tcW w:type="dxa" w:w="3230"/>
          </w:tcPr>
          <w:p>
            <w:r>
              <w:t>Сложность эксплуатации и сопровождения MVP</w:t>
            </w:r>
          </w:p>
        </w:tc>
        <w:tc>
          <w:tcPr>
            <w:tcW w:type="dxa" w:w="3230"/>
          </w:tcPr>
          <w:p>
            <w:r>
              <w:t>Cost</w:t>
            </w:r>
          </w:p>
        </w:tc>
      </w:tr>
    </w:tbl>
    <w:p/>
    <w:p>
      <w:pPr>
        <w:pStyle w:val="Heading1"/>
      </w:pPr>
      <w:r>
        <w:t>4. Экспертное оценивание</w:t>
      </w:r>
    </w:p>
    <w:p>
      <w:r>
        <w:rPr>
          <w:b w:val="0"/>
        </w:rPr>
        <w:t>Оценивание проводилось тремя экспертами — участниками команды: Рединым Никитой, Шатковым Павлом и Полищуком Владиславом. Каждый эксперт независимо выставил оценку важности каждого критерия и оценку каждой концепции по каждому критерию. Три оценки упорядочивались как пессимистичная, ожидаемая и оптимистичная и образовывали треугольное нечёткое число (l, m, u) = (MIN, MEDIAN, MAX).</w:t>
      </w:r>
    </w:p>
    <w:p>
      <w:pPr>
        <w:pStyle w:val="Heading1"/>
      </w:pPr>
      <w:r>
        <w:t>5. Методы</w:t>
      </w:r>
    </w:p>
    <w:p>
      <w:pPr>
        <w:pStyle w:val="Heading2"/>
      </w:pPr>
      <w:r>
        <w:t>5.1. Нечёткий коллективный TOPSIS</w:t>
      </w:r>
    </w:p>
    <w:p>
      <w:r>
        <w:rPr>
          <w:b w:val="0"/>
        </w:rPr>
        <w:t>TOPSIS (Technique for Order Preference by Similarity to Ideal Solution) ранжирует альтернативы по степени близости к идеальному решению.</w:t>
      </w:r>
    </w:p>
    <w:p>
      <w:pPr>
        <w:pStyle w:val="ListBullet"/>
      </w:pPr>
      <w:r>
        <w:t>оценки трёх экспертов объединены в треугольные нечёткие числа, веса критериев получены делением на 10;</w:t>
      </w:r>
    </w:p>
    <w:p>
      <w:pPr>
        <w:pStyle w:val="ListBullet"/>
      </w:pPr>
      <w:r>
        <w:t>выполнена нормализация с учётом направления: для benefit r = (l/U, m/U, u/U), для cost r = (L/u, L/m, L/l);</w:t>
      </w:r>
    </w:p>
    <w:p>
      <w:pPr>
        <w:pStyle w:val="ListBullet"/>
      </w:pPr>
      <w:r>
        <w:t>нормализованные оценки умножены на нечёткие веса;</w:t>
      </w:r>
    </w:p>
    <w:p>
      <w:pPr>
        <w:pStyle w:val="ListBullet"/>
      </w:pPr>
      <w:r>
        <w:t>определены идеальное и антиидеальное решения, рассчитаны расстояния D+ и D−;</w:t>
      </w:r>
    </w:p>
    <w:p>
      <w:pPr>
        <w:pStyle w:val="ListBullet"/>
      </w:pPr>
      <w:r>
        <w:t>итоговый показатель — коэффициент близости CC = D− / (D+ + D−); чем выше CC, тем лучше концепция.</w:t>
      </w:r>
    </w:p>
    <w:p>
      <w:pPr>
        <w:pStyle w:val="Heading2"/>
      </w:pPr>
      <w:r>
        <w:t>5.2. Чёткий коллективный МАИ</w:t>
      </w:r>
    </w:p>
    <w:p>
      <w:r>
        <w:rPr>
          <w:b w:val="0"/>
        </w:rPr>
        <w:t>МАИ (Analytic Hierarchy Process) основан на попарных сравнениях объектов по шкале Саати.</w:t>
      </w:r>
    </w:p>
    <w:p>
      <w:pPr>
        <w:pStyle w:val="ListBullet"/>
      </w:pPr>
      <w:r>
        <w:t>для каждого эксперта построены матрица 7×7 сравнения критериев и семь матриц 4×4 сравнения концепций;</w:t>
      </w:r>
    </w:p>
    <w:p>
      <w:pPr>
        <w:pStyle w:val="ListBullet"/>
      </w:pPr>
      <w:r>
        <w:t>индивидуальные матрицы агрегированы поэлементным геометрическим средним;</w:t>
      </w:r>
    </w:p>
    <w:p>
      <w:pPr>
        <w:pStyle w:val="ListBullet"/>
      </w:pPr>
      <w:r>
        <w:t>веса критериев и локальные приоритеты концепций рассчитаны методом геометрического среднего строк;</w:t>
      </w:r>
    </w:p>
    <w:p>
      <w:pPr>
        <w:pStyle w:val="ListBullet"/>
      </w:pPr>
      <w:r>
        <w:t>проверена согласованность: CR ≤ 0,10 для всех 24 индивидуальных и 8 коллективных матриц (максимум ≈ 0,0292);</w:t>
      </w:r>
    </w:p>
    <w:p>
      <w:pPr>
        <w:pStyle w:val="ListBullet"/>
      </w:pPr>
      <w:r>
        <w:t>итоговый показатель — глобальный приоритет P(Ai) = Σ w(Kk)·w(Ai|Kk).</w:t>
      </w:r>
    </w:p>
    <w:p>
      <w:pPr>
        <w:pStyle w:val="Heading1"/>
      </w:pPr>
      <w:r>
        <w:t>6. Результаты</w:t>
      </w:r>
    </w:p>
    <w:p>
      <w:r>
        <w:rPr>
          <w:b w:val="0"/>
        </w:rPr>
        <w:t>Таблица 1 — Результаты нечёткого коллективного TOPSIS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Место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Концепция</w:t>
            </w:r>
          </w:p>
        </w:tc>
        <w:tc>
          <w:tcPr>
            <w:tcW w:type="dxa" w:w="1938"/>
          </w:tcPr>
          <w:p>
            <w:r>
              <w:rPr>
                <w:b/>
              </w:rPr>
              <w:t>D+</w:t>
            </w:r>
          </w:p>
        </w:tc>
        <w:tc>
          <w:tcPr>
            <w:tcW w:type="dxa" w:w="1938"/>
          </w:tcPr>
          <w:p>
            <w:r>
              <w:rPr>
                <w:b/>
              </w:rPr>
              <w:t>D−</w:t>
            </w:r>
          </w:p>
        </w:tc>
        <w:tc>
          <w:tcPr>
            <w:tcW w:type="dxa" w:w="1938"/>
          </w:tcPr>
          <w:p>
            <w:r>
              <w:rPr>
                <w:b/>
              </w:rPr>
              <w:t>CC</w:t>
            </w:r>
          </w:p>
        </w:tc>
      </w:tr>
      <w:tr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A1</w:t>
            </w:r>
          </w:p>
        </w:tc>
        <w:tc>
          <w:tcPr>
            <w:tcW w:type="dxa" w:w="1938"/>
          </w:tcPr>
          <w:p>
            <w:r>
              <w:t>1,4837</w:t>
            </w:r>
          </w:p>
        </w:tc>
        <w:tc>
          <w:tcPr>
            <w:tcW w:type="dxa" w:w="1938"/>
          </w:tcPr>
          <w:p>
            <w:r>
              <w:t>1,8118</w:t>
            </w:r>
          </w:p>
        </w:tc>
        <w:tc>
          <w:tcPr>
            <w:tcW w:type="dxa" w:w="1938"/>
          </w:tcPr>
          <w:p>
            <w:r>
              <w:t>0,5498</w:t>
            </w:r>
          </w:p>
        </w:tc>
      </w:tr>
      <w:tr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A4</w:t>
            </w:r>
          </w:p>
        </w:tc>
        <w:tc>
          <w:tcPr>
            <w:tcW w:type="dxa" w:w="1938"/>
          </w:tcPr>
          <w:p>
            <w:r>
              <w:t>1,6720</w:t>
            </w:r>
          </w:p>
        </w:tc>
        <w:tc>
          <w:tcPr>
            <w:tcW w:type="dxa" w:w="1938"/>
          </w:tcPr>
          <w:p>
            <w:r>
              <w:t>1,7190</w:t>
            </w:r>
          </w:p>
        </w:tc>
        <w:tc>
          <w:tcPr>
            <w:tcW w:type="dxa" w:w="1938"/>
          </w:tcPr>
          <w:p>
            <w:r>
              <w:t>0,5069</w:t>
            </w:r>
          </w:p>
        </w:tc>
      </w:tr>
      <w:tr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A3</w:t>
            </w:r>
          </w:p>
        </w:tc>
        <w:tc>
          <w:tcPr>
            <w:tcW w:type="dxa" w:w="1938"/>
          </w:tcPr>
          <w:p>
            <w:r>
              <w:t>1,8326</w:t>
            </w:r>
          </w:p>
        </w:tc>
        <w:tc>
          <w:tcPr>
            <w:tcW w:type="dxa" w:w="1938"/>
          </w:tcPr>
          <w:p>
            <w:r>
              <w:t>1,3849</w:t>
            </w:r>
          </w:p>
        </w:tc>
        <w:tc>
          <w:tcPr>
            <w:tcW w:type="dxa" w:w="1938"/>
          </w:tcPr>
          <w:p>
            <w:r>
              <w:t>0,4304</w:t>
            </w:r>
          </w:p>
        </w:tc>
      </w:tr>
      <w:tr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A2</w:t>
            </w:r>
          </w:p>
        </w:tc>
        <w:tc>
          <w:tcPr>
            <w:tcW w:type="dxa" w:w="1938"/>
          </w:tcPr>
          <w:p>
            <w:r>
              <w:t>2,0436</w:t>
            </w:r>
          </w:p>
        </w:tc>
        <w:tc>
          <w:tcPr>
            <w:tcW w:type="dxa" w:w="1938"/>
          </w:tcPr>
          <w:p>
            <w:r>
              <w:t>1,2064</w:t>
            </w:r>
          </w:p>
        </w:tc>
        <w:tc>
          <w:tcPr>
            <w:tcW w:type="dxa" w:w="1938"/>
          </w:tcPr>
          <w:p>
            <w:r>
              <w:t>0,3712</w:t>
            </w:r>
          </w:p>
        </w:tc>
      </w:tr>
    </w:tbl>
    <w:p/>
    <w:p>
      <w:r>
        <w:rPr>
          <w:b w:val="0"/>
        </w:rPr>
        <w:t>Таблица 2 — Результаты чёткого коллективного МАИ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Место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Концепция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Глобальный приоритет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A1</w:t>
            </w:r>
          </w:p>
        </w:tc>
        <w:tc>
          <w:tcPr>
            <w:tcW w:type="dxa" w:w="3230"/>
          </w:tcPr>
          <w:p>
            <w:r>
              <w:t>0,2909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A4</w:t>
            </w:r>
          </w:p>
        </w:tc>
        <w:tc>
          <w:tcPr>
            <w:tcW w:type="dxa" w:w="3230"/>
          </w:tcPr>
          <w:p>
            <w:r>
              <w:t>0,2522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A3</w:t>
            </w:r>
          </w:p>
        </w:tc>
        <w:tc>
          <w:tcPr>
            <w:tcW w:type="dxa" w:w="3230"/>
          </w:tcPr>
          <w:p>
            <w:r>
              <w:t>0,2517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A2</w:t>
            </w:r>
          </w:p>
        </w:tc>
        <w:tc>
          <w:tcPr>
            <w:tcW w:type="dxa" w:w="3230"/>
          </w:tcPr>
          <w:p>
            <w:r>
              <w:t>0,2052</w:t>
            </w:r>
          </w:p>
        </w:tc>
      </w:tr>
    </w:tbl>
    <w:p/>
    <w:p>
      <w:pPr>
        <w:pStyle w:val="Heading1"/>
      </w:pPr>
      <w:r>
        <w:t>7. Сравнение результатов TOPSIS и МАИ</w:t>
      </w:r>
    </w:p>
    <w:p>
      <w:r>
        <w:rPr>
          <w:b w:val="0"/>
        </w:rPr>
        <w:t>Таблица 3 — Сводное сравнение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Концепция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Место TOPSIS</w:t>
            </w:r>
          </w:p>
        </w:tc>
        <w:tc>
          <w:tcPr>
            <w:tcW w:type="dxa" w:w="1938"/>
          </w:tcPr>
          <w:p>
            <w:r>
              <w:rPr>
                <w:b/>
              </w:rPr>
              <w:t>CC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Место МАИ</w:t>
            </w:r>
          </w:p>
        </w:tc>
        <w:tc>
          <w:tcPr>
            <w:tcW w:type="dxa" w:w="1938"/>
          </w:tcPr>
          <w:p>
            <w:r>
              <w:rPr>
                <w:b/>
              </w:rPr>
              <w:t>Приоритет МАИ</w:t>
            </w:r>
          </w:p>
        </w:tc>
      </w:tr>
      <w:tr>
        <w:tc>
          <w:tcPr>
            <w:tcW w:type="dxa" w:w="1938"/>
          </w:tcPr>
          <w:p>
            <w:r>
              <w:t>A1</w:t>
            </w:r>
          </w:p>
        </w:tc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0,5498</w:t>
            </w:r>
          </w:p>
        </w:tc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0,2909</w:t>
            </w:r>
          </w:p>
        </w:tc>
      </w:tr>
      <w:tr>
        <w:tc>
          <w:tcPr>
            <w:tcW w:type="dxa" w:w="1938"/>
          </w:tcPr>
          <w:p>
            <w:r>
              <w:t>A4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0,5069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0,2522</w:t>
            </w:r>
          </w:p>
        </w:tc>
      </w:tr>
      <w:tr>
        <w:tc>
          <w:tcPr>
            <w:tcW w:type="dxa" w:w="1938"/>
          </w:tcPr>
          <w:p>
            <w:r>
              <w:t>A3</w:t>
            </w:r>
          </w:p>
        </w:tc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0,4304</w:t>
            </w:r>
          </w:p>
        </w:tc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0,2517</w:t>
            </w:r>
          </w:p>
        </w:tc>
      </w:tr>
      <w:tr>
        <w:tc>
          <w:tcPr>
            <w:tcW w:type="dxa" w:w="1938"/>
          </w:tcPr>
          <w:p>
            <w:r>
              <w:t>A2</w:t>
            </w:r>
          </w:p>
        </w:tc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0,3712</w:t>
            </w:r>
          </w:p>
        </w:tc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0,2052</w:t>
            </w:r>
          </w:p>
        </w:tc>
      </w:tr>
    </w:tbl>
    <w:p/>
    <w:p>
      <w:pPr>
        <w:pStyle w:val="ListBullet"/>
      </w:pPr>
      <w:r>
        <w:t>Ранжирования полностью совпадают: A1 &gt; A4 &gt; A3 &gt; A2. Коэффициенты ранговой корреляции Спирмена и Кендалла равны 1.</w:t>
      </w:r>
    </w:p>
    <w:p>
      <w:pPr>
        <w:pStyle w:val="ListBullet"/>
      </w:pPr>
      <w:r>
        <w:t>Лидер устойчив: отрыв A1 от второго места составляет ΔCC = 0,0429 по TOPSIS и ΔP = 0,0387 по МАИ.</w:t>
      </w:r>
    </w:p>
    <w:p>
      <w:pPr>
        <w:pStyle w:val="ListBullet"/>
      </w:pPr>
      <w:r>
        <w:t>A2 занимает последнее место в обоих методах: высокий потенциал развития не компенсирует наибольших затрат и внешних зависимостей.</w:t>
      </w:r>
    </w:p>
    <w:p>
      <w:pPr>
        <w:pStyle w:val="ListBullet"/>
      </w:pPr>
      <w:r>
        <w:t>Пара A4 / A3 неустойчива: в МАИ разница приоритетов составляет около 0,0005, тогда как в TOPSIS она заметна (0,0765). Это не влияет на выбор лидера.</w:t>
      </w:r>
    </w:p>
    <w:p>
      <w:pPr>
        <w:pStyle w:val="ListBullet"/>
      </w:pPr>
      <w:r>
        <w:t>Ограничение: матрицы МАИ предварительно сформированы из тех же оценок 0–10, что и данные TOPSIS, поэтому методы не полностью независимы; оценки подлежат подтверждению экспертами.</w:t>
      </w:r>
    </w:p>
    <w:p>
      <w:pPr>
        <w:pStyle w:val="Heading1"/>
      </w:pPr>
      <w:r>
        <w:t>8. Выводы</w:t>
      </w:r>
    </w:p>
    <w:p>
      <w:r>
        <w:rPr>
          <w:b w:val="0"/>
        </w:rPr>
        <w:t>В ходе Фазы 1 выполнены все этапы выбора концепции программного проекта:</w:t>
      </w:r>
    </w:p>
    <w:p>
      <w:pPr>
        <w:pStyle w:val="ListBullet"/>
      </w:pPr>
      <w:r>
        <w:t>сформулированы 4 альтернативные концепции;</w:t>
      </w:r>
    </w:p>
    <w:p>
      <w:pPr>
        <w:pStyle w:val="ListBullet"/>
      </w:pPr>
      <w:r>
        <w:t>определены 7 критериев оценки (4 преимущества и 3 затраты);</w:t>
      </w:r>
    </w:p>
    <w:p>
      <w:pPr>
        <w:pStyle w:val="ListBullet"/>
      </w:pPr>
      <w:r>
        <w:t>проведено коллективное экспертное оценивание тремя участниками команды;</w:t>
      </w:r>
    </w:p>
    <w:p>
      <w:pPr>
        <w:pStyle w:val="ListBullet"/>
      </w:pPr>
      <w:r>
        <w:t>выполнены расчёты двумя методами — нечётким коллективным TOPSIS и чётким коллективным МАИ;</w:t>
      </w:r>
    </w:p>
    <w:p>
      <w:pPr>
        <w:pStyle w:val="ListBullet"/>
      </w:pPr>
      <w:r>
        <w:t>проведено сравнение полученных ранжирований.</w:t>
      </w:r>
    </w:p>
    <w:p>
      <w:r>
        <w:rPr>
          <w:b w:val="0"/>
        </w:rPr>
        <w:t>Оба метода единогласно определили лидером концепцию A1 — «Система управления результатами тестирования на проникновение». Второе место занимает A4, третье — A3, последнее — A2. Концепция A1 выбрана для дальнейшей работы в Фазах 2–5.</w:t>
      </w:r>
    </w:p>
    <w:sectPr w:rsidR="00FC693F" w:rsidRPr="0006063C" w:rsidSect="00034616">
      <w:pgSz w:w="12240" w:h="15840"/>
      <w:pgMar w:top="1440" w:right="85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