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3BDD" w14:textId="457C65BE" w:rsidR="00211602" w:rsidRPr="00957F3A" w:rsidRDefault="00211602" w:rsidP="00211602">
      <w:pPr>
        <w:pStyle w:val="NoSpacing"/>
        <w:jc w:val="both"/>
        <w:rPr>
          <w:rFonts w:ascii="Rockwell" w:hAnsi="Rockwell"/>
        </w:rPr>
      </w:pPr>
      <w:r w:rsidRPr="00957F3A">
        <w:rPr>
          <w:rFonts w:ascii="Rockwell" w:eastAsia="MS Mincho" w:hAnsi="Rockwell" w:cs="Times New Roman"/>
          <w:b/>
          <w:bCs/>
          <w:noProof/>
          <w:kern w:val="0"/>
          <w:sz w:val="36"/>
          <w:szCs w:val="36"/>
          <w14:ligatures w14:val="none"/>
        </w:rPr>
        <w:drawing>
          <wp:anchor distT="0" distB="0" distL="114300" distR="114300" simplePos="0" relativeHeight="251659264" behindDoc="1" locked="0" layoutInCell="1" allowOverlap="1" wp14:anchorId="15BCFCDC" wp14:editId="0F612676">
            <wp:simplePos x="0" y="0"/>
            <wp:positionH relativeFrom="margin">
              <wp:posOffset>1758950</wp:posOffset>
            </wp:positionH>
            <wp:positionV relativeFrom="page">
              <wp:posOffset>508635</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2D60D5" w14:textId="55E82265" w:rsidR="00211602" w:rsidRPr="00957F3A" w:rsidRDefault="00211602" w:rsidP="00211602">
      <w:pPr>
        <w:pStyle w:val="NoSpacing"/>
        <w:jc w:val="both"/>
        <w:rPr>
          <w:rFonts w:ascii="Rockwell" w:hAnsi="Rockwell"/>
        </w:rPr>
      </w:pPr>
      <w:bookmarkStart w:id="0" w:name="_Hlk204368093"/>
      <w:bookmarkStart w:id="1" w:name="_Hlk197450670"/>
      <w:bookmarkEnd w:id="0"/>
      <w:bookmarkEnd w:id="1"/>
    </w:p>
    <w:p w14:paraId="42E89329" w14:textId="77777777" w:rsidR="00211602" w:rsidRPr="00957F3A" w:rsidRDefault="00211602" w:rsidP="00211602">
      <w:pPr>
        <w:pStyle w:val="NoSpacing"/>
        <w:jc w:val="both"/>
        <w:rPr>
          <w:rFonts w:ascii="Rockwell" w:hAnsi="Rockwell"/>
        </w:rPr>
      </w:pPr>
    </w:p>
    <w:p w14:paraId="6F62662E" w14:textId="77777777" w:rsidR="00211602" w:rsidRPr="00957F3A" w:rsidRDefault="00211602" w:rsidP="00211602">
      <w:pPr>
        <w:pStyle w:val="NoSpacing"/>
        <w:jc w:val="both"/>
        <w:rPr>
          <w:rFonts w:ascii="Rockwell" w:hAnsi="Rockwell"/>
        </w:rPr>
      </w:pPr>
    </w:p>
    <w:p w14:paraId="2CF6EE32" w14:textId="77777777" w:rsidR="00211602" w:rsidRPr="00957F3A" w:rsidRDefault="00211602" w:rsidP="00211602">
      <w:pPr>
        <w:pStyle w:val="NoSpacing"/>
        <w:jc w:val="both"/>
        <w:rPr>
          <w:rFonts w:ascii="Rockwell" w:eastAsia="Times New Roman" w:hAnsi="Rockwell" w:cs="Segoe UI"/>
          <w:b/>
          <w:bCs/>
          <w:kern w:val="0"/>
          <w:sz w:val="28"/>
          <w:szCs w:val="28"/>
          <w14:ligatures w14:val="none"/>
        </w:rPr>
      </w:pPr>
    </w:p>
    <w:p w14:paraId="181CB4D4" w14:textId="77777777" w:rsidR="00211602" w:rsidRPr="0012497D" w:rsidRDefault="00211602" w:rsidP="00211602">
      <w:pPr>
        <w:pStyle w:val="NoSpacing"/>
      </w:pPr>
    </w:p>
    <w:p w14:paraId="59A4DD75" w14:textId="77777777" w:rsidR="00211602" w:rsidRDefault="00211602" w:rsidP="00211602"/>
    <w:p w14:paraId="2051F97E" w14:textId="5057F6D3" w:rsidR="00211602" w:rsidRPr="00B229EF" w:rsidRDefault="00211602" w:rsidP="00B229EF">
      <w:pPr>
        <w:pStyle w:val="NoSpacing"/>
        <w:spacing w:line="360" w:lineRule="auto"/>
        <w:jc w:val="both"/>
        <w:rPr>
          <w:rFonts w:ascii="Rockwell" w:hAnsi="Rockwell"/>
          <w:b/>
          <w:color w:val="196B24" w:themeColor="accent3"/>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229EF">
        <w:rPr>
          <w:rFonts w:ascii="Rockwell" w:eastAsia="Times New Roman" w:hAnsi="Rockwell" w:cs="Segoe UI"/>
          <w:b/>
          <w:bCs/>
          <w:color w:val="196B24" w:themeColor="accent3"/>
          <w:kern w:val="0"/>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14:ligatures w14:val="none"/>
        </w:rPr>
        <w:t>DEDER GENERAL HOSPITAL</w:t>
      </w:r>
      <w:r w:rsidRPr="00B229EF">
        <w:rPr>
          <w:rFonts w:ascii="Rockwell" w:hAnsi="Rockwell"/>
          <w:b/>
          <w:color w:val="196B24" w:themeColor="accent3"/>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8CE59EB" w14:textId="77777777" w:rsidR="00211602" w:rsidRPr="00B229EF" w:rsidRDefault="00211602" w:rsidP="00211602">
      <w:pPr>
        <w:jc w:val="center"/>
        <w:rPr>
          <w:rFonts w:ascii="Rockwell" w:hAnsi="Rockwell"/>
          <w:b/>
          <w:bCs/>
          <w:color w:val="00B0F0"/>
          <w:sz w:val="72"/>
          <w:szCs w:val="72"/>
        </w:rPr>
      </w:pPr>
      <w:r w:rsidRPr="00B229EF">
        <w:rPr>
          <w:rFonts w:ascii="Rockwell" w:hAnsi="Rockwell"/>
          <w:b/>
          <w:bCs/>
          <w:color w:val="00B0F0"/>
          <w:sz w:val="72"/>
          <w:szCs w:val="72"/>
        </w:rPr>
        <w:t>IPC Monitoring Report</w:t>
      </w:r>
    </w:p>
    <w:p w14:paraId="57DE84C0" w14:textId="77777777" w:rsidR="00211602" w:rsidRDefault="00211602" w:rsidP="00211602">
      <w:pPr>
        <w:pStyle w:val="NoSpacing"/>
        <w:spacing w:line="360" w:lineRule="auto"/>
        <w:rPr>
          <w:rFonts w:ascii="Rockwell" w:hAnsi="Rockwell"/>
          <w:b/>
          <w:bCs/>
          <w:sz w:val="36"/>
          <w:szCs w:val="36"/>
        </w:rPr>
      </w:pPr>
    </w:p>
    <w:p w14:paraId="16C5975F" w14:textId="167E9229" w:rsidR="00211602" w:rsidRPr="00B229EF" w:rsidRDefault="00211602" w:rsidP="00211602">
      <w:pPr>
        <w:pStyle w:val="NoSpacing"/>
        <w:spacing w:line="360" w:lineRule="auto"/>
        <w:rPr>
          <w:rFonts w:ascii="Rockwell" w:hAnsi="Rockwell"/>
          <w:b/>
          <w:bCs/>
          <w:sz w:val="36"/>
          <w:szCs w:val="36"/>
        </w:rPr>
      </w:pPr>
      <w:r w:rsidRPr="003765D4">
        <w:rPr>
          <w:rFonts w:ascii="Rockwell" w:hAnsi="Rockwell"/>
          <w:b/>
          <w:bCs/>
          <w:sz w:val="36"/>
          <w:szCs w:val="36"/>
        </w:rPr>
        <w:t xml:space="preserve">Report period: </w:t>
      </w:r>
      <w:r w:rsidR="00B229EF" w:rsidRPr="00B229EF">
        <w:rPr>
          <w:rFonts w:ascii="Rockwell" w:hAnsi="Rockwell"/>
          <w:b/>
          <w:bCs/>
          <w:sz w:val="36"/>
          <w:szCs w:val="36"/>
        </w:rPr>
        <w:t>1</w:t>
      </w:r>
      <w:r w:rsidR="00B229EF" w:rsidRPr="00B229EF">
        <w:rPr>
          <w:rFonts w:ascii="Rockwell" w:hAnsi="Rockwell"/>
          <w:b/>
          <w:bCs/>
          <w:sz w:val="36"/>
          <w:szCs w:val="36"/>
          <w:vertAlign w:val="superscript"/>
        </w:rPr>
        <w:t>st</w:t>
      </w:r>
      <w:r w:rsidR="00B229EF" w:rsidRPr="00B229EF">
        <w:rPr>
          <w:rFonts w:ascii="Rockwell" w:hAnsi="Rockwell"/>
          <w:b/>
          <w:bCs/>
          <w:sz w:val="36"/>
          <w:szCs w:val="36"/>
        </w:rPr>
        <w:t xml:space="preserve"> </w:t>
      </w:r>
      <w:r w:rsidRPr="00B229EF">
        <w:rPr>
          <w:rFonts w:ascii="Rockwell" w:hAnsi="Rockwell"/>
          <w:b/>
          <w:bCs/>
          <w:sz w:val="36"/>
          <w:szCs w:val="36"/>
        </w:rPr>
        <w:t>Quarter of 2017EFY</w:t>
      </w:r>
    </w:p>
    <w:p w14:paraId="354CC272" w14:textId="77777777" w:rsidR="00211602" w:rsidRPr="003765D4" w:rsidRDefault="00211602" w:rsidP="00211602">
      <w:pPr>
        <w:pStyle w:val="NoSpacing"/>
        <w:spacing w:line="360" w:lineRule="auto"/>
        <w:jc w:val="center"/>
        <w:rPr>
          <w:rFonts w:ascii="Rockwell" w:hAnsi="Rockwell"/>
          <w:b/>
          <w:bCs/>
          <w:sz w:val="36"/>
          <w:szCs w:val="36"/>
        </w:rPr>
      </w:pPr>
    </w:p>
    <w:p w14:paraId="5CCC6C53" w14:textId="61C0B335" w:rsidR="00211602" w:rsidRPr="003765D4" w:rsidRDefault="00211602" w:rsidP="00211602">
      <w:pPr>
        <w:pStyle w:val="NoSpacing"/>
        <w:spacing w:line="360" w:lineRule="auto"/>
        <w:rPr>
          <w:rFonts w:ascii="Rockwell" w:hAnsi="Rockwell"/>
          <w:b/>
          <w:bCs/>
          <w:sz w:val="36"/>
          <w:szCs w:val="36"/>
        </w:rPr>
      </w:pPr>
      <w:r w:rsidRPr="003765D4">
        <w:rPr>
          <w:rFonts w:ascii="Rockwell" w:hAnsi="Rockwell"/>
          <w:b/>
          <w:bCs/>
          <w:sz w:val="36"/>
          <w:szCs w:val="36"/>
        </w:rPr>
        <w:t xml:space="preserve">By: </w:t>
      </w:r>
      <w:r w:rsidRPr="00B229EF">
        <w:rPr>
          <w:rFonts w:ascii="Rockwell" w:hAnsi="Rockwell"/>
          <w:b/>
          <w:bCs/>
          <w:i/>
          <w:iCs/>
          <w:sz w:val="36"/>
          <w:szCs w:val="36"/>
        </w:rPr>
        <w:t>Ibrahim Tahir-IPC officer</w:t>
      </w:r>
    </w:p>
    <w:p w14:paraId="29648EFC" w14:textId="77777777" w:rsidR="00211602" w:rsidRPr="00C41137" w:rsidRDefault="00211602" w:rsidP="00211602">
      <w:pPr>
        <w:pStyle w:val="NoSpacing"/>
        <w:jc w:val="both"/>
        <w:rPr>
          <w:rFonts w:ascii="Comic Sans MS" w:eastAsia="Times New Roman" w:hAnsi="Comic Sans MS" w:cs="Segoe UI"/>
          <w:b/>
          <w:bCs/>
          <w:i/>
          <w:iCs/>
          <w:kern w:val="0"/>
          <w:sz w:val="48"/>
          <w:szCs w:val="48"/>
          <w14:ligatures w14:val="none"/>
        </w:rPr>
      </w:pPr>
    </w:p>
    <w:p w14:paraId="11CE236E" w14:textId="77777777" w:rsidR="00211602" w:rsidRPr="00C41137" w:rsidRDefault="00211602" w:rsidP="00211602">
      <w:pPr>
        <w:pStyle w:val="NoSpacing"/>
        <w:jc w:val="both"/>
        <w:rPr>
          <w:rFonts w:ascii="Comic Sans MS" w:eastAsia="Times New Roman" w:hAnsi="Comic Sans MS" w:cs="Segoe UI"/>
          <w:b/>
          <w:bCs/>
          <w:i/>
          <w:iCs/>
          <w:kern w:val="0"/>
          <w:sz w:val="48"/>
          <w:szCs w:val="48"/>
          <w14:ligatures w14:val="none"/>
        </w:rPr>
      </w:pPr>
    </w:p>
    <w:p w14:paraId="0265E5EE" w14:textId="77777777" w:rsidR="00211602" w:rsidRDefault="00211602" w:rsidP="00211602">
      <w:pPr>
        <w:pStyle w:val="NoSpacing"/>
        <w:jc w:val="both"/>
        <w:rPr>
          <w:rFonts w:ascii="Comic Sans MS" w:eastAsia="Times New Roman" w:hAnsi="Comic Sans MS" w:cs="Segoe UI"/>
          <w:b/>
          <w:bCs/>
          <w:i/>
          <w:iCs/>
          <w:kern w:val="0"/>
          <w:sz w:val="48"/>
          <w:szCs w:val="48"/>
          <w14:ligatures w14:val="none"/>
        </w:rPr>
      </w:pPr>
    </w:p>
    <w:p w14:paraId="197011AD" w14:textId="77777777" w:rsidR="00211602" w:rsidRDefault="00211602" w:rsidP="00211602">
      <w:pPr>
        <w:pStyle w:val="NoSpacing"/>
        <w:jc w:val="both"/>
        <w:rPr>
          <w:rFonts w:ascii="Comic Sans MS" w:eastAsia="Times New Roman" w:hAnsi="Comic Sans MS" w:cs="Segoe UI"/>
          <w:b/>
          <w:bCs/>
          <w:i/>
          <w:iCs/>
          <w:kern w:val="0"/>
          <w:sz w:val="48"/>
          <w:szCs w:val="48"/>
          <w14:ligatures w14:val="none"/>
        </w:rPr>
      </w:pPr>
    </w:p>
    <w:p w14:paraId="1CA1AA54" w14:textId="77777777" w:rsidR="00211602" w:rsidRDefault="00211602" w:rsidP="00211602">
      <w:pPr>
        <w:pStyle w:val="NoSpacing"/>
        <w:jc w:val="both"/>
        <w:rPr>
          <w:rFonts w:ascii="Rockwell" w:eastAsia="Times New Roman" w:hAnsi="Rockwell" w:cs="Segoe UI"/>
          <w:b/>
          <w:bCs/>
          <w:i/>
          <w:iCs/>
          <w:kern w:val="0"/>
          <w:sz w:val="48"/>
          <w:szCs w:val="48"/>
          <w14:ligatures w14:val="none"/>
        </w:rPr>
      </w:pPr>
    </w:p>
    <w:p w14:paraId="1A329096" w14:textId="77777777" w:rsidR="00211602" w:rsidRPr="003765D4" w:rsidRDefault="00211602" w:rsidP="00211602">
      <w:pPr>
        <w:pStyle w:val="NoSpacing"/>
        <w:jc w:val="both"/>
        <w:rPr>
          <w:rFonts w:ascii="Rockwell" w:eastAsia="Times New Roman" w:hAnsi="Rockwell" w:cs="Segoe UI"/>
          <w:b/>
          <w:bCs/>
          <w:i/>
          <w:iCs/>
          <w:kern w:val="0"/>
          <w:sz w:val="48"/>
          <w:szCs w:val="48"/>
          <w14:ligatures w14:val="none"/>
        </w:rPr>
      </w:pPr>
    </w:p>
    <w:p w14:paraId="20E19C05" w14:textId="770C3AFC" w:rsidR="00211602" w:rsidRPr="003765D4" w:rsidRDefault="00211602" w:rsidP="00211602">
      <w:pPr>
        <w:pStyle w:val="NoSpacing"/>
        <w:spacing w:line="360" w:lineRule="auto"/>
        <w:jc w:val="right"/>
        <w:rPr>
          <w:rFonts w:ascii="Rockwell" w:eastAsia="Times New Roman" w:hAnsi="Rockwell" w:cs="Segoe UI"/>
          <w:b/>
          <w:bCs/>
          <w:i/>
          <w:iCs/>
          <w:kern w:val="0"/>
          <w:sz w:val="48"/>
          <w:szCs w:val="48"/>
          <w14:ligatures w14:val="none"/>
        </w:rPr>
      </w:pPr>
      <w:r>
        <w:rPr>
          <w:rFonts w:ascii="Rockwell" w:eastAsia="Times New Roman" w:hAnsi="Rockwell" w:cs="Segoe UI"/>
          <w:b/>
          <w:bCs/>
          <w:i/>
          <w:iCs/>
          <w:kern w:val="0"/>
          <w:sz w:val="48"/>
          <w:szCs w:val="48"/>
          <w14:ligatures w14:val="none"/>
        </w:rPr>
        <w:t>September</w:t>
      </w:r>
      <w:r w:rsidRPr="003765D4">
        <w:rPr>
          <w:rFonts w:ascii="Rockwell" w:eastAsia="Times New Roman" w:hAnsi="Rockwell" w:cs="Segoe UI"/>
          <w:b/>
          <w:bCs/>
          <w:i/>
          <w:iCs/>
          <w:kern w:val="0"/>
          <w:sz w:val="48"/>
          <w:szCs w:val="48"/>
          <w14:ligatures w14:val="none"/>
        </w:rPr>
        <w:t xml:space="preserve"> 2017E.C</w:t>
      </w:r>
    </w:p>
    <w:p w14:paraId="6E89891C" w14:textId="77777777" w:rsidR="00211602" w:rsidRDefault="00211602" w:rsidP="00211602">
      <w:pPr>
        <w:pStyle w:val="NoSpacing"/>
        <w:spacing w:line="360" w:lineRule="auto"/>
        <w:jc w:val="right"/>
        <w:rPr>
          <w:rFonts w:ascii="Rockwell" w:eastAsia="Times New Roman" w:hAnsi="Rockwell" w:cs="Segoe UI"/>
          <w:b/>
          <w:bCs/>
          <w:i/>
          <w:iCs/>
          <w:kern w:val="0"/>
          <w:sz w:val="48"/>
          <w:szCs w:val="48"/>
          <w14:ligatures w14:val="none"/>
        </w:rPr>
        <w:sectPr w:rsidR="00211602" w:rsidSect="00211602">
          <w:footerReference w:type="default" r:id="rId9"/>
          <w:pgSz w:w="12240" w:h="15840"/>
          <w:pgMar w:top="1440" w:right="810" w:bottom="1440" w:left="1440" w:header="432" w:footer="432" w:gutter="0"/>
          <w:pgBorders w:display="firstPage" w:offsetFrom="page">
            <w:top w:val="single" w:sz="36" w:space="24" w:color="00B0F0"/>
            <w:left w:val="single" w:sz="36" w:space="24" w:color="00B0F0"/>
            <w:bottom w:val="single" w:sz="36" w:space="24" w:color="00B0F0"/>
            <w:right w:val="single" w:sz="36" w:space="24" w:color="00B0F0"/>
          </w:pgBorders>
          <w:pgNumType w:fmt="lowerRoman" w:start="1"/>
          <w:cols w:space="720"/>
          <w:docGrid w:linePitch="360"/>
        </w:sectPr>
      </w:pPr>
      <w:r w:rsidRPr="003765D4">
        <w:rPr>
          <w:rFonts w:ascii="Rockwell" w:eastAsia="Times New Roman" w:hAnsi="Rockwell" w:cs="Segoe UI"/>
          <w:b/>
          <w:bCs/>
          <w:i/>
          <w:iCs/>
          <w:kern w:val="0"/>
          <w:sz w:val="48"/>
          <w:szCs w:val="48"/>
          <w14:ligatures w14:val="none"/>
        </w:rPr>
        <w:t>Deder, Oromia</w:t>
      </w:r>
    </w:p>
    <w:sdt>
      <w:sdtPr>
        <w:rPr>
          <w:rFonts w:ascii="Rockwell" w:eastAsiaTheme="minorHAnsi" w:hAnsi="Rockwell"/>
        </w:rPr>
        <w:id w:val="-1256209303"/>
        <w:docPartObj>
          <w:docPartGallery w:val="Table of Contents"/>
          <w:docPartUnique/>
        </w:docPartObj>
      </w:sdtPr>
      <w:sdtEndPr>
        <w:rPr>
          <w:rFonts w:asciiTheme="minorHAnsi" w:eastAsiaTheme="minorEastAsia" w:hAnsiTheme="minorHAnsi"/>
          <w:b/>
          <w:bCs/>
          <w:noProof/>
        </w:rPr>
      </w:sdtEndPr>
      <w:sdtContent>
        <w:p w14:paraId="5B0995F1" w14:textId="77777777" w:rsidR="00211602" w:rsidRPr="000C2108" w:rsidRDefault="00211602" w:rsidP="00211602">
          <w:pPr>
            <w:jc w:val="center"/>
            <w:rPr>
              <w:rFonts w:ascii="Rockwell" w:hAnsi="Rockwell"/>
              <w:b/>
              <w:bCs/>
            </w:rPr>
          </w:pPr>
          <w:r w:rsidRPr="000C2108">
            <w:rPr>
              <w:rFonts w:ascii="Rockwell" w:hAnsi="Rockwell"/>
              <w:b/>
              <w:bCs/>
            </w:rPr>
            <w:t>TABLE OF CONTENTS</w:t>
          </w:r>
        </w:p>
        <w:p w14:paraId="4C3EAFA1" w14:textId="2F805194" w:rsidR="00B229EF" w:rsidRDefault="00211602">
          <w:pPr>
            <w:pStyle w:val="TOC1"/>
            <w:tabs>
              <w:tab w:val="right" w:leader="dot" w:pos="9980"/>
            </w:tabs>
            <w:rPr>
              <w:rFonts w:eastAsiaTheme="minorEastAsia"/>
              <w:noProof/>
              <w:sz w:val="24"/>
              <w:szCs w:val="24"/>
            </w:rPr>
          </w:pPr>
          <w:r w:rsidRPr="00F54E43">
            <w:rPr>
              <w:rFonts w:ascii="Rockwell" w:hAnsi="Rockwell"/>
            </w:rPr>
            <w:fldChar w:fldCharType="begin"/>
          </w:r>
          <w:r w:rsidRPr="00F54E43">
            <w:rPr>
              <w:rFonts w:ascii="Rockwell" w:hAnsi="Rockwell"/>
            </w:rPr>
            <w:instrText xml:space="preserve"> TOC \o "1-3" \h \z \u </w:instrText>
          </w:r>
          <w:r w:rsidRPr="00F54E43">
            <w:rPr>
              <w:rFonts w:ascii="Rockwell" w:hAnsi="Rockwell"/>
            </w:rPr>
            <w:fldChar w:fldCharType="separate"/>
          </w:r>
          <w:hyperlink w:anchor="_Toc204466410" w:history="1">
            <w:r w:rsidR="00B229EF" w:rsidRPr="003C7C14">
              <w:rPr>
                <w:rStyle w:val="Hyperlink"/>
                <w:rFonts w:ascii="Rockwell" w:hAnsi="Rockwell"/>
                <w:b/>
                <w:bCs/>
                <w:noProof/>
              </w:rPr>
              <w:t>1. Introduction</w:t>
            </w:r>
            <w:r w:rsidR="00B229EF">
              <w:rPr>
                <w:noProof/>
                <w:webHidden/>
              </w:rPr>
              <w:tab/>
            </w:r>
            <w:r w:rsidR="00B229EF">
              <w:rPr>
                <w:noProof/>
                <w:webHidden/>
              </w:rPr>
              <w:fldChar w:fldCharType="begin"/>
            </w:r>
            <w:r w:rsidR="00B229EF">
              <w:rPr>
                <w:noProof/>
                <w:webHidden/>
              </w:rPr>
              <w:instrText xml:space="preserve"> PAGEREF _Toc204466410 \h </w:instrText>
            </w:r>
            <w:r w:rsidR="00B229EF">
              <w:rPr>
                <w:noProof/>
                <w:webHidden/>
              </w:rPr>
            </w:r>
            <w:r w:rsidR="00B229EF">
              <w:rPr>
                <w:noProof/>
                <w:webHidden/>
              </w:rPr>
              <w:fldChar w:fldCharType="separate"/>
            </w:r>
            <w:r w:rsidR="00B229EF">
              <w:rPr>
                <w:noProof/>
                <w:webHidden/>
              </w:rPr>
              <w:t>2</w:t>
            </w:r>
            <w:r w:rsidR="00B229EF">
              <w:rPr>
                <w:noProof/>
                <w:webHidden/>
              </w:rPr>
              <w:fldChar w:fldCharType="end"/>
            </w:r>
          </w:hyperlink>
        </w:p>
        <w:p w14:paraId="1BE4981F" w14:textId="1BDF64BF" w:rsidR="00B229EF" w:rsidRDefault="00B229EF">
          <w:pPr>
            <w:pStyle w:val="TOC1"/>
            <w:tabs>
              <w:tab w:val="right" w:leader="dot" w:pos="9980"/>
            </w:tabs>
            <w:rPr>
              <w:rFonts w:eastAsiaTheme="minorEastAsia"/>
              <w:noProof/>
              <w:sz w:val="24"/>
              <w:szCs w:val="24"/>
            </w:rPr>
          </w:pPr>
          <w:hyperlink w:anchor="_Toc204466411" w:history="1">
            <w:r w:rsidRPr="003C7C14">
              <w:rPr>
                <w:rStyle w:val="Hyperlink"/>
                <w:rFonts w:ascii="Rockwell" w:hAnsi="Rockwell"/>
                <w:b/>
                <w:bCs/>
                <w:noProof/>
              </w:rPr>
              <w:t>2. Objective</w:t>
            </w:r>
            <w:r>
              <w:rPr>
                <w:noProof/>
                <w:webHidden/>
              </w:rPr>
              <w:tab/>
            </w:r>
            <w:r>
              <w:rPr>
                <w:noProof/>
                <w:webHidden/>
              </w:rPr>
              <w:fldChar w:fldCharType="begin"/>
            </w:r>
            <w:r>
              <w:rPr>
                <w:noProof/>
                <w:webHidden/>
              </w:rPr>
              <w:instrText xml:space="preserve"> PAGEREF _Toc204466411 \h </w:instrText>
            </w:r>
            <w:r>
              <w:rPr>
                <w:noProof/>
                <w:webHidden/>
              </w:rPr>
            </w:r>
            <w:r>
              <w:rPr>
                <w:noProof/>
                <w:webHidden/>
              </w:rPr>
              <w:fldChar w:fldCharType="separate"/>
            </w:r>
            <w:r>
              <w:rPr>
                <w:noProof/>
                <w:webHidden/>
              </w:rPr>
              <w:t>2</w:t>
            </w:r>
            <w:r>
              <w:rPr>
                <w:noProof/>
                <w:webHidden/>
              </w:rPr>
              <w:fldChar w:fldCharType="end"/>
            </w:r>
          </w:hyperlink>
        </w:p>
        <w:p w14:paraId="2BAC8E91" w14:textId="0B47C7E7" w:rsidR="00B229EF" w:rsidRDefault="00B229EF">
          <w:pPr>
            <w:pStyle w:val="TOC1"/>
            <w:tabs>
              <w:tab w:val="right" w:leader="dot" w:pos="9980"/>
            </w:tabs>
            <w:rPr>
              <w:rFonts w:eastAsiaTheme="minorEastAsia"/>
              <w:noProof/>
              <w:sz w:val="24"/>
              <w:szCs w:val="24"/>
            </w:rPr>
          </w:pPr>
          <w:hyperlink w:anchor="_Toc204466412" w:history="1">
            <w:r w:rsidRPr="003C7C14">
              <w:rPr>
                <w:rStyle w:val="Hyperlink"/>
                <w:rFonts w:ascii="Rockwell" w:hAnsi="Rockwell"/>
                <w:b/>
                <w:bCs/>
                <w:noProof/>
              </w:rPr>
              <w:t>3. Methodology</w:t>
            </w:r>
            <w:r>
              <w:rPr>
                <w:noProof/>
                <w:webHidden/>
              </w:rPr>
              <w:tab/>
            </w:r>
            <w:r>
              <w:rPr>
                <w:noProof/>
                <w:webHidden/>
              </w:rPr>
              <w:fldChar w:fldCharType="begin"/>
            </w:r>
            <w:r>
              <w:rPr>
                <w:noProof/>
                <w:webHidden/>
              </w:rPr>
              <w:instrText xml:space="preserve"> PAGEREF _Toc204466412 \h </w:instrText>
            </w:r>
            <w:r>
              <w:rPr>
                <w:noProof/>
                <w:webHidden/>
              </w:rPr>
            </w:r>
            <w:r>
              <w:rPr>
                <w:noProof/>
                <w:webHidden/>
              </w:rPr>
              <w:fldChar w:fldCharType="separate"/>
            </w:r>
            <w:r>
              <w:rPr>
                <w:noProof/>
                <w:webHidden/>
              </w:rPr>
              <w:t>2</w:t>
            </w:r>
            <w:r>
              <w:rPr>
                <w:noProof/>
                <w:webHidden/>
              </w:rPr>
              <w:fldChar w:fldCharType="end"/>
            </w:r>
          </w:hyperlink>
        </w:p>
        <w:p w14:paraId="15E61816" w14:textId="54171AAC" w:rsidR="00B229EF" w:rsidRDefault="00B229EF">
          <w:pPr>
            <w:pStyle w:val="TOC1"/>
            <w:tabs>
              <w:tab w:val="right" w:leader="dot" w:pos="9980"/>
            </w:tabs>
            <w:rPr>
              <w:rFonts w:eastAsiaTheme="minorEastAsia"/>
              <w:noProof/>
              <w:sz w:val="24"/>
              <w:szCs w:val="24"/>
            </w:rPr>
          </w:pPr>
          <w:hyperlink w:anchor="_Toc204466413" w:history="1">
            <w:r w:rsidRPr="003C7C14">
              <w:rPr>
                <w:rStyle w:val="Hyperlink"/>
                <w:rFonts w:ascii="Rockwell" w:hAnsi="Rockwell"/>
                <w:b/>
                <w:bCs/>
                <w:noProof/>
              </w:rPr>
              <w:t>4.  Results</w:t>
            </w:r>
            <w:r>
              <w:rPr>
                <w:noProof/>
                <w:webHidden/>
              </w:rPr>
              <w:tab/>
            </w:r>
            <w:r>
              <w:rPr>
                <w:noProof/>
                <w:webHidden/>
              </w:rPr>
              <w:fldChar w:fldCharType="begin"/>
            </w:r>
            <w:r>
              <w:rPr>
                <w:noProof/>
                <w:webHidden/>
              </w:rPr>
              <w:instrText xml:space="preserve"> PAGEREF _Toc204466413 \h </w:instrText>
            </w:r>
            <w:r>
              <w:rPr>
                <w:noProof/>
                <w:webHidden/>
              </w:rPr>
            </w:r>
            <w:r>
              <w:rPr>
                <w:noProof/>
                <w:webHidden/>
              </w:rPr>
              <w:fldChar w:fldCharType="separate"/>
            </w:r>
            <w:r>
              <w:rPr>
                <w:noProof/>
                <w:webHidden/>
              </w:rPr>
              <w:t>5</w:t>
            </w:r>
            <w:r>
              <w:rPr>
                <w:noProof/>
                <w:webHidden/>
              </w:rPr>
              <w:fldChar w:fldCharType="end"/>
            </w:r>
          </w:hyperlink>
        </w:p>
        <w:p w14:paraId="3736BB71" w14:textId="2FB7FA7F" w:rsidR="00B229EF" w:rsidRDefault="00B229EF">
          <w:pPr>
            <w:pStyle w:val="TOC1"/>
            <w:tabs>
              <w:tab w:val="right" w:leader="dot" w:pos="9980"/>
            </w:tabs>
            <w:rPr>
              <w:rFonts w:eastAsiaTheme="minorEastAsia"/>
              <w:noProof/>
              <w:sz w:val="24"/>
              <w:szCs w:val="24"/>
            </w:rPr>
          </w:pPr>
          <w:hyperlink w:anchor="_Toc204466414" w:history="1">
            <w:r w:rsidRPr="003C7C14">
              <w:rPr>
                <w:rStyle w:val="Hyperlink"/>
                <w:rFonts w:ascii="Rockwell" w:hAnsi="Rockwell"/>
                <w:b/>
                <w:bCs/>
                <w:noProof/>
              </w:rPr>
              <w:t>5. Discussion</w:t>
            </w:r>
            <w:r>
              <w:rPr>
                <w:noProof/>
                <w:webHidden/>
              </w:rPr>
              <w:tab/>
            </w:r>
            <w:r>
              <w:rPr>
                <w:noProof/>
                <w:webHidden/>
              </w:rPr>
              <w:fldChar w:fldCharType="begin"/>
            </w:r>
            <w:r>
              <w:rPr>
                <w:noProof/>
                <w:webHidden/>
              </w:rPr>
              <w:instrText xml:space="preserve"> PAGEREF _Toc204466414 \h </w:instrText>
            </w:r>
            <w:r>
              <w:rPr>
                <w:noProof/>
                <w:webHidden/>
              </w:rPr>
            </w:r>
            <w:r>
              <w:rPr>
                <w:noProof/>
                <w:webHidden/>
              </w:rPr>
              <w:fldChar w:fldCharType="separate"/>
            </w:r>
            <w:r>
              <w:rPr>
                <w:noProof/>
                <w:webHidden/>
              </w:rPr>
              <w:t>7</w:t>
            </w:r>
            <w:r>
              <w:rPr>
                <w:noProof/>
                <w:webHidden/>
              </w:rPr>
              <w:fldChar w:fldCharType="end"/>
            </w:r>
          </w:hyperlink>
        </w:p>
        <w:p w14:paraId="49C1A169" w14:textId="7FDC6A63" w:rsidR="00B229EF" w:rsidRDefault="00B229EF">
          <w:pPr>
            <w:pStyle w:val="TOC1"/>
            <w:tabs>
              <w:tab w:val="right" w:leader="dot" w:pos="9980"/>
            </w:tabs>
            <w:rPr>
              <w:rFonts w:eastAsiaTheme="minorEastAsia"/>
              <w:noProof/>
              <w:sz w:val="24"/>
              <w:szCs w:val="24"/>
            </w:rPr>
          </w:pPr>
          <w:hyperlink w:anchor="_Toc204466415" w:history="1">
            <w:r w:rsidRPr="003C7C14">
              <w:rPr>
                <w:rStyle w:val="Hyperlink"/>
                <w:rFonts w:ascii="Rockwell" w:hAnsi="Rockwell"/>
                <w:b/>
                <w:bCs/>
                <w:noProof/>
              </w:rPr>
              <w:t>6. Recommendations</w:t>
            </w:r>
            <w:r>
              <w:rPr>
                <w:noProof/>
                <w:webHidden/>
              </w:rPr>
              <w:tab/>
            </w:r>
            <w:r>
              <w:rPr>
                <w:noProof/>
                <w:webHidden/>
              </w:rPr>
              <w:fldChar w:fldCharType="begin"/>
            </w:r>
            <w:r>
              <w:rPr>
                <w:noProof/>
                <w:webHidden/>
              </w:rPr>
              <w:instrText xml:space="preserve"> PAGEREF _Toc204466415 \h </w:instrText>
            </w:r>
            <w:r>
              <w:rPr>
                <w:noProof/>
                <w:webHidden/>
              </w:rPr>
            </w:r>
            <w:r>
              <w:rPr>
                <w:noProof/>
                <w:webHidden/>
              </w:rPr>
              <w:fldChar w:fldCharType="separate"/>
            </w:r>
            <w:r>
              <w:rPr>
                <w:noProof/>
                <w:webHidden/>
              </w:rPr>
              <w:t>8</w:t>
            </w:r>
            <w:r>
              <w:rPr>
                <w:noProof/>
                <w:webHidden/>
              </w:rPr>
              <w:fldChar w:fldCharType="end"/>
            </w:r>
          </w:hyperlink>
        </w:p>
        <w:p w14:paraId="245A1E4D" w14:textId="4C2DE562" w:rsidR="00B229EF" w:rsidRDefault="00B229EF">
          <w:pPr>
            <w:pStyle w:val="TOC1"/>
            <w:tabs>
              <w:tab w:val="right" w:leader="dot" w:pos="9980"/>
            </w:tabs>
            <w:rPr>
              <w:rFonts w:eastAsiaTheme="minorEastAsia"/>
              <w:noProof/>
              <w:sz w:val="24"/>
              <w:szCs w:val="24"/>
            </w:rPr>
          </w:pPr>
          <w:hyperlink w:anchor="_Toc204466416" w:history="1">
            <w:r w:rsidRPr="003C7C14">
              <w:rPr>
                <w:rStyle w:val="Hyperlink"/>
                <w:rFonts w:ascii="Rockwell" w:hAnsi="Rockwell"/>
                <w:b/>
                <w:bCs/>
                <w:noProof/>
              </w:rPr>
              <w:t>7. Action Plan</w:t>
            </w:r>
            <w:r>
              <w:rPr>
                <w:noProof/>
                <w:webHidden/>
              </w:rPr>
              <w:tab/>
            </w:r>
            <w:r>
              <w:rPr>
                <w:noProof/>
                <w:webHidden/>
              </w:rPr>
              <w:fldChar w:fldCharType="begin"/>
            </w:r>
            <w:r>
              <w:rPr>
                <w:noProof/>
                <w:webHidden/>
              </w:rPr>
              <w:instrText xml:space="preserve"> PAGEREF _Toc204466416 \h </w:instrText>
            </w:r>
            <w:r>
              <w:rPr>
                <w:noProof/>
                <w:webHidden/>
              </w:rPr>
            </w:r>
            <w:r>
              <w:rPr>
                <w:noProof/>
                <w:webHidden/>
              </w:rPr>
              <w:fldChar w:fldCharType="separate"/>
            </w:r>
            <w:r>
              <w:rPr>
                <w:noProof/>
                <w:webHidden/>
              </w:rPr>
              <w:t>9</w:t>
            </w:r>
            <w:r>
              <w:rPr>
                <w:noProof/>
                <w:webHidden/>
              </w:rPr>
              <w:fldChar w:fldCharType="end"/>
            </w:r>
          </w:hyperlink>
        </w:p>
        <w:p w14:paraId="30492BB1" w14:textId="170738CE" w:rsidR="00B229EF" w:rsidRDefault="00B229EF">
          <w:pPr>
            <w:pStyle w:val="TOC1"/>
            <w:tabs>
              <w:tab w:val="right" w:leader="dot" w:pos="9980"/>
            </w:tabs>
            <w:rPr>
              <w:rFonts w:eastAsiaTheme="minorEastAsia"/>
              <w:noProof/>
              <w:sz w:val="24"/>
              <w:szCs w:val="24"/>
            </w:rPr>
          </w:pPr>
          <w:hyperlink w:anchor="_Toc204466417" w:history="1">
            <w:r w:rsidRPr="003C7C14">
              <w:rPr>
                <w:rStyle w:val="Hyperlink"/>
                <w:rFonts w:ascii="Rockwell" w:hAnsi="Rockwell"/>
                <w:b/>
                <w:bCs/>
                <w:noProof/>
              </w:rPr>
              <w:t>7. References</w:t>
            </w:r>
            <w:r>
              <w:rPr>
                <w:noProof/>
                <w:webHidden/>
              </w:rPr>
              <w:tab/>
            </w:r>
            <w:r>
              <w:rPr>
                <w:noProof/>
                <w:webHidden/>
              </w:rPr>
              <w:fldChar w:fldCharType="begin"/>
            </w:r>
            <w:r>
              <w:rPr>
                <w:noProof/>
                <w:webHidden/>
              </w:rPr>
              <w:instrText xml:space="preserve"> PAGEREF _Toc204466417 \h </w:instrText>
            </w:r>
            <w:r>
              <w:rPr>
                <w:noProof/>
                <w:webHidden/>
              </w:rPr>
            </w:r>
            <w:r>
              <w:rPr>
                <w:noProof/>
                <w:webHidden/>
              </w:rPr>
              <w:fldChar w:fldCharType="separate"/>
            </w:r>
            <w:r>
              <w:rPr>
                <w:noProof/>
                <w:webHidden/>
              </w:rPr>
              <w:t>10</w:t>
            </w:r>
            <w:r>
              <w:rPr>
                <w:noProof/>
                <w:webHidden/>
              </w:rPr>
              <w:fldChar w:fldCharType="end"/>
            </w:r>
          </w:hyperlink>
        </w:p>
        <w:p w14:paraId="1E11F68F" w14:textId="021DF63A" w:rsidR="00211602" w:rsidRPr="00F54E43" w:rsidRDefault="00211602" w:rsidP="00211602">
          <w:r w:rsidRPr="00F54E43">
            <w:rPr>
              <w:noProof/>
            </w:rPr>
            <w:fldChar w:fldCharType="end"/>
          </w:r>
        </w:p>
      </w:sdtContent>
    </w:sdt>
    <w:p w14:paraId="322C94B5" w14:textId="77777777" w:rsidR="00211602" w:rsidRPr="00957F3A" w:rsidRDefault="00211602" w:rsidP="00211602">
      <w:pPr>
        <w:jc w:val="both"/>
        <w:rPr>
          <w:rFonts w:ascii="Rockwell" w:hAnsi="Rockwell"/>
        </w:rPr>
      </w:pPr>
    </w:p>
    <w:p w14:paraId="72BC9C3A" w14:textId="77777777" w:rsidR="00211602" w:rsidRDefault="00211602" w:rsidP="00211602">
      <w:pPr>
        <w:rPr>
          <w:rFonts w:ascii="Rockwell" w:hAnsi="Rockwell"/>
        </w:rPr>
      </w:pPr>
    </w:p>
    <w:p w14:paraId="48C24CCA" w14:textId="77777777" w:rsidR="00211602" w:rsidRDefault="00211602" w:rsidP="00211602">
      <w:pPr>
        <w:spacing w:before="100" w:beforeAutospacing="1" w:after="100" w:afterAutospacing="1" w:line="360" w:lineRule="auto"/>
        <w:jc w:val="both"/>
        <w:rPr>
          <w:rFonts w:ascii="Rockwell" w:hAnsi="Rockwell"/>
          <w:sz w:val="28"/>
          <w:szCs w:val="28"/>
        </w:rPr>
        <w:sectPr w:rsidR="00211602" w:rsidSect="00211602">
          <w:footerReference w:type="default" r:id="rId10"/>
          <w:pgSz w:w="12240" w:h="15840"/>
          <w:pgMar w:top="1440" w:right="810" w:bottom="1440" w:left="1440" w:header="432" w:footer="432" w:gutter="0"/>
          <w:pgNumType w:fmt="lowerRoman" w:start="1"/>
          <w:cols w:space="720"/>
          <w:docGrid w:linePitch="360"/>
        </w:sectPr>
      </w:pPr>
    </w:p>
    <w:p w14:paraId="28283085" w14:textId="138D891B" w:rsidR="00B43213" w:rsidRPr="00211602" w:rsidRDefault="00B43213" w:rsidP="00211602">
      <w:pPr>
        <w:pStyle w:val="Heading1"/>
        <w:spacing w:line="360" w:lineRule="auto"/>
        <w:rPr>
          <w:rFonts w:ascii="Rockwell" w:hAnsi="Rockwell"/>
          <w:b/>
          <w:bCs/>
          <w:sz w:val="32"/>
          <w:szCs w:val="32"/>
        </w:rPr>
      </w:pPr>
      <w:bookmarkStart w:id="2" w:name="_Toc204466410"/>
      <w:r w:rsidRPr="00211602">
        <w:rPr>
          <w:rFonts w:ascii="Rockwell" w:hAnsi="Rockwell"/>
          <w:b/>
          <w:bCs/>
          <w:sz w:val="32"/>
          <w:szCs w:val="32"/>
        </w:rPr>
        <w:lastRenderedPageBreak/>
        <w:t>1. Introduction</w:t>
      </w:r>
      <w:bookmarkEnd w:id="2"/>
    </w:p>
    <w:p w14:paraId="28DA1C49"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Infection Prevention and Control (IPC) ensures a safe and clean healthcare environment, minimizing the spread of healthcare-associated infections (HAIs). Deder General Hospital undertook a structured IPC monitoring assessment to identify areas of compliance and non-compliance, using a national standardized checklist.</w:t>
      </w:r>
    </w:p>
    <w:p w14:paraId="74264CF3" w14:textId="0DBF1287" w:rsidR="00B43213" w:rsidRPr="00211602" w:rsidRDefault="00B43213" w:rsidP="00547BBF">
      <w:pPr>
        <w:pStyle w:val="Heading1"/>
        <w:spacing w:before="0" w:line="360" w:lineRule="auto"/>
        <w:rPr>
          <w:rFonts w:ascii="Rockwell" w:hAnsi="Rockwell"/>
          <w:b/>
          <w:bCs/>
          <w:sz w:val="32"/>
          <w:szCs w:val="32"/>
        </w:rPr>
      </w:pPr>
      <w:bookmarkStart w:id="3" w:name="_Toc204466411"/>
      <w:r w:rsidRPr="00211602">
        <w:rPr>
          <w:rFonts w:ascii="Rockwell" w:hAnsi="Rockwell"/>
          <w:b/>
          <w:bCs/>
          <w:sz w:val="32"/>
          <w:szCs w:val="32"/>
        </w:rPr>
        <w:t>2. Objective</w:t>
      </w:r>
      <w:bookmarkEnd w:id="3"/>
    </w:p>
    <w:p w14:paraId="7C6308F3" w14:textId="77777777" w:rsidR="00B43213" w:rsidRPr="00547BBF" w:rsidRDefault="00B43213" w:rsidP="00211602">
      <w:pPr>
        <w:spacing w:line="360" w:lineRule="auto"/>
        <w:jc w:val="both"/>
        <w:rPr>
          <w:rFonts w:ascii="Rockwell" w:hAnsi="Rockwell"/>
          <w:sz w:val="28"/>
          <w:szCs w:val="28"/>
        </w:rPr>
      </w:pPr>
      <w:r w:rsidRPr="00547BBF">
        <w:rPr>
          <w:rFonts w:ascii="Rockwell" w:hAnsi="Rockwell"/>
          <w:sz w:val="28"/>
          <w:szCs w:val="28"/>
        </w:rPr>
        <w:t>To assess IPC compliance across systems, practices, and infrastructure; identify deficiencies; and develop actionable steps for improvement aligned with national and international IPC guidelines.</w:t>
      </w:r>
    </w:p>
    <w:p w14:paraId="17C661BF" w14:textId="69F7623A" w:rsidR="00B43213" w:rsidRPr="00211602" w:rsidRDefault="00B43213" w:rsidP="00211602">
      <w:pPr>
        <w:pStyle w:val="Heading1"/>
        <w:spacing w:line="360" w:lineRule="auto"/>
        <w:rPr>
          <w:rFonts w:ascii="Rockwell" w:hAnsi="Rockwell"/>
          <w:b/>
          <w:bCs/>
          <w:sz w:val="32"/>
          <w:szCs w:val="32"/>
        </w:rPr>
      </w:pPr>
      <w:bookmarkStart w:id="4" w:name="_Toc204466412"/>
      <w:r w:rsidRPr="00211602">
        <w:rPr>
          <w:rFonts w:ascii="Rockwell" w:hAnsi="Rockwell"/>
          <w:b/>
          <w:bCs/>
          <w:sz w:val="32"/>
          <w:szCs w:val="32"/>
        </w:rPr>
        <w:t>3. Methodology</w:t>
      </w:r>
      <w:bookmarkEnd w:id="4"/>
    </w:p>
    <w:p w14:paraId="30A08EF7" w14:textId="77777777" w:rsidR="00B43213" w:rsidRPr="00547BBF" w:rsidRDefault="00B43213" w:rsidP="00547BBF">
      <w:pPr>
        <w:jc w:val="both"/>
        <w:rPr>
          <w:rFonts w:ascii="Rockwell" w:hAnsi="Rockwell"/>
          <w:b/>
          <w:bCs/>
          <w:sz w:val="28"/>
          <w:szCs w:val="28"/>
        </w:rPr>
      </w:pPr>
      <w:r w:rsidRPr="00547BBF">
        <w:rPr>
          <w:rFonts w:ascii="Rockwell" w:hAnsi="Rockwell"/>
          <w:b/>
          <w:bCs/>
          <w:sz w:val="28"/>
          <w:szCs w:val="28"/>
        </w:rPr>
        <w:t>3.1. Study Design</w:t>
      </w:r>
    </w:p>
    <w:p w14:paraId="1A996483"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A facility-based, cross-sectional assessment was conducted using structured observation and checklist-guided interviews to evaluate Infection Prevention and Control (IPC) compliance across Deder General Hospital.</w:t>
      </w:r>
    </w:p>
    <w:p w14:paraId="0147F07D" w14:textId="7301AF41" w:rsidR="00B43213" w:rsidRPr="00547BBF" w:rsidRDefault="00B43213" w:rsidP="00547BBF">
      <w:pPr>
        <w:jc w:val="both"/>
        <w:rPr>
          <w:rFonts w:ascii="Rockwell" w:hAnsi="Rockwell"/>
          <w:b/>
          <w:bCs/>
          <w:sz w:val="28"/>
          <w:szCs w:val="28"/>
        </w:rPr>
      </w:pPr>
      <w:r w:rsidRPr="00547BBF">
        <w:rPr>
          <w:rFonts w:ascii="Rockwell" w:hAnsi="Rockwell"/>
          <w:b/>
          <w:bCs/>
          <w:sz w:val="28"/>
          <w:szCs w:val="28"/>
        </w:rPr>
        <w:t>3.2. Assessment Tools</w:t>
      </w:r>
    </w:p>
    <w:p w14:paraId="3FE194B2"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 xml:space="preserve">The assessment employed the </w:t>
      </w:r>
      <w:r w:rsidRPr="00547BBF">
        <w:rPr>
          <w:rFonts w:ascii="Rockwell" w:hAnsi="Rockwell"/>
          <w:b/>
          <w:bCs/>
          <w:sz w:val="28"/>
          <w:szCs w:val="28"/>
        </w:rPr>
        <w:t>National IPC Monitoring Toolkit</w:t>
      </w:r>
      <w:r w:rsidRPr="00547BBF">
        <w:rPr>
          <w:rFonts w:ascii="Rockwell" w:hAnsi="Rockwell"/>
          <w:sz w:val="28"/>
          <w:szCs w:val="28"/>
        </w:rPr>
        <w:t>, aligned with WHO and CDC standards, covering seven core components:</w:t>
      </w:r>
    </w:p>
    <w:p w14:paraId="4C124DBA"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IPC System/Capacity Assessment Tool</w:t>
      </w:r>
      <w:r w:rsidRPr="00547BBF">
        <w:rPr>
          <w:rFonts w:ascii="Rockwell" w:hAnsi="Rockwell"/>
          <w:sz w:val="28"/>
          <w:szCs w:val="28"/>
        </w:rPr>
        <w:t xml:space="preserve"> – to evaluate organizational readiness, policy availability, and training status.</w:t>
      </w:r>
    </w:p>
    <w:p w14:paraId="753CAE6F"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Facility IPC Practice Observation Checklist</w:t>
      </w:r>
      <w:r w:rsidRPr="00547BBF">
        <w:rPr>
          <w:rFonts w:ascii="Rockwell" w:hAnsi="Rockwell"/>
          <w:sz w:val="28"/>
          <w:szCs w:val="28"/>
        </w:rPr>
        <w:t xml:space="preserve"> – to observe compliance with core IPC behaviors.</w:t>
      </w:r>
    </w:p>
    <w:p w14:paraId="33FCDEAC"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Hand Hygiene Compliance Audit Tool</w:t>
      </w:r>
      <w:r w:rsidRPr="00547BBF">
        <w:rPr>
          <w:rFonts w:ascii="Rockwell" w:hAnsi="Rockwell"/>
          <w:sz w:val="28"/>
          <w:szCs w:val="28"/>
        </w:rPr>
        <w:t xml:space="preserve"> – to measure adherence to WHO’s “Five Moments for Hand Hygiene.”</w:t>
      </w:r>
    </w:p>
    <w:p w14:paraId="06F73A30"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lastRenderedPageBreak/>
        <w:t>PPE Use Monitoring Form</w:t>
      </w:r>
      <w:r w:rsidRPr="00547BBF">
        <w:rPr>
          <w:rFonts w:ascii="Rockwell" w:hAnsi="Rockwell"/>
          <w:sz w:val="28"/>
          <w:szCs w:val="28"/>
        </w:rPr>
        <w:t xml:space="preserve"> – to assess correct and consistent usage of gloves, masks, gowns, and eye protection.</w:t>
      </w:r>
    </w:p>
    <w:p w14:paraId="558004C6"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Biomedical Waste Segregation Monitoring Form</w:t>
      </w:r>
      <w:r w:rsidRPr="00547BBF">
        <w:rPr>
          <w:rFonts w:ascii="Rockwell" w:hAnsi="Rockwell"/>
          <w:sz w:val="28"/>
          <w:szCs w:val="28"/>
        </w:rPr>
        <w:t xml:space="preserve"> – to check segregation, labeling, and disposal of various waste streams.</w:t>
      </w:r>
    </w:p>
    <w:p w14:paraId="2B4408C2" w14:textId="77777777" w:rsidR="00B43213" w:rsidRPr="00547BBF" w:rsidRDefault="00B43213" w:rsidP="00547BBF">
      <w:pPr>
        <w:numPr>
          <w:ilvl w:val="0"/>
          <w:numId w:val="8"/>
        </w:numPr>
        <w:spacing w:line="360" w:lineRule="auto"/>
        <w:jc w:val="both"/>
        <w:rPr>
          <w:rFonts w:ascii="Rockwell" w:hAnsi="Rockwell"/>
          <w:sz w:val="28"/>
          <w:szCs w:val="28"/>
        </w:rPr>
      </w:pPr>
      <w:r w:rsidRPr="00547BBF">
        <w:rPr>
          <w:rFonts w:ascii="Rockwell" w:hAnsi="Rockwell"/>
          <w:b/>
          <w:bCs/>
          <w:sz w:val="28"/>
          <w:szCs w:val="28"/>
        </w:rPr>
        <w:t>Transmission-Based Precautions &amp; Isolation Monitoring Tool</w:t>
      </w:r>
      <w:r w:rsidRPr="00547BBF">
        <w:rPr>
          <w:rFonts w:ascii="Rockwell" w:hAnsi="Rockwell"/>
          <w:sz w:val="28"/>
          <w:szCs w:val="28"/>
        </w:rPr>
        <w:t xml:space="preserve"> – to evaluate implementation of contact, droplet, and airborne precautions.</w:t>
      </w:r>
    </w:p>
    <w:p w14:paraId="6C10B25F" w14:textId="77777777" w:rsidR="00B43213" w:rsidRPr="00547BBF" w:rsidRDefault="00B43213" w:rsidP="00547BBF">
      <w:pPr>
        <w:numPr>
          <w:ilvl w:val="0"/>
          <w:numId w:val="8"/>
        </w:numPr>
        <w:jc w:val="both"/>
        <w:rPr>
          <w:rFonts w:ascii="Rockwell" w:hAnsi="Rockwell"/>
          <w:sz w:val="28"/>
          <w:szCs w:val="28"/>
        </w:rPr>
      </w:pPr>
      <w:r w:rsidRPr="00547BBF">
        <w:rPr>
          <w:rFonts w:ascii="Rockwell" w:hAnsi="Rockwell"/>
          <w:b/>
          <w:bCs/>
          <w:sz w:val="28"/>
          <w:szCs w:val="28"/>
        </w:rPr>
        <w:t>Environmental Cleaning Monitoring Tool</w:t>
      </w:r>
      <w:r w:rsidRPr="00547BBF">
        <w:rPr>
          <w:rFonts w:ascii="Rockwell" w:hAnsi="Rockwell"/>
          <w:sz w:val="28"/>
          <w:szCs w:val="28"/>
        </w:rPr>
        <w:t xml:space="preserve"> – to assess routine cleaning practices, agent use, and equipment maintenance.</w:t>
      </w:r>
    </w:p>
    <w:p w14:paraId="76A0AD13" w14:textId="0A4350A4" w:rsidR="00B43213" w:rsidRPr="00547BBF" w:rsidRDefault="00B43213" w:rsidP="00547BBF">
      <w:pPr>
        <w:jc w:val="both"/>
        <w:rPr>
          <w:rFonts w:ascii="Rockwell" w:hAnsi="Rockwell"/>
          <w:b/>
          <w:bCs/>
          <w:sz w:val="28"/>
          <w:szCs w:val="28"/>
        </w:rPr>
      </w:pPr>
      <w:r w:rsidRPr="00547BBF">
        <w:rPr>
          <w:rFonts w:ascii="Rockwell" w:hAnsi="Rockwell"/>
          <w:b/>
          <w:bCs/>
          <w:sz w:val="28"/>
          <w:szCs w:val="28"/>
        </w:rPr>
        <w:t>3.3. Study Area</w:t>
      </w:r>
    </w:p>
    <w:p w14:paraId="0D1C9D34"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 xml:space="preserve">The assessment was carried out in </w:t>
      </w:r>
      <w:r w:rsidRPr="00547BBF">
        <w:rPr>
          <w:rFonts w:ascii="Rockwell" w:hAnsi="Rockwell"/>
          <w:b/>
          <w:bCs/>
          <w:sz w:val="28"/>
          <w:szCs w:val="28"/>
        </w:rPr>
        <w:t>all service delivery areas</w:t>
      </w:r>
      <w:r w:rsidRPr="00547BBF">
        <w:rPr>
          <w:rFonts w:ascii="Rockwell" w:hAnsi="Rockwell"/>
          <w:sz w:val="28"/>
          <w:szCs w:val="28"/>
        </w:rPr>
        <w:t xml:space="preserve"> of Deder General Hospital, including outpatient departments (OPD), inpatient wards (pediatrics, medical, gynecology), emergency, maternity, minor procedure rooms, and waste handling units.</w:t>
      </w:r>
    </w:p>
    <w:p w14:paraId="0B41EB95" w14:textId="3391181F" w:rsidR="00B43213" w:rsidRPr="00547BBF" w:rsidRDefault="00B43213" w:rsidP="00547BBF">
      <w:pPr>
        <w:jc w:val="both"/>
        <w:rPr>
          <w:rFonts w:ascii="Rockwell" w:hAnsi="Rockwell"/>
          <w:b/>
          <w:bCs/>
          <w:sz w:val="28"/>
          <w:szCs w:val="28"/>
        </w:rPr>
      </w:pPr>
      <w:r w:rsidRPr="00547BBF">
        <w:rPr>
          <w:rFonts w:ascii="Rockwell" w:hAnsi="Rockwell"/>
          <w:b/>
          <w:bCs/>
          <w:sz w:val="28"/>
          <w:szCs w:val="28"/>
        </w:rPr>
        <w:t>3.4. Data Collection Process</w:t>
      </w:r>
    </w:p>
    <w:p w14:paraId="7AF7658D" w14:textId="77777777" w:rsidR="00B43213" w:rsidRPr="00547BBF" w:rsidRDefault="00B43213" w:rsidP="00547BBF">
      <w:pPr>
        <w:numPr>
          <w:ilvl w:val="0"/>
          <w:numId w:val="9"/>
        </w:numPr>
        <w:jc w:val="both"/>
        <w:rPr>
          <w:rFonts w:ascii="Rockwell" w:hAnsi="Rockwell"/>
          <w:sz w:val="28"/>
          <w:szCs w:val="28"/>
        </w:rPr>
      </w:pPr>
      <w:r w:rsidRPr="00547BBF">
        <w:rPr>
          <w:rFonts w:ascii="Rockwell" w:hAnsi="Rockwell"/>
          <w:b/>
          <w:bCs/>
          <w:sz w:val="28"/>
          <w:szCs w:val="28"/>
        </w:rPr>
        <w:t>Date of Assessment:</w:t>
      </w:r>
      <w:r w:rsidRPr="00547BBF">
        <w:rPr>
          <w:rFonts w:ascii="Rockwell" w:hAnsi="Rockwell"/>
          <w:sz w:val="28"/>
          <w:szCs w:val="28"/>
        </w:rPr>
        <w:t xml:space="preserve"> October 2, 2017</w:t>
      </w:r>
    </w:p>
    <w:p w14:paraId="7FFFDBCA" w14:textId="77777777" w:rsidR="00B43213" w:rsidRPr="00547BBF" w:rsidRDefault="00B43213" w:rsidP="00547BBF">
      <w:pPr>
        <w:numPr>
          <w:ilvl w:val="0"/>
          <w:numId w:val="9"/>
        </w:numPr>
        <w:jc w:val="both"/>
        <w:rPr>
          <w:rFonts w:ascii="Rockwell" w:hAnsi="Rockwell"/>
          <w:sz w:val="28"/>
          <w:szCs w:val="28"/>
        </w:rPr>
      </w:pPr>
      <w:r w:rsidRPr="00547BBF">
        <w:rPr>
          <w:rFonts w:ascii="Rockwell" w:hAnsi="Rockwell"/>
          <w:b/>
          <w:bCs/>
          <w:sz w:val="28"/>
          <w:szCs w:val="28"/>
        </w:rPr>
        <w:t>Observer:</w:t>
      </w:r>
      <w:r w:rsidRPr="00547BBF">
        <w:rPr>
          <w:rFonts w:ascii="Rockwell" w:hAnsi="Rockwell"/>
          <w:sz w:val="28"/>
          <w:szCs w:val="28"/>
        </w:rPr>
        <w:t xml:space="preserve"> Mr. Abrahim Tahir, IPC Focal Person</w:t>
      </w:r>
    </w:p>
    <w:p w14:paraId="159FC11B" w14:textId="77777777" w:rsidR="00B43213" w:rsidRPr="00547BBF" w:rsidRDefault="00B43213" w:rsidP="00547BBF">
      <w:pPr>
        <w:numPr>
          <w:ilvl w:val="0"/>
          <w:numId w:val="9"/>
        </w:numPr>
        <w:jc w:val="both"/>
        <w:rPr>
          <w:rFonts w:ascii="Rockwell" w:hAnsi="Rockwell"/>
          <w:sz w:val="28"/>
          <w:szCs w:val="28"/>
        </w:rPr>
      </w:pPr>
      <w:r w:rsidRPr="00547BBF">
        <w:rPr>
          <w:rFonts w:ascii="Rockwell" w:hAnsi="Rockwell"/>
          <w:b/>
          <w:bCs/>
          <w:sz w:val="28"/>
          <w:szCs w:val="28"/>
        </w:rPr>
        <w:t>Method:</w:t>
      </w:r>
      <w:r w:rsidRPr="00547BBF">
        <w:rPr>
          <w:rFonts w:ascii="Rockwell" w:hAnsi="Rockwell"/>
          <w:sz w:val="28"/>
          <w:szCs w:val="28"/>
        </w:rPr>
        <w:t xml:space="preserve"> Direct observation of clinical practices, infrastructure review, and staff interviews using pre-designed forms.</w:t>
      </w:r>
    </w:p>
    <w:p w14:paraId="5AAE88F2" w14:textId="0462225F" w:rsidR="00B43213" w:rsidRPr="00547BBF" w:rsidRDefault="00B43213" w:rsidP="00547BBF">
      <w:pPr>
        <w:jc w:val="both"/>
        <w:rPr>
          <w:rFonts w:ascii="Rockwell" w:hAnsi="Rockwell"/>
          <w:b/>
          <w:bCs/>
          <w:sz w:val="28"/>
          <w:szCs w:val="28"/>
        </w:rPr>
      </w:pPr>
      <w:r w:rsidRPr="00547BBF">
        <w:rPr>
          <w:rFonts w:ascii="Rockwell" w:hAnsi="Rockwell"/>
          <w:b/>
          <w:bCs/>
          <w:sz w:val="28"/>
          <w:szCs w:val="28"/>
        </w:rPr>
        <w:t>3.5. Scoring Criteria</w:t>
      </w:r>
    </w:p>
    <w:p w14:paraId="74C887B3" w14:textId="77777777" w:rsidR="00B43213" w:rsidRPr="00547BBF" w:rsidRDefault="00B43213" w:rsidP="00547BBF">
      <w:pPr>
        <w:jc w:val="both"/>
        <w:rPr>
          <w:rFonts w:ascii="Rockwell" w:hAnsi="Rockwell"/>
          <w:sz w:val="28"/>
          <w:szCs w:val="28"/>
        </w:rPr>
      </w:pPr>
      <w:r w:rsidRPr="00547BBF">
        <w:rPr>
          <w:rFonts w:ascii="Rockwell" w:hAnsi="Rockwell"/>
          <w:sz w:val="28"/>
          <w:szCs w:val="28"/>
        </w:rPr>
        <w:t>Each item was assessed and scored as:</w:t>
      </w:r>
    </w:p>
    <w:p w14:paraId="4C0ACB6C" w14:textId="77777777" w:rsidR="00B43213" w:rsidRPr="00547BBF" w:rsidRDefault="00B43213" w:rsidP="00547BBF">
      <w:pPr>
        <w:numPr>
          <w:ilvl w:val="0"/>
          <w:numId w:val="10"/>
        </w:numPr>
        <w:jc w:val="both"/>
        <w:rPr>
          <w:rFonts w:ascii="Rockwell" w:hAnsi="Rockwell"/>
          <w:sz w:val="28"/>
          <w:szCs w:val="28"/>
        </w:rPr>
      </w:pPr>
      <w:r w:rsidRPr="00547BBF">
        <w:rPr>
          <w:rFonts w:ascii="Segoe UI Emoji" w:hAnsi="Segoe UI Emoji" w:cs="Segoe UI Emoji"/>
          <w:sz w:val="28"/>
          <w:szCs w:val="28"/>
        </w:rPr>
        <w:t>✅</w:t>
      </w:r>
      <w:r w:rsidRPr="00547BBF">
        <w:rPr>
          <w:rFonts w:ascii="Rockwell" w:hAnsi="Rockwell"/>
          <w:sz w:val="28"/>
          <w:szCs w:val="28"/>
        </w:rPr>
        <w:t xml:space="preserve"> </w:t>
      </w:r>
      <w:r w:rsidRPr="00547BBF">
        <w:rPr>
          <w:rFonts w:ascii="Rockwell" w:hAnsi="Rockwell"/>
          <w:b/>
          <w:bCs/>
          <w:sz w:val="28"/>
          <w:szCs w:val="28"/>
        </w:rPr>
        <w:t>Yes</w:t>
      </w:r>
      <w:r w:rsidRPr="00547BBF">
        <w:rPr>
          <w:rFonts w:ascii="Rockwell" w:hAnsi="Rockwell"/>
          <w:sz w:val="28"/>
          <w:szCs w:val="28"/>
        </w:rPr>
        <w:t xml:space="preserve"> – Compliant or present</w:t>
      </w:r>
    </w:p>
    <w:p w14:paraId="552ACF91" w14:textId="77777777" w:rsidR="00B43213" w:rsidRPr="00547BBF" w:rsidRDefault="00B43213" w:rsidP="00547BBF">
      <w:pPr>
        <w:numPr>
          <w:ilvl w:val="0"/>
          <w:numId w:val="10"/>
        </w:numPr>
        <w:jc w:val="both"/>
        <w:rPr>
          <w:rFonts w:ascii="Rockwell" w:hAnsi="Rockwell"/>
          <w:sz w:val="28"/>
          <w:szCs w:val="28"/>
        </w:rPr>
      </w:pPr>
      <w:r w:rsidRPr="00547BBF">
        <w:rPr>
          <w:rFonts w:ascii="Segoe UI Emoji" w:hAnsi="Segoe UI Emoji" w:cs="Segoe UI Emoji"/>
          <w:sz w:val="28"/>
          <w:szCs w:val="28"/>
        </w:rPr>
        <w:t>❌</w:t>
      </w:r>
      <w:r w:rsidRPr="00547BBF">
        <w:rPr>
          <w:rFonts w:ascii="Rockwell" w:hAnsi="Rockwell"/>
          <w:sz w:val="28"/>
          <w:szCs w:val="28"/>
        </w:rPr>
        <w:t xml:space="preserve"> </w:t>
      </w:r>
      <w:r w:rsidRPr="00547BBF">
        <w:rPr>
          <w:rFonts w:ascii="Rockwell" w:hAnsi="Rockwell"/>
          <w:b/>
          <w:bCs/>
          <w:sz w:val="28"/>
          <w:szCs w:val="28"/>
        </w:rPr>
        <w:t>No</w:t>
      </w:r>
      <w:r w:rsidRPr="00547BBF">
        <w:rPr>
          <w:rFonts w:ascii="Rockwell" w:hAnsi="Rockwell"/>
          <w:sz w:val="28"/>
          <w:szCs w:val="28"/>
        </w:rPr>
        <w:t xml:space="preserve"> – Non-compliant or absent</w:t>
      </w:r>
    </w:p>
    <w:p w14:paraId="6669C5A4" w14:textId="77777777" w:rsidR="00B43213" w:rsidRPr="00547BBF" w:rsidRDefault="00B43213" w:rsidP="00547BBF">
      <w:pPr>
        <w:numPr>
          <w:ilvl w:val="0"/>
          <w:numId w:val="10"/>
        </w:numPr>
        <w:jc w:val="both"/>
        <w:rPr>
          <w:rFonts w:ascii="Rockwell" w:hAnsi="Rockwell"/>
          <w:sz w:val="28"/>
          <w:szCs w:val="28"/>
        </w:rPr>
      </w:pPr>
      <w:r w:rsidRPr="00547BBF">
        <w:rPr>
          <w:rFonts w:ascii="Rockwell" w:hAnsi="Rockwell"/>
          <w:b/>
          <w:bCs/>
          <w:sz w:val="28"/>
          <w:szCs w:val="28"/>
        </w:rPr>
        <w:t>Not Applicable (NA)</w:t>
      </w:r>
      <w:r w:rsidRPr="00547BBF">
        <w:rPr>
          <w:rFonts w:ascii="Rockwell" w:hAnsi="Rockwell"/>
          <w:sz w:val="28"/>
          <w:szCs w:val="28"/>
        </w:rPr>
        <w:t xml:space="preserve"> – When an item did not apply to the area or service assessed</w:t>
      </w:r>
    </w:p>
    <w:p w14:paraId="599F8C1B" w14:textId="77777777" w:rsidR="00547BBF" w:rsidRDefault="00B43213" w:rsidP="00547BBF">
      <w:pPr>
        <w:spacing w:after="0" w:line="360" w:lineRule="auto"/>
        <w:jc w:val="both"/>
        <w:rPr>
          <w:rFonts w:ascii="Rockwell" w:hAnsi="Rockwell"/>
          <w:sz w:val="28"/>
          <w:szCs w:val="28"/>
        </w:rPr>
      </w:pPr>
      <w:r w:rsidRPr="00547BBF">
        <w:rPr>
          <w:rFonts w:ascii="Rockwell" w:hAnsi="Rockwell"/>
          <w:sz w:val="28"/>
          <w:szCs w:val="28"/>
        </w:rPr>
        <w:t>Results were quantified into total “Yes” and “No” counts per component and summarized as percentages to evaluate overall compliance.</w:t>
      </w:r>
    </w:p>
    <w:p w14:paraId="49756C1C" w14:textId="3FC73DED" w:rsidR="00B43213" w:rsidRPr="00547BBF" w:rsidRDefault="00B43213" w:rsidP="00547BBF">
      <w:pPr>
        <w:spacing w:before="240" w:after="0" w:line="360" w:lineRule="auto"/>
        <w:jc w:val="both"/>
        <w:rPr>
          <w:rFonts w:ascii="Rockwell" w:hAnsi="Rockwell"/>
          <w:sz w:val="32"/>
          <w:szCs w:val="32"/>
        </w:rPr>
      </w:pPr>
      <w:r w:rsidRPr="00547BBF">
        <w:rPr>
          <w:rFonts w:ascii="Rockwell" w:hAnsi="Rockwell"/>
          <w:b/>
          <w:bCs/>
          <w:sz w:val="28"/>
          <w:szCs w:val="28"/>
        </w:rPr>
        <w:lastRenderedPageBreak/>
        <w:t>3.6. Quality Assurance</w:t>
      </w:r>
    </w:p>
    <w:p w14:paraId="38C15C3D" w14:textId="77777777" w:rsidR="00B43213" w:rsidRPr="00547BBF" w:rsidRDefault="00B43213" w:rsidP="00547BBF">
      <w:pPr>
        <w:numPr>
          <w:ilvl w:val="0"/>
          <w:numId w:val="11"/>
        </w:numPr>
        <w:spacing w:after="0" w:line="360" w:lineRule="auto"/>
        <w:jc w:val="both"/>
        <w:rPr>
          <w:rFonts w:ascii="Rockwell" w:hAnsi="Rockwell"/>
          <w:sz w:val="28"/>
          <w:szCs w:val="28"/>
        </w:rPr>
      </w:pPr>
      <w:r w:rsidRPr="00547BBF">
        <w:rPr>
          <w:rFonts w:ascii="Rockwell" w:hAnsi="Rockwell"/>
          <w:sz w:val="28"/>
          <w:szCs w:val="28"/>
        </w:rPr>
        <w:t>Data collection tools were standardized and pre-tested in similar health facility settings.</w:t>
      </w:r>
    </w:p>
    <w:p w14:paraId="6CFC5BD6" w14:textId="77777777" w:rsidR="00B43213" w:rsidRPr="00547BBF" w:rsidRDefault="00B43213" w:rsidP="00547BBF">
      <w:pPr>
        <w:numPr>
          <w:ilvl w:val="0"/>
          <w:numId w:val="11"/>
        </w:numPr>
        <w:spacing w:after="0" w:line="360" w:lineRule="auto"/>
        <w:jc w:val="both"/>
        <w:rPr>
          <w:rFonts w:ascii="Rockwell" w:hAnsi="Rockwell"/>
          <w:sz w:val="28"/>
          <w:szCs w:val="28"/>
        </w:rPr>
      </w:pPr>
      <w:r w:rsidRPr="00547BBF">
        <w:rPr>
          <w:rFonts w:ascii="Rockwell" w:hAnsi="Rockwell"/>
          <w:sz w:val="28"/>
          <w:szCs w:val="28"/>
        </w:rPr>
        <w:t>The observer was trained on objective scoring and adherence to ethical assessment protocols.</w:t>
      </w:r>
    </w:p>
    <w:p w14:paraId="285C0C1E" w14:textId="77777777" w:rsidR="00B43213" w:rsidRPr="00547BBF" w:rsidRDefault="00B43213" w:rsidP="00547BBF">
      <w:pPr>
        <w:numPr>
          <w:ilvl w:val="0"/>
          <w:numId w:val="11"/>
        </w:numPr>
        <w:spacing w:line="360" w:lineRule="auto"/>
        <w:jc w:val="both"/>
        <w:rPr>
          <w:rFonts w:ascii="Rockwell" w:hAnsi="Rockwell"/>
          <w:sz w:val="28"/>
          <w:szCs w:val="28"/>
        </w:rPr>
      </w:pPr>
      <w:r w:rsidRPr="00547BBF">
        <w:rPr>
          <w:rFonts w:ascii="Rockwell" w:hAnsi="Rockwell"/>
          <w:sz w:val="28"/>
          <w:szCs w:val="28"/>
        </w:rPr>
        <w:t>Findings were validated through cross-checking with available hospital records and direct staff verification where necessary.</w:t>
      </w:r>
    </w:p>
    <w:p w14:paraId="1896F727" w14:textId="77777777" w:rsidR="00B43213" w:rsidRPr="00547BBF" w:rsidRDefault="00B43213" w:rsidP="00547BBF">
      <w:pPr>
        <w:spacing w:line="360" w:lineRule="auto"/>
        <w:jc w:val="both"/>
        <w:rPr>
          <w:rFonts w:ascii="Rockwell" w:hAnsi="Rockwell"/>
          <w:b/>
          <w:bCs/>
          <w:sz w:val="28"/>
          <w:szCs w:val="28"/>
        </w:rPr>
      </w:pPr>
      <w:r w:rsidRPr="00547BBF">
        <w:rPr>
          <w:rFonts w:ascii="Rockwell" w:hAnsi="Rockwell"/>
          <w:b/>
          <w:bCs/>
          <w:sz w:val="28"/>
          <w:szCs w:val="28"/>
        </w:rPr>
        <w:t>3.7. Data Analysis</w:t>
      </w:r>
    </w:p>
    <w:p w14:paraId="729441D8" w14:textId="77777777" w:rsidR="00B43213" w:rsidRPr="00547BBF" w:rsidRDefault="00B43213" w:rsidP="00547BBF">
      <w:pPr>
        <w:spacing w:line="360" w:lineRule="auto"/>
        <w:jc w:val="both"/>
        <w:rPr>
          <w:rFonts w:ascii="Rockwell" w:hAnsi="Rockwell"/>
          <w:sz w:val="32"/>
          <w:szCs w:val="32"/>
        </w:rPr>
      </w:pPr>
      <w:r w:rsidRPr="00547BBF">
        <w:rPr>
          <w:rFonts w:ascii="Rockwell" w:hAnsi="Rockwell"/>
          <w:sz w:val="32"/>
          <w:szCs w:val="32"/>
        </w:rPr>
        <w:t>Data were compiled manually and summarized into:</w:t>
      </w:r>
    </w:p>
    <w:p w14:paraId="3CAF01E4" w14:textId="77777777" w:rsidR="00B43213" w:rsidRPr="00547BBF" w:rsidRDefault="00B43213" w:rsidP="00547BBF">
      <w:pPr>
        <w:pStyle w:val="ListParagraph"/>
        <w:numPr>
          <w:ilvl w:val="0"/>
          <w:numId w:val="16"/>
        </w:numPr>
        <w:spacing w:after="0" w:line="360" w:lineRule="auto"/>
        <w:jc w:val="both"/>
        <w:rPr>
          <w:rFonts w:ascii="Rockwell" w:hAnsi="Rockwell"/>
          <w:sz w:val="32"/>
          <w:szCs w:val="32"/>
        </w:rPr>
      </w:pPr>
      <w:r w:rsidRPr="00547BBF">
        <w:rPr>
          <w:rFonts w:ascii="Rockwell" w:hAnsi="Rockwell"/>
          <w:sz w:val="32"/>
          <w:szCs w:val="32"/>
        </w:rPr>
        <w:t>Component-wise performance</w:t>
      </w:r>
    </w:p>
    <w:p w14:paraId="20E85C93" w14:textId="77777777" w:rsidR="00B43213" w:rsidRPr="00547BBF" w:rsidRDefault="00B43213" w:rsidP="00547BBF">
      <w:pPr>
        <w:numPr>
          <w:ilvl w:val="0"/>
          <w:numId w:val="16"/>
        </w:numPr>
        <w:spacing w:after="0" w:line="360" w:lineRule="auto"/>
        <w:jc w:val="both"/>
        <w:rPr>
          <w:rFonts w:ascii="Rockwell" w:hAnsi="Rockwell"/>
          <w:sz w:val="32"/>
          <w:szCs w:val="32"/>
        </w:rPr>
      </w:pPr>
      <w:r w:rsidRPr="00547BBF">
        <w:rPr>
          <w:rFonts w:ascii="Rockwell" w:hAnsi="Rockwell"/>
          <w:sz w:val="32"/>
          <w:szCs w:val="32"/>
        </w:rPr>
        <w:t>Total compliance rates (Yes/No counts)</w:t>
      </w:r>
    </w:p>
    <w:p w14:paraId="0D343797" w14:textId="77777777" w:rsidR="00B43213" w:rsidRDefault="00B43213" w:rsidP="00547BBF">
      <w:pPr>
        <w:numPr>
          <w:ilvl w:val="0"/>
          <w:numId w:val="16"/>
        </w:numPr>
        <w:spacing w:after="0" w:line="360" w:lineRule="auto"/>
        <w:jc w:val="both"/>
        <w:rPr>
          <w:rFonts w:ascii="Rockwell" w:hAnsi="Rockwell"/>
          <w:sz w:val="28"/>
          <w:szCs w:val="28"/>
        </w:rPr>
      </w:pPr>
      <w:r w:rsidRPr="00547BBF">
        <w:rPr>
          <w:rFonts w:ascii="Rockwell" w:hAnsi="Rockwell"/>
          <w:sz w:val="32"/>
          <w:szCs w:val="32"/>
        </w:rPr>
        <w:t>Percentages for comparative performance analysis</w:t>
      </w:r>
      <w:r w:rsidRPr="00547BBF">
        <w:rPr>
          <w:rFonts w:ascii="Rockwell" w:hAnsi="Rockwell"/>
          <w:sz w:val="32"/>
          <w:szCs w:val="32"/>
        </w:rPr>
        <w:br/>
        <w:t xml:space="preserve">These were used to identify high- and </w:t>
      </w:r>
      <w:r w:rsidRPr="00547BBF">
        <w:rPr>
          <w:rFonts w:ascii="Rockwell" w:hAnsi="Rockwell"/>
          <w:sz w:val="28"/>
          <w:szCs w:val="28"/>
        </w:rPr>
        <w:t>low-performing areas and guide the recommendation and action plan.</w:t>
      </w:r>
    </w:p>
    <w:p w14:paraId="3FA069BF" w14:textId="77777777" w:rsidR="00547BBF" w:rsidRDefault="00547BBF" w:rsidP="00547BBF">
      <w:pPr>
        <w:spacing w:after="0" w:line="360" w:lineRule="auto"/>
        <w:jc w:val="both"/>
        <w:rPr>
          <w:rFonts w:ascii="Rockwell" w:hAnsi="Rockwell"/>
          <w:sz w:val="28"/>
          <w:szCs w:val="28"/>
        </w:rPr>
      </w:pPr>
    </w:p>
    <w:p w14:paraId="1B2A398B" w14:textId="77777777" w:rsidR="00547BBF" w:rsidRDefault="00547BBF" w:rsidP="00547BBF">
      <w:pPr>
        <w:spacing w:after="0" w:line="360" w:lineRule="auto"/>
        <w:jc w:val="both"/>
        <w:rPr>
          <w:rFonts w:ascii="Rockwell" w:hAnsi="Rockwell"/>
          <w:sz w:val="28"/>
          <w:szCs w:val="28"/>
        </w:rPr>
      </w:pPr>
    </w:p>
    <w:p w14:paraId="4D928C75" w14:textId="77777777" w:rsidR="00547BBF" w:rsidRDefault="00547BBF" w:rsidP="00547BBF">
      <w:pPr>
        <w:spacing w:after="0" w:line="360" w:lineRule="auto"/>
        <w:jc w:val="both"/>
        <w:rPr>
          <w:rFonts w:ascii="Rockwell" w:hAnsi="Rockwell"/>
          <w:sz w:val="28"/>
          <w:szCs w:val="28"/>
        </w:rPr>
      </w:pPr>
    </w:p>
    <w:p w14:paraId="79CD7477" w14:textId="77777777" w:rsidR="00547BBF" w:rsidRDefault="00547BBF" w:rsidP="00547BBF">
      <w:pPr>
        <w:spacing w:after="0" w:line="360" w:lineRule="auto"/>
        <w:jc w:val="both"/>
        <w:rPr>
          <w:rFonts w:ascii="Rockwell" w:hAnsi="Rockwell"/>
          <w:sz w:val="28"/>
          <w:szCs w:val="28"/>
        </w:rPr>
      </w:pPr>
    </w:p>
    <w:p w14:paraId="3A76D71E" w14:textId="77777777" w:rsidR="00775419" w:rsidRDefault="00775419" w:rsidP="00547BBF">
      <w:pPr>
        <w:spacing w:after="0" w:line="360" w:lineRule="auto"/>
        <w:jc w:val="both"/>
        <w:rPr>
          <w:rFonts w:ascii="Rockwell" w:hAnsi="Rockwell"/>
          <w:sz w:val="28"/>
          <w:szCs w:val="28"/>
        </w:rPr>
      </w:pPr>
    </w:p>
    <w:p w14:paraId="0D17B34C" w14:textId="77777777" w:rsidR="00775419" w:rsidRDefault="00775419" w:rsidP="00547BBF">
      <w:pPr>
        <w:spacing w:after="0" w:line="360" w:lineRule="auto"/>
        <w:jc w:val="both"/>
        <w:rPr>
          <w:rFonts w:ascii="Rockwell" w:hAnsi="Rockwell"/>
          <w:sz w:val="28"/>
          <w:szCs w:val="28"/>
        </w:rPr>
      </w:pPr>
    </w:p>
    <w:p w14:paraId="18BAEDFC" w14:textId="77777777" w:rsidR="00775419" w:rsidRDefault="00775419" w:rsidP="00547BBF">
      <w:pPr>
        <w:spacing w:after="0" w:line="360" w:lineRule="auto"/>
        <w:jc w:val="both"/>
        <w:rPr>
          <w:rFonts w:ascii="Rockwell" w:hAnsi="Rockwell"/>
          <w:sz w:val="28"/>
          <w:szCs w:val="28"/>
        </w:rPr>
      </w:pPr>
    </w:p>
    <w:p w14:paraId="518A8E0F" w14:textId="77777777" w:rsidR="00775419" w:rsidRPr="00547BBF" w:rsidRDefault="00775419" w:rsidP="00547BBF">
      <w:pPr>
        <w:spacing w:after="0" w:line="360" w:lineRule="auto"/>
        <w:jc w:val="both"/>
        <w:rPr>
          <w:rFonts w:ascii="Rockwell" w:hAnsi="Rockwell"/>
          <w:sz w:val="28"/>
          <w:szCs w:val="28"/>
        </w:rPr>
      </w:pPr>
    </w:p>
    <w:p w14:paraId="0104397C" w14:textId="3911F8F3" w:rsidR="00B43213" w:rsidRDefault="00B43213" w:rsidP="00775419">
      <w:pPr>
        <w:pStyle w:val="Heading1"/>
        <w:spacing w:line="360" w:lineRule="auto"/>
        <w:rPr>
          <w:rFonts w:ascii="Rockwell" w:hAnsi="Rockwell"/>
          <w:b/>
          <w:bCs/>
          <w:sz w:val="32"/>
          <w:szCs w:val="32"/>
        </w:rPr>
      </w:pPr>
      <w:bookmarkStart w:id="5" w:name="_Toc204466413"/>
      <w:r w:rsidRPr="00211602">
        <w:rPr>
          <w:rFonts w:ascii="Rockwell" w:hAnsi="Rockwell"/>
          <w:b/>
          <w:bCs/>
          <w:sz w:val="32"/>
          <w:szCs w:val="32"/>
        </w:rPr>
        <w:lastRenderedPageBreak/>
        <w:t>4.  Results</w:t>
      </w:r>
      <w:bookmarkEnd w:id="5"/>
      <w:r w:rsidRPr="00211602">
        <w:rPr>
          <w:rFonts w:ascii="Rockwell" w:hAnsi="Rockwell"/>
          <w:b/>
          <w:bCs/>
          <w:sz w:val="32"/>
          <w:szCs w:val="32"/>
        </w:rPr>
        <w:t xml:space="preserve"> </w:t>
      </w:r>
    </w:p>
    <w:p w14:paraId="6089A77A" w14:textId="36581264" w:rsidR="00775419" w:rsidRPr="00775419" w:rsidRDefault="00775419" w:rsidP="00775419">
      <w:pPr>
        <w:spacing w:line="360" w:lineRule="auto"/>
        <w:jc w:val="both"/>
        <w:rPr>
          <w:rFonts w:ascii="Rockwell" w:hAnsi="Rockwell"/>
          <w:sz w:val="28"/>
          <w:szCs w:val="28"/>
        </w:rPr>
      </w:pPr>
      <w:r w:rsidRPr="00775419">
        <w:rPr>
          <w:rFonts w:ascii="Rockwell" w:hAnsi="Rockwell"/>
          <w:sz w:val="28"/>
          <w:szCs w:val="28"/>
        </w:rPr>
        <w:t xml:space="preserve">The overall IPC compliance performance at Deder General Hospital during the </w:t>
      </w:r>
      <w:r w:rsidRPr="00775419">
        <w:rPr>
          <w:rFonts w:ascii="Rockwell" w:hAnsi="Rockwell"/>
          <w:b/>
          <w:bCs/>
          <w:sz w:val="28"/>
          <w:szCs w:val="28"/>
        </w:rPr>
        <w:t>first quarter of 2017</w:t>
      </w:r>
      <w:r w:rsidRPr="00775419">
        <w:rPr>
          <w:rFonts w:ascii="Rockwell" w:hAnsi="Rockwell"/>
          <w:sz w:val="28"/>
          <w:szCs w:val="28"/>
        </w:rPr>
        <w:t xml:space="preserve"> was </w:t>
      </w:r>
      <w:r w:rsidRPr="00775419">
        <w:rPr>
          <w:rFonts w:ascii="Rockwell" w:hAnsi="Rockwell"/>
          <w:b/>
          <w:bCs/>
          <w:sz w:val="28"/>
          <w:szCs w:val="28"/>
        </w:rPr>
        <w:t xml:space="preserve">72, </w:t>
      </w:r>
      <w:r w:rsidRPr="00775419">
        <w:rPr>
          <w:rFonts w:ascii="Rockwell" w:hAnsi="Rockwell"/>
          <w:sz w:val="28"/>
          <w:szCs w:val="28"/>
        </w:rPr>
        <w:t>indicating a moderate level of adherence to national and WHO-recommended standards. Among the seven core components assessed, the hospital demonstrated strongest performance in the IPC System/Capacity component (91.7), reflecting well-established protocols, leadership structure, and policy documentation. Hand hygiene and transmission-based precautions also showed reasonably high compliance rates, with 80 and 75 respectively, suggesting that staff awareness around standard precautions and patient interaction safety is relatively strong.</w:t>
      </w:r>
    </w:p>
    <w:p w14:paraId="1BEADC99" w14:textId="7F405E25" w:rsidR="00775419" w:rsidRPr="00775419" w:rsidRDefault="00775419" w:rsidP="00775419">
      <w:pPr>
        <w:spacing w:line="360" w:lineRule="auto"/>
        <w:jc w:val="both"/>
        <w:rPr>
          <w:rFonts w:ascii="Rockwell" w:hAnsi="Rockwell"/>
          <w:sz w:val="28"/>
          <w:szCs w:val="28"/>
        </w:rPr>
      </w:pPr>
      <w:r w:rsidRPr="00775419">
        <w:rPr>
          <w:rFonts w:ascii="Rockwell" w:hAnsi="Rockwell"/>
          <w:sz w:val="28"/>
          <w:szCs w:val="28"/>
        </w:rPr>
        <w:t>However, significant gaps were identified in the operational aspects of infection control. The use of Personal Protective Equipment (PPE) was particularly low, with a compliance rate of only 25, mainly due to inconsistent usage of gowns and eye protection in high-risk departments like OPD and pediatrics. Environmental cleaning was another critical area with substandard compliance (60), highlighted by unclean high-touch surfaces and poor storage practices for cleaning tools like mops. Waste segregation scored 75, but specific weaknesses such as missing chemical waste bins and overfilled sharps containers exposed risks of cross-contamination and needle-stick injuries.</w:t>
      </w:r>
    </w:p>
    <w:p w14:paraId="1C1D94EE" w14:textId="77777777" w:rsidR="00775419" w:rsidRPr="00775419" w:rsidRDefault="00775419" w:rsidP="00775419">
      <w:pPr>
        <w:spacing w:after="0" w:line="360" w:lineRule="auto"/>
        <w:jc w:val="both"/>
        <w:rPr>
          <w:rFonts w:ascii="Rockwell" w:hAnsi="Rockwell"/>
          <w:sz w:val="28"/>
          <w:szCs w:val="28"/>
        </w:rPr>
      </w:pPr>
      <w:r w:rsidRPr="00775419">
        <w:rPr>
          <w:rFonts w:ascii="Rockwell" w:hAnsi="Rockwell"/>
          <w:sz w:val="28"/>
          <w:szCs w:val="28"/>
        </w:rPr>
        <w:t>While the foundational IPC systems exist, the assessment revealed that these are not consistently translated into daily clinical practice. The disparity between system readiness and on-the-ground implementation points to issues related to training gaps, insufficient supply chains, and lack of close supervision. These shortcomings threaten patient and staff safety and require urgent action through structured capacity-building, consistent monitoring, and reinforcement of accountability mechanisms to close the "policy-to-practice" gap.</w:t>
      </w:r>
    </w:p>
    <w:p w14:paraId="6843C774" w14:textId="77777777" w:rsidR="00775419" w:rsidRDefault="00775419" w:rsidP="00775419"/>
    <w:p w14:paraId="53768CD1" w14:textId="635CB3CB" w:rsidR="00775419" w:rsidRDefault="00775419" w:rsidP="00775419">
      <w:r w:rsidRPr="00473BEF">
        <w:rPr>
          <w:rFonts w:ascii="Rockwell" w:hAnsi="Rockwell"/>
          <w:noProof/>
          <w:color w:val="FFFFFF" w:themeColor="background1"/>
          <w:sz w:val="40"/>
          <w:szCs w:val="40"/>
        </w:rPr>
        <w:lastRenderedPageBreak/>
        <w:drawing>
          <wp:anchor distT="0" distB="0" distL="114300" distR="114300" simplePos="0" relativeHeight="251661312" behindDoc="1" locked="0" layoutInCell="1" allowOverlap="1" wp14:anchorId="603EF84A" wp14:editId="773B444F">
            <wp:simplePos x="0" y="0"/>
            <wp:positionH relativeFrom="margin">
              <wp:align>left</wp:align>
            </wp:positionH>
            <wp:positionV relativeFrom="page">
              <wp:posOffset>696595</wp:posOffset>
            </wp:positionV>
            <wp:extent cx="6413500" cy="3652520"/>
            <wp:effectExtent l="0" t="0" r="6350" b="5080"/>
            <wp:wrapTight wrapText="bothSides">
              <wp:wrapPolygon edited="0">
                <wp:start x="0" y="0"/>
                <wp:lineTo x="0" y="21517"/>
                <wp:lineTo x="21557" y="21517"/>
                <wp:lineTo x="21557" y="0"/>
                <wp:lineTo x="0" y="0"/>
              </wp:wrapPolygon>
            </wp:wrapTight>
            <wp:docPr id="196834393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0DDECFA6" w14:textId="77777777" w:rsidR="00775419" w:rsidRDefault="00775419" w:rsidP="00775419"/>
    <w:p w14:paraId="5AB5238E" w14:textId="77777777" w:rsidR="00775419" w:rsidRPr="00473BEF" w:rsidRDefault="00775419" w:rsidP="00775419">
      <w:pPr>
        <w:pStyle w:val="ListParagraph"/>
        <w:spacing w:line="360" w:lineRule="auto"/>
        <w:ind w:left="360"/>
        <w:rPr>
          <w:rFonts w:ascii="Rockwell" w:hAnsi="Rockwell"/>
          <w:b/>
          <w:bCs/>
          <w:sz w:val="36"/>
          <w:szCs w:val="36"/>
        </w:rPr>
      </w:pPr>
    </w:p>
    <w:p w14:paraId="7221D6C6" w14:textId="77777777" w:rsidR="00775419" w:rsidRPr="00473BEF" w:rsidRDefault="00775419" w:rsidP="00775419">
      <w:pPr>
        <w:pStyle w:val="ListParagraph"/>
        <w:spacing w:line="360" w:lineRule="auto"/>
        <w:ind w:left="360"/>
        <w:rPr>
          <w:rFonts w:ascii="Rockwell" w:hAnsi="Rockwell"/>
          <w:b/>
          <w:bCs/>
          <w:sz w:val="36"/>
          <w:szCs w:val="36"/>
        </w:rPr>
      </w:pPr>
    </w:p>
    <w:p w14:paraId="1739621E" w14:textId="77777777" w:rsidR="00775419" w:rsidRPr="00473BEF" w:rsidRDefault="00775419" w:rsidP="00775419">
      <w:pPr>
        <w:pStyle w:val="ListParagraph"/>
        <w:spacing w:line="360" w:lineRule="auto"/>
        <w:ind w:left="360"/>
        <w:rPr>
          <w:rFonts w:ascii="Rockwell" w:hAnsi="Rockwell"/>
          <w:b/>
          <w:bCs/>
          <w:sz w:val="36"/>
          <w:szCs w:val="36"/>
        </w:rPr>
      </w:pPr>
    </w:p>
    <w:p w14:paraId="0F75D9DD" w14:textId="77777777" w:rsidR="00775419" w:rsidRPr="00473BEF" w:rsidRDefault="00775419" w:rsidP="00775419">
      <w:pPr>
        <w:pStyle w:val="ListParagraph"/>
        <w:spacing w:line="360" w:lineRule="auto"/>
        <w:ind w:left="360"/>
        <w:rPr>
          <w:rFonts w:ascii="Rockwell" w:hAnsi="Rockwell"/>
          <w:b/>
          <w:bCs/>
          <w:sz w:val="36"/>
          <w:szCs w:val="36"/>
        </w:rPr>
      </w:pPr>
    </w:p>
    <w:p w14:paraId="3733B945" w14:textId="7A0D17F3" w:rsidR="00775419" w:rsidRPr="00473BEF" w:rsidRDefault="00775419" w:rsidP="00775419">
      <w:pPr>
        <w:pStyle w:val="ListParagraph"/>
        <w:spacing w:line="360" w:lineRule="auto"/>
        <w:ind w:left="360"/>
        <w:rPr>
          <w:rFonts w:ascii="Rockwell" w:hAnsi="Rockwell"/>
          <w:b/>
          <w:bCs/>
          <w:sz w:val="36"/>
          <w:szCs w:val="36"/>
        </w:rPr>
      </w:pPr>
    </w:p>
    <w:p w14:paraId="56575891" w14:textId="77777777" w:rsidR="00775419" w:rsidRPr="00473BEF" w:rsidRDefault="00775419" w:rsidP="00775419">
      <w:pPr>
        <w:pStyle w:val="ListParagraph"/>
        <w:spacing w:line="360" w:lineRule="auto"/>
        <w:ind w:left="360"/>
        <w:rPr>
          <w:rFonts w:ascii="Rockwell" w:hAnsi="Rockwell"/>
          <w:b/>
          <w:bCs/>
          <w:sz w:val="36"/>
          <w:szCs w:val="36"/>
        </w:rPr>
      </w:pPr>
    </w:p>
    <w:p w14:paraId="6FED9DF8" w14:textId="77777777" w:rsidR="00775419" w:rsidRPr="00473BEF" w:rsidRDefault="00775419" w:rsidP="00775419">
      <w:pPr>
        <w:pStyle w:val="Caption"/>
        <w:jc w:val="center"/>
        <w:rPr>
          <w:rFonts w:ascii="Rockwell" w:hAnsi="Rockwell"/>
          <w:b/>
          <w:bCs/>
          <w:color w:val="auto"/>
          <w:sz w:val="24"/>
          <w:szCs w:val="24"/>
        </w:rPr>
      </w:pPr>
    </w:p>
    <w:p w14:paraId="54F8F70E" w14:textId="77777777" w:rsidR="00775419" w:rsidRDefault="00775419" w:rsidP="00775419">
      <w:pPr>
        <w:pStyle w:val="Caption"/>
        <w:jc w:val="both"/>
        <w:rPr>
          <w:rFonts w:ascii="Rockwell" w:hAnsi="Rockwell"/>
          <w:b/>
          <w:bCs/>
          <w:color w:val="auto"/>
          <w:sz w:val="24"/>
          <w:szCs w:val="24"/>
        </w:rPr>
      </w:pPr>
      <w:bookmarkStart w:id="6" w:name="_Toc204391571"/>
    </w:p>
    <w:p w14:paraId="6AC2BDD3" w14:textId="072942EB" w:rsidR="00775419" w:rsidRPr="00473BEF" w:rsidRDefault="00775419" w:rsidP="00775419">
      <w:pPr>
        <w:pStyle w:val="Caption"/>
        <w:jc w:val="both"/>
        <w:rPr>
          <w:rFonts w:ascii="Rockwell" w:hAnsi="Rockwell"/>
          <w:sz w:val="24"/>
          <w:szCs w:val="24"/>
        </w:rPr>
      </w:pPr>
      <w:r w:rsidRPr="00473BEF">
        <w:rPr>
          <w:rFonts w:ascii="Rockwell" w:hAnsi="Rockwell"/>
          <w:b/>
          <w:bCs/>
          <w:color w:val="auto"/>
          <w:sz w:val="24"/>
          <w:szCs w:val="24"/>
        </w:rPr>
        <w:t xml:space="preserve">Figure </w:t>
      </w:r>
      <w:r w:rsidRPr="00473BEF">
        <w:rPr>
          <w:rFonts w:ascii="Rockwell" w:hAnsi="Rockwell"/>
          <w:b/>
          <w:bCs/>
          <w:color w:val="auto"/>
          <w:sz w:val="24"/>
          <w:szCs w:val="24"/>
        </w:rPr>
        <w:fldChar w:fldCharType="begin"/>
      </w:r>
      <w:r w:rsidRPr="00473BEF">
        <w:rPr>
          <w:rFonts w:ascii="Rockwell" w:hAnsi="Rockwell"/>
          <w:b/>
          <w:bCs/>
          <w:color w:val="auto"/>
          <w:sz w:val="24"/>
          <w:szCs w:val="24"/>
        </w:rPr>
        <w:instrText xml:space="preserve"> SEQ Figure \* ARABIC </w:instrText>
      </w:r>
      <w:r w:rsidRPr="00473BEF">
        <w:rPr>
          <w:rFonts w:ascii="Rockwell" w:hAnsi="Rockwell"/>
          <w:b/>
          <w:bCs/>
          <w:color w:val="auto"/>
          <w:sz w:val="24"/>
          <w:szCs w:val="24"/>
        </w:rPr>
        <w:fldChar w:fldCharType="separate"/>
      </w:r>
      <w:r>
        <w:rPr>
          <w:rFonts w:ascii="Rockwell" w:hAnsi="Rockwell"/>
          <w:b/>
          <w:bCs/>
          <w:noProof/>
          <w:color w:val="auto"/>
          <w:sz w:val="24"/>
          <w:szCs w:val="24"/>
        </w:rPr>
        <w:t>4</w:t>
      </w:r>
      <w:r w:rsidRPr="00473BEF">
        <w:rPr>
          <w:rFonts w:ascii="Rockwell" w:hAnsi="Rockwell"/>
          <w:b/>
          <w:bCs/>
          <w:color w:val="auto"/>
          <w:sz w:val="24"/>
          <w:szCs w:val="24"/>
        </w:rPr>
        <w:fldChar w:fldCharType="end"/>
      </w:r>
      <w:r w:rsidRPr="00473BEF">
        <w:rPr>
          <w:rFonts w:ascii="Rockwell" w:hAnsi="Rockwell"/>
          <w:b/>
          <w:bCs/>
          <w:color w:val="auto"/>
          <w:sz w:val="24"/>
          <w:szCs w:val="24"/>
        </w:rPr>
        <w:t>:</w:t>
      </w:r>
      <w:r w:rsidRPr="00473BEF">
        <w:rPr>
          <w:rFonts w:ascii="Rockwell" w:hAnsi="Rockwell"/>
          <w:color w:val="auto"/>
          <w:sz w:val="24"/>
          <w:szCs w:val="24"/>
        </w:rPr>
        <w:t xml:space="preserve"> </w:t>
      </w:r>
      <w:bookmarkStart w:id="7" w:name="_Hlk204364909"/>
      <w:bookmarkStart w:id="8" w:name="_Hlk204365444"/>
      <w:r w:rsidRPr="00473BEF">
        <w:rPr>
          <w:rFonts w:ascii="Rockwell" w:hAnsi="Rockwell"/>
          <w:color w:val="auto"/>
          <w:sz w:val="24"/>
          <w:szCs w:val="24"/>
        </w:rPr>
        <w:t xml:space="preserve">Deder General Hospital Overall </w:t>
      </w:r>
      <w:r>
        <w:rPr>
          <w:rFonts w:ascii="Rockwell" w:hAnsi="Rockwell"/>
          <w:color w:val="auto"/>
          <w:sz w:val="24"/>
          <w:szCs w:val="24"/>
        </w:rPr>
        <w:t>IPC</w:t>
      </w:r>
      <w:r w:rsidRPr="00473BEF">
        <w:rPr>
          <w:rFonts w:ascii="Rockwell" w:hAnsi="Rockwell"/>
          <w:color w:val="auto"/>
          <w:sz w:val="24"/>
          <w:szCs w:val="24"/>
        </w:rPr>
        <w:t xml:space="preserve"> compliance</w:t>
      </w:r>
      <w:bookmarkEnd w:id="7"/>
      <w:r w:rsidRPr="00473BEF">
        <w:rPr>
          <w:rFonts w:ascii="Rockwell" w:hAnsi="Rockwell"/>
          <w:color w:val="auto"/>
          <w:sz w:val="24"/>
          <w:szCs w:val="24"/>
        </w:rPr>
        <w:t xml:space="preserve"> rate</w:t>
      </w:r>
      <w:bookmarkEnd w:id="8"/>
      <w:r w:rsidRPr="00473BEF">
        <w:rPr>
          <w:rFonts w:ascii="Rockwell" w:hAnsi="Rockwell"/>
          <w:color w:val="auto"/>
          <w:sz w:val="24"/>
          <w:szCs w:val="24"/>
        </w:rPr>
        <w:t xml:space="preserve">, </w:t>
      </w:r>
      <w:r>
        <w:rPr>
          <w:rFonts w:ascii="Rockwell" w:hAnsi="Rockwell"/>
          <w:color w:val="auto"/>
          <w:sz w:val="24"/>
          <w:szCs w:val="24"/>
        </w:rPr>
        <w:t>September</w:t>
      </w:r>
      <w:r w:rsidRPr="00473BEF">
        <w:rPr>
          <w:rFonts w:ascii="Rockwell" w:hAnsi="Rockwell"/>
          <w:color w:val="auto"/>
          <w:sz w:val="24"/>
          <w:szCs w:val="24"/>
        </w:rPr>
        <w:t xml:space="preserve"> 2017E.</w:t>
      </w:r>
      <w:r w:rsidRPr="00473BEF">
        <w:rPr>
          <w:rFonts w:ascii="Rockwell" w:hAnsi="Rockwell"/>
          <w:sz w:val="24"/>
          <w:szCs w:val="24"/>
        </w:rPr>
        <w:t>C</w:t>
      </w:r>
      <w:bookmarkEnd w:id="6"/>
    </w:p>
    <w:p w14:paraId="75F1F3AE" w14:textId="77777777" w:rsidR="00775419" w:rsidRDefault="00775419" w:rsidP="00775419">
      <w:pPr>
        <w:pStyle w:val="Caption"/>
        <w:rPr>
          <w:rFonts w:ascii="Rockwell" w:hAnsi="Rockwell"/>
          <w:b/>
          <w:bCs/>
          <w:sz w:val="24"/>
          <w:szCs w:val="24"/>
        </w:rPr>
      </w:pPr>
    </w:p>
    <w:p w14:paraId="72B0502F" w14:textId="6E2AAB13" w:rsidR="00775419" w:rsidRPr="00775419" w:rsidRDefault="00775419" w:rsidP="00775419">
      <w:pPr>
        <w:pStyle w:val="Caption"/>
        <w:rPr>
          <w:rFonts w:ascii="Rockwell" w:hAnsi="Rockwell"/>
          <w:sz w:val="24"/>
          <w:szCs w:val="24"/>
        </w:rPr>
      </w:pPr>
      <w:r w:rsidRPr="00775419">
        <w:rPr>
          <w:rFonts w:ascii="Rockwell" w:hAnsi="Rockwell"/>
          <w:b/>
          <w:bCs/>
          <w:sz w:val="24"/>
          <w:szCs w:val="24"/>
        </w:rPr>
        <w:t xml:space="preserve">Table </w:t>
      </w:r>
      <w:r w:rsidRPr="00775419">
        <w:rPr>
          <w:rFonts w:ascii="Rockwell" w:hAnsi="Rockwell"/>
          <w:b/>
          <w:bCs/>
          <w:sz w:val="24"/>
          <w:szCs w:val="24"/>
        </w:rPr>
        <w:fldChar w:fldCharType="begin"/>
      </w:r>
      <w:r w:rsidRPr="00775419">
        <w:rPr>
          <w:rFonts w:ascii="Rockwell" w:hAnsi="Rockwell"/>
          <w:b/>
          <w:bCs/>
          <w:sz w:val="24"/>
          <w:szCs w:val="24"/>
        </w:rPr>
        <w:instrText xml:space="preserve"> SEQ Table \* ARABIC </w:instrText>
      </w:r>
      <w:r w:rsidRPr="00775419">
        <w:rPr>
          <w:rFonts w:ascii="Rockwell" w:hAnsi="Rockwell"/>
          <w:b/>
          <w:bCs/>
          <w:sz w:val="24"/>
          <w:szCs w:val="24"/>
        </w:rPr>
        <w:fldChar w:fldCharType="separate"/>
      </w:r>
      <w:r w:rsidRPr="00775419">
        <w:rPr>
          <w:rFonts w:ascii="Rockwell" w:hAnsi="Rockwell"/>
          <w:b/>
          <w:bCs/>
          <w:noProof/>
          <w:sz w:val="24"/>
          <w:szCs w:val="24"/>
        </w:rPr>
        <w:t>1</w:t>
      </w:r>
      <w:r w:rsidRPr="00775419">
        <w:rPr>
          <w:rFonts w:ascii="Rockwell" w:hAnsi="Rockwell"/>
          <w:b/>
          <w:bCs/>
          <w:sz w:val="24"/>
          <w:szCs w:val="24"/>
        </w:rPr>
        <w:fldChar w:fldCharType="end"/>
      </w:r>
      <w:r w:rsidRPr="00775419">
        <w:rPr>
          <w:rFonts w:ascii="Rockwell" w:hAnsi="Rockwell"/>
          <w:sz w:val="24"/>
          <w:szCs w:val="24"/>
        </w:rPr>
        <w:t>: Deder General Hospital Overall IPC compliance rate, September 2017E.C</w:t>
      </w:r>
    </w:p>
    <w:tbl>
      <w:tblPr>
        <w:tblStyle w:val="TableGrid"/>
        <w:tblW w:w="11072" w:type="dxa"/>
        <w:tblInd w:w="-5" w:type="dxa"/>
        <w:tblLook w:val="04A0" w:firstRow="1" w:lastRow="0" w:firstColumn="1" w:lastColumn="0" w:noHBand="0" w:noVBand="1"/>
      </w:tblPr>
      <w:tblGrid>
        <w:gridCol w:w="5560"/>
        <w:gridCol w:w="2289"/>
        <w:gridCol w:w="1254"/>
        <w:gridCol w:w="1128"/>
        <w:gridCol w:w="841"/>
      </w:tblGrid>
      <w:tr w:rsidR="00B43213" w:rsidRPr="00211602" w14:paraId="46557825" w14:textId="77777777" w:rsidTr="00775419">
        <w:trPr>
          <w:trHeight w:val="278"/>
        </w:trPr>
        <w:tc>
          <w:tcPr>
            <w:tcW w:w="5560" w:type="dxa"/>
            <w:shd w:val="clear" w:color="auto" w:fill="FAE2D5" w:themeFill="accent2" w:themeFillTint="33"/>
            <w:hideMark/>
          </w:tcPr>
          <w:p w14:paraId="1A1DF0B6" w14:textId="77777777" w:rsidR="00B43213" w:rsidRPr="00211602" w:rsidRDefault="00B43213" w:rsidP="00775419">
            <w:pPr>
              <w:spacing w:line="360" w:lineRule="auto"/>
              <w:rPr>
                <w:rFonts w:ascii="Rockwell" w:hAnsi="Rockwell"/>
                <w:b/>
                <w:bCs/>
                <w:sz w:val="28"/>
                <w:szCs w:val="28"/>
              </w:rPr>
            </w:pPr>
            <w:r w:rsidRPr="00211602">
              <w:rPr>
                <w:rFonts w:ascii="Rockwell" w:hAnsi="Rockwell"/>
                <w:b/>
                <w:bCs/>
                <w:sz w:val="28"/>
                <w:szCs w:val="28"/>
              </w:rPr>
              <w:t>Component</w:t>
            </w:r>
          </w:p>
        </w:tc>
        <w:tc>
          <w:tcPr>
            <w:tcW w:w="0" w:type="auto"/>
            <w:shd w:val="clear" w:color="auto" w:fill="FAE2D5" w:themeFill="accent2" w:themeFillTint="33"/>
            <w:hideMark/>
          </w:tcPr>
          <w:p w14:paraId="09A84579" w14:textId="77777777" w:rsidR="00B43213" w:rsidRPr="00211602" w:rsidRDefault="00B43213" w:rsidP="00775419">
            <w:pPr>
              <w:spacing w:line="360" w:lineRule="auto"/>
              <w:rPr>
                <w:rFonts w:ascii="Rockwell" w:hAnsi="Rockwell"/>
                <w:b/>
                <w:bCs/>
                <w:sz w:val="28"/>
                <w:szCs w:val="28"/>
              </w:rPr>
            </w:pPr>
            <w:r w:rsidRPr="00211602">
              <w:rPr>
                <w:rFonts w:ascii="Rockwell" w:hAnsi="Rockwell"/>
                <w:b/>
                <w:bCs/>
                <w:sz w:val="28"/>
                <w:szCs w:val="28"/>
              </w:rPr>
              <w:t>Items</w:t>
            </w:r>
          </w:p>
        </w:tc>
        <w:tc>
          <w:tcPr>
            <w:tcW w:w="0" w:type="auto"/>
            <w:shd w:val="clear" w:color="auto" w:fill="FAE2D5" w:themeFill="accent2" w:themeFillTint="33"/>
            <w:hideMark/>
          </w:tcPr>
          <w:p w14:paraId="177DD949" w14:textId="77777777" w:rsidR="00B43213" w:rsidRPr="00211602" w:rsidRDefault="00B43213" w:rsidP="00775419">
            <w:pPr>
              <w:spacing w:line="360" w:lineRule="auto"/>
              <w:rPr>
                <w:rFonts w:ascii="Rockwell" w:hAnsi="Rockwell"/>
                <w:b/>
                <w:bCs/>
                <w:sz w:val="28"/>
                <w:szCs w:val="28"/>
              </w:rPr>
            </w:pPr>
            <w:r w:rsidRPr="00211602">
              <w:rPr>
                <w:rFonts w:ascii="Segoe UI Emoji" w:hAnsi="Segoe UI Emoji" w:cs="Segoe UI Emoji"/>
                <w:b/>
                <w:bCs/>
                <w:sz w:val="28"/>
                <w:szCs w:val="28"/>
              </w:rPr>
              <w:t>✅</w:t>
            </w:r>
            <w:r w:rsidRPr="00211602">
              <w:rPr>
                <w:rFonts w:ascii="Rockwell" w:hAnsi="Rockwell"/>
                <w:b/>
                <w:bCs/>
                <w:sz w:val="28"/>
                <w:szCs w:val="28"/>
              </w:rPr>
              <w:t xml:space="preserve"> Yes</w:t>
            </w:r>
          </w:p>
        </w:tc>
        <w:tc>
          <w:tcPr>
            <w:tcW w:w="0" w:type="auto"/>
            <w:shd w:val="clear" w:color="auto" w:fill="FAE2D5" w:themeFill="accent2" w:themeFillTint="33"/>
            <w:hideMark/>
          </w:tcPr>
          <w:p w14:paraId="520588B1" w14:textId="77777777" w:rsidR="00B43213" w:rsidRPr="00211602" w:rsidRDefault="00B43213" w:rsidP="00775419">
            <w:pPr>
              <w:spacing w:line="360" w:lineRule="auto"/>
              <w:rPr>
                <w:rFonts w:ascii="Rockwell" w:hAnsi="Rockwell"/>
                <w:b/>
                <w:bCs/>
                <w:sz w:val="28"/>
                <w:szCs w:val="28"/>
              </w:rPr>
            </w:pPr>
            <w:r w:rsidRPr="00211602">
              <w:rPr>
                <w:rFonts w:ascii="Segoe UI Emoji" w:hAnsi="Segoe UI Emoji" w:cs="Segoe UI Emoji"/>
                <w:b/>
                <w:bCs/>
                <w:sz w:val="28"/>
                <w:szCs w:val="28"/>
              </w:rPr>
              <w:t>❌</w:t>
            </w:r>
            <w:r w:rsidRPr="00211602">
              <w:rPr>
                <w:rFonts w:ascii="Rockwell" w:hAnsi="Rockwell"/>
                <w:b/>
                <w:bCs/>
                <w:sz w:val="28"/>
                <w:szCs w:val="28"/>
              </w:rPr>
              <w:t xml:space="preserve"> No</w:t>
            </w:r>
          </w:p>
        </w:tc>
        <w:tc>
          <w:tcPr>
            <w:tcW w:w="0" w:type="auto"/>
            <w:shd w:val="clear" w:color="auto" w:fill="FAE2D5" w:themeFill="accent2" w:themeFillTint="33"/>
            <w:hideMark/>
          </w:tcPr>
          <w:p w14:paraId="3959D537" w14:textId="6368B829" w:rsidR="00B43213" w:rsidRPr="00211602" w:rsidRDefault="00B43213" w:rsidP="00775419">
            <w:pPr>
              <w:spacing w:line="360" w:lineRule="auto"/>
              <w:rPr>
                <w:rFonts w:ascii="Rockwell" w:hAnsi="Rockwell"/>
                <w:b/>
                <w:bCs/>
                <w:sz w:val="28"/>
                <w:szCs w:val="28"/>
              </w:rPr>
            </w:pPr>
            <w:r w:rsidRPr="00211602">
              <w:rPr>
                <w:rFonts w:ascii="Rockwell" w:hAnsi="Rockwell"/>
                <w:b/>
                <w:bCs/>
                <w:sz w:val="28"/>
                <w:szCs w:val="28"/>
              </w:rPr>
              <w:t xml:space="preserve"> Yes</w:t>
            </w:r>
          </w:p>
        </w:tc>
      </w:tr>
      <w:tr w:rsidR="00B43213" w:rsidRPr="00211602" w14:paraId="45B5B35D" w14:textId="77777777" w:rsidTr="00775419">
        <w:trPr>
          <w:trHeight w:val="660"/>
        </w:trPr>
        <w:tc>
          <w:tcPr>
            <w:tcW w:w="5560" w:type="dxa"/>
            <w:hideMark/>
          </w:tcPr>
          <w:p w14:paraId="57EF0320"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1. IPC System/Capacity</w:t>
            </w:r>
          </w:p>
        </w:tc>
        <w:tc>
          <w:tcPr>
            <w:tcW w:w="0" w:type="auto"/>
            <w:hideMark/>
          </w:tcPr>
          <w:p w14:paraId="0757BABF"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12</w:t>
            </w:r>
          </w:p>
        </w:tc>
        <w:tc>
          <w:tcPr>
            <w:tcW w:w="0" w:type="auto"/>
            <w:hideMark/>
          </w:tcPr>
          <w:p w14:paraId="4BA3D5E0"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11</w:t>
            </w:r>
          </w:p>
        </w:tc>
        <w:tc>
          <w:tcPr>
            <w:tcW w:w="0" w:type="auto"/>
            <w:hideMark/>
          </w:tcPr>
          <w:p w14:paraId="6750DDD2"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1</w:t>
            </w:r>
          </w:p>
        </w:tc>
        <w:tc>
          <w:tcPr>
            <w:tcW w:w="0" w:type="auto"/>
            <w:hideMark/>
          </w:tcPr>
          <w:p w14:paraId="245AAD43" w14:textId="103F93CF" w:rsidR="00B43213" w:rsidRPr="00211602" w:rsidRDefault="00B43213" w:rsidP="00211602">
            <w:pPr>
              <w:spacing w:line="360" w:lineRule="auto"/>
              <w:rPr>
                <w:rFonts w:ascii="Rockwell" w:hAnsi="Rockwell"/>
                <w:sz w:val="28"/>
                <w:szCs w:val="28"/>
              </w:rPr>
            </w:pPr>
            <w:r w:rsidRPr="00211602">
              <w:rPr>
                <w:rFonts w:ascii="Rockwell" w:hAnsi="Rockwell"/>
                <w:sz w:val="28"/>
                <w:szCs w:val="28"/>
              </w:rPr>
              <w:t>91.7</w:t>
            </w:r>
          </w:p>
        </w:tc>
      </w:tr>
      <w:tr w:rsidR="00B43213" w:rsidRPr="00211602" w14:paraId="198F8D82" w14:textId="77777777" w:rsidTr="00775419">
        <w:trPr>
          <w:trHeight w:val="650"/>
        </w:trPr>
        <w:tc>
          <w:tcPr>
            <w:tcW w:w="5560" w:type="dxa"/>
            <w:hideMark/>
          </w:tcPr>
          <w:p w14:paraId="66AED053"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2. IPC Practice Observation</w:t>
            </w:r>
          </w:p>
        </w:tc>
        <w:tc>
          <w:tcPr>
            <w:tcW w:w="0" w:type="auto"/>
            <w:hideMark/>
          </w:tcPr>
          <w:p w14:paraId="5B7ADC50"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11</w:t>
            </w:r>
          </w:p>
        </w:tc>
        <w:tc>
          <w:tcPr>
            <w:tcW w:w="0" w:type="auto"/>
            <w:hideMark/>
          </w:tcPr>
          <w:p w14:paraId="1362D2F0"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7</w:t>
            </w:r>
          </w:p>
        </w:tc>
        <w:tc>
          <w:tcPr>
            <w:tcW w:w="0" w:type="auto"/>
            <w:hideMark/>
          </w:tcPr>
          <w:p w14:paraId="51430DEA"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4</w:t>
            </w:r>
          </w:p>
        </w:tc>
        <w:tc>
          <w:tcPr>
            <w:tcW w:w="0" w:type="auto"/>
            <w:hideMark/>
          </w:tcPr>
          <w:p w14:paraId="1479A3DA" w14:textId="72162A89" w:rsidR="00B43213" w:rsidRPr="00211602" w:rsidRDefault="00B43213" w:rsidP="00211602">
            <w:pPr>
              <w:spacing w:line="360" w:lineRule="auto"/>
              <w:rPr>
                <w:rFonts w:ascii="Rockwell" w:hAnsi="Rockwell"/>
                <w:sz w:val="28"/>
                <w:szCs w:val="28"/>
              </w:rPr>
            </w:pPr>
            <w:r w:rsidRPr="00211602">
              <w:rPr>
                <w:rFonts w:ascii="Rockwell" w:hAnsi="Rockwell"/>
                <w:sz w:val="28"/>
                <w:szCs w:val="28"/>
              </w:rPr>
              <w:t>63.6</w:t>
            </w:r>
          </w:p>
        </w:tc>
      </w:tr>
      <w:tr w:rsidR="00B43213" w:rsidRPr="00211602" w14:paraId="2D40FF19" w14:textId="77777777" w:rsidTr="00775419">
        <w:trPr>
          <w:trHeight w:val="287"/>
        </w:trPr>
        <w:tc>
          <w:tcPr>
            <w:tcW w:w="5560" w:type="dxa"/>
            <w:hideMark/>
          </w:tcPr>
          <w:p w14:paraId="33346741"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3. Hand Hygiene Audit</w:t>
            </w:r>
          </w:p>
        </w:tc>
        <w:tc>
          <w:tcPr>
            <w:tcW w:w="0" w:type="auto"/>
            <w:hideMark/>
          </w:tcPr>
          <w:p w14:paraId="7C69F6D6"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5</w:t>
            </w:r>
          </w:p>
        </w:tc>
        <w:tc>
          <w:tcPr>
            <w:tcW w:w="0" w:type="auto"/>
            <w:hideMark/>
          </w:tcPr>
          <w:p w14:paraId="082F61DD"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4</w:t>
            </w:r>
          </w:p>
        </w:tc>
        <w:tc>
          <w:tcPr>
            <w:tcW w:w="0" w:type="auto"/>
            <w:hideMark/>
          </w:tcPr>
          <w:p w14:paraId="1CCA00FA"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1</w:t>
            </w:r>
          </w:p>
        </w:tc>
        <w:tc>
          <w:tcPr>
            <w:tcW w:w="0" w:type="auto"/>
            <w:hideMark/>
          </w:tcPr>
          <w:p w14:paraId="0C943850" w14:textId="576ACEC4" w:rsidR="00B43213" w:rsidRPr="00211602" w:rsidRDefault="00B43213" w:rsidP="00211602">
            <w:pPr>
              <w:spacing w:line="360" w:lineRule="auto"/>
              <w:rPr>
                <w:rFonts w:ascii="Rockwell" w:hAnsi="Rockwell"/>
                <w:sz w:val="28"/>
                <w:szCs w:val="28"/>
              </w:rPr>
            </w:pPr>
            <w:r w:rsidRPr="00211602">
              <w:rPr>
                <w:rFonts w:ascii="Rockwell" w:hAnsi="Rockwell"/>
                <w:sz w:val="28"/>
                <w:szCs w:val="28"/>
              </w:rPr>
              <w:t>80</w:t>
            </w:r>
          </w:p>
        </w:tc>
      </w:tr>
      <w:tr w:rsidR="00B43213" w:rsidRPr="00211602" w14:paraId="41986A43" w14:textId="77777777" w:rsidTr="00775419">
        <w:trPr>
          <w:trHeight w:val="242"/>
        </w:trPr>
        <w:tc>
          <w:tcPr>
            <w:tcW w:w="5560" w:type="dxa"/>
            <w:hideMark/>
          </w:tcPr>
          <w:p w14:paraId="3187381A"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4. PPE Use Monitoring</w:t>
            </w:r>
          </w:p>
        </w:tc>
        <w:tc>
          <w:tcPr>
            <w:tcW w:w="0" w:type="auto"/>
            <w:hideMark/>
          </w:tcPr>
          <w:p w14:paraId="2B800501"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4</w:t>
            </w:r>
          </w:p>
        </w:tc>
        <w:tc>
          <w:tcPr>
            <w:tcW w:w="0" w:type="auto"/>
            <w:hideMark/>
          </w:tcPr>
          <w:p w14:paraId="694CBCBF"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1</w:t>
            </w:r>
          </w:p>
        </w:tc>
        <w:tc>
          <w:tcPr>
            <w:tcW w:w="0" w:type="auto"/>
            <w:hideMark/>
          </w:tcPr>
          <w:p w14:paraId="3FF1CCDE"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3</w:t>
            </w:r>
          </w:p>
        </w:tc>
        <w:tc>
          <w:tcPr>
            <w:tcW w:w="0" w:type="auto"/>
            <w:hideMark/>
          </w:tcPr>
          <w:p w14:paraId="3A4D468D" w14:textId="378B1EEE" w:rsidR="00B43213" w:rsidRPr="00211602" w:rsidRDefault="00B43213" w:rsidP="00211602">
            <w:pPr>
              <w:spacing w:line="360" w:lineRule="auto"/>
              <w:rPr>
                <w:rFonts w:ascii="Rockwell" w:hAnsi="Rockwell"/>
                <w:sz w:val="28"/>
                <w:szCs w:val="28"/>
              </w:rPr>
            </w:pPr>
            <w:r w:rsidRPr="00211602">
              <w:rPr>
                <w:rFonts w:ascii="Rockwell" w:hAnsi="Rockwell"/>
                <w:sz w:val="28"/>
                <w:szCs w:val="28"/>
              </w:rPr>
              <w:t>25</w:t>
            </w:r>
          </w:p>
        </w:tc>
      </w:tr>
      <w:tr w:rsidR="00B43213" w:rsidRPr="00211602" w14:paraId="6FAE4D47" w14:textId="77777777" w:rsidTr="00775419">
        <w:trPr>
          <w:trHeight w:val="179"/>
        </w:trPr>
        <w:tc>
          <w:tcPr>
            <w:tcW w:w="5560" w:type="dxa"/>
            <w:hideMark/>
          </w:tcPr>
          <w:p w14:paraId="0F315A6B"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5. Waste Segregation</w:t>
            </w:r>
          </w:p>
        </w:tc>
        <w:tc>
          <w:tcPr>
            <w:tcW w:w="0" w:type="auto"/>
            <w:hideMark/>
          </w:tcPr>
          <w:p w14:paraId="736678AF"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4</w:t>
            </w:r>
          </w:p>
        </w:tc>
        <w:tc>
          <w:tcPr>
            <w:tcW w:w="0" w:type="auto"/>
            <w:hideMark/>
          </w:tcPr>
          <w:p w14:paraId="3D30CC28"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3</w:t>
            </w:r>
          </w:p>
        </w:tc>
        <w:tc>
          <w:tcPr>
            <w:tcW w:w="0" w:type="auto"/>
            <w:hideMark/>
          </w:tcPr>
          <w:p w14:paraId="1414FAAB"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1</w:t>
            </w:r>
          </w:p>
        </w:tc>
        <w:tc>
          <w:tcPr>
            <w:tcW w:w="0" w:type="auto"/>
            <w:hideMark/>
          </w:tcPr>
          <w:p w14:paraId="03E12753" w14:textId="6F2E4F40" w:rsidR="00B43213" w:rsidRPr="00211602" w:rsidRDefault="00B43213" w:rsidP="00211602">
            <w:pPr>
              <w:spacing w:line="360" w:lineRule="auto"/>
              <w:rPr>
                <w:rFonts w:ascii="Rockwell" w:hAnsi="Rockwell"/>
                <w:sz w:val="28"/>
                <w:szCs w:val="28"/>
              </w:rPr>
            </w:pPr>
            <w:r w:rsidRPr="00211602">
              <w:rPr>
                <w:rFonts w:ascii="Rockwell" w:hAnsi="Rockwell"/>
                <w:sz w:val="28"/>
                <w:szCs w:val="28"/>
              </w:rPr>
              <w:t>75</w:t>
            </w:r>
          </w:p>
        </w:tc>
      </w:tr>
      <w:tr w:rsidR="00B43213" w:rsidRPr="00211602" w14:paraId="31EB0330" w14:textId="77777777" w:rsidTr="00775419">
        <w:trPr>
          <w:trHeight w:val="161"/>
        </w:trPr>
        <w:tc>
          <w:tcPr>
            <w:tcW w:w="5560" w:type="dxa"/>
            <w:hideMark/>
          </w:tcPr>
          <w:p w14:paraId="0CD78A7E"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6. Transmission-Based Precautions</w:t>
            </w:r>
          </w:p>
        </w:tc>
        <w:tc>
          <w:tcPr>
            <w:tcW w:w="0" w:type="auto"/>
            <w:hideMark/>
          </w:tcPr>
          <w:p w14:paraId="43E8B441"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4 rows x 4 = 16</w:t>
            </w:r>
          </w:p>
        </w:tc>
        <w:tc>
          <w:tcPr>
            <w:tcW w:w="0" w:type="auto"/>
            <w:hideMark/>
          </w:tcPr>
          <w:p w14:paraId="5157E918"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12</w:t>
            </w:r>
          </w:p>
        </w:tc>
        <w:tc>
          <w:tcPr>
            <w:tcW w:w="0" w:type="auto"/>
            <w:hideMark/>
          </w:tcPr>
          <w:p w14:paraId="34962280"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4</w:t>
            </w:r>
          </w:p>
        </w:tc>
        <w:tc>
          <w:tcPr>
            <w:tcW w:w="0" w:type="auto"/>
            <w:hideMark/>
          </w:tcPr>
          <w:p w14:paraId="7EB647BC" w14:textId="5EA32C54" w:rsidR="00B43213" w:rsidRPr="00211602" w:rsidRDefault="00B43213" w:rsidP="00211602">
            <w:pPr>
              <w:spacing w:line="360" w:lineRule="auto"/>
              <w:rPr>
                <w:rFonts w:ascii="Rockwell" w:hAnsi="Rockwell"/>
                <w:sz w:val="28"/>
                <w:szCs w:val="28"/>
              </w:rPr>
            </w:pPr>
            <w:r w:rsidRPr="00211602">
              <w:rPr>
                <w:rFonts w:ascii="Rockwell" w:hAnsi="Rockwell"/>
                <w:sz w:val="28"/>
                <w:szCs w:val="28"/>
              </w:rPr>
              <w:t>75</w:t>
            </w:r>
          </w:p>
        </w:tc>
      </w:tr>
      <w:tr w:rsidR="00B43213" w:rsidRPr="00211602" w14:paraId="53688EBF" w14:textId="77777777" w:rsidTr="00775419">
        <w:trPr>
          <w:trHeight w:val="260"/>
        </w:trPr>
        <w:tc>
          <w:tcPr>
            <w:tcW w:w="5560" w:type="dxa"/>
            <w:hideMark/>
          </w:tcPr>
          <w:p w14:paraId="1FE62713"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7. Environmental Cleaning</w:t>
            </w:r>
          </w:p>
        </w:tc>
        <w:tc>
          <w:tcPr>
            <w:tcW w:w="0" w:type="auto"/>
            <w:hideMark/>
          </w:tcPr>
          <w:p w14:paraId="5B75C730"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5</w:t>
            </w:r>
          </w:p>
        </w:tc>
        <w:tc>
          <w:tcPr>
            <w:tcW w:w="0" w:type="auto"/>
            <w:hideMark/>
          </w:tcPr>
          <w:p w14:paraId="50675A9F"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3</w:t>
            </w:r>
          </w:p>
        </w:tc>
        <w:tc>
          <w:tcPr>
            <w:tcW w:w="0" w:type="auto"/>
            <w:hideMark/>
          </w:tcPr>
          <w:p w14:paraId="280C6BF7" w14:textId="77777777" w:rsidR="00B43213" w:rsidRPr="00211602" w:rsidRDefault="00B43213" w:rsidP="00211602">
            <w:pPr>
              <w:spacing w:line="360" w:lineRule="auto"/>
              <w:rPr>
                <w:rFonts w:ascii="Rockwell" w:hAnsi="Rockwell"/>
                <w:sz w:val="28"/>
                <w:szCs w:val="28"/>
              </w:rPr>
            </w:pPr>
            <w:r w:rsidRPr="00211602">
              <w:rPr>
                <w:rFonts w:ascii="Rockwell" w:hAnsi="Rockwell"/>
                <w:sz w:val="28"/>
                <w:szCs w:val="28"/>
              </w:rPr>
              <w:t>2</w:t>
            </w:r>
          </w:p>
        </w:tc>
        <w:tc>
          <w:tcPr>
            <w:tcW w:w="0" w:type="auto"/>
            <w:hideMark/>
          </w:tcPr>
          <w:p w14:paraId="7F96B346" w14:textId="34E889E1" w:rsidR="00B43213" w:rsidRPr="00211602" w:rsidRDefault="00B43213" w:rsidP="00211602">
            <w:pPr>
              <w:spacing w:line="360" w:lineRule="auto"/>
              <w:rPr>
                <w:rFonts w:ascii="Rockwell" w:hAnsi="Rockwell"/>
                <w:sz w:val="28"/>
                <w:szCs w:val="28"/>
              </w:rPr>
            </w:pPr>
            <w:r w:rsidRPr="00211602">
              <w:rPr>
                <w:rFonts w:ascii="Rockwell" w:hAnsi="Rockwell"/>
                <w:sz w:val="28"/>
                <w:szCs w:val="28"/>
              </w:rPr>
              <w:t>60</w:t>
            </w:r>
          </w:p>
        </w:tc>
      </w:tr>
      <w:tr w:rsidR="00B43213" w:rsidRPr="00211602" w14:paraId="3C4C1723" w14:textId="77777777" w:rsidTr="00775419">
        <w:trPr>
          <w:trHeight w:val="296"/>
        </w:trPr>
        <w:tc>
          <w:tcPr>
            <w:tcW w:w="5560" w:type="dxa"/>
            <w:hideMark/>
          </w:tcPr>
          <w:p w14:paraId="6D391B36" w14:textId="77777777" w:rsidR="00B43213" w:rsidRPr="00211602" w:rsidRDefault="00B43213" w:rsidP="00211602">
            <w:pPr>
              <w:spacing w:line="360" w:lineRule="auto"/>
              <w:rPr>
                <w:rFonts w:ascii="Rockwell" w:hAnsi="Rockwell"/>
                <w:sz w:val="28"/>
                <w:szCs w:val="28"/>
              </w:rPr>
            </w:pPr>
            <w:r w:rsidRPr="00211602">
              <w:rPr>
                <w:rFonts w:ascii="Rockwell" w:hAnsi="Rockwell"/>
                <w:b/>
                <w:bCs/>
                <w:sz w:val="28"/>
                <w:szCs w:val="28"/>
              </w:rPr>
              <w:t>Total</w:t>
            </w:r>
          </w:p>
        </w:tc>
        <w:tc>
          <w:tcPr>
            <w:tcW w:w="0" w:type="auto"/>
            <w:hideMark/>
          </w:tcPr>
          <w:p w14:paraId="42D5E10D" w14:textId="77777777" w:rsidR="00B43213" w:rsidRPr="00211602" w:rsidRDefault="00B43213" w:rsidP="00211602">
            <w:pPr>
              <w:spacing w:line="360" w:lineRule="auto"/>
              <w:rPr>
                <w:rFonts w:ascii="Rockwell" w:hAnsi="Rockwell"/>
                <w:sz w:val="28"/>
                <w:szCs w:val="28"/>
              </w:rPr>
            </w:pPr>
            <w:r w:rsidRPr="00211602">
              <w:rPr>
                <w:rFonts w:ascii="Rockwell" w:hAnsi="Rockwell"/>
                <w:b/>
                <w:bCs/>
                <w:sz w:val="28"/>
                <w:szCs w:val="28"/>
              </w:rPr>
              <w:t>57</w:t>
            </w:r>
          </w:p>
        </w:tc>
        <w:tc>
          <w:tcPr>
            <w:tcW w:w="0" w:type="auto"/>
            <w:hideMark/>
          </w:tcPr>
          <w:p w14:paraId="22278212" w14:textId="77777777" w:rsidR="00B43213" w:rsidRPr="00211602" w:rsidRDefault="00B43213" w:rsidP="00211602">
            <w:pPr>
              <w:spacing w:line="360" w:lineRule="auto"/>
              <w:rPr>
                <w:rFonts w:ascii="Rockwell" w:hAnsi="Rockwell"/>
                <w:sz w:val="28"/>
                <w:szCs w:val="28"/>
              </w:rPr>
            </w:pPr>
            <w:r w:rsidRPr="00211602">
              <w:rPr>
                <w:rFonts w:ascii="Rockwell" w:hAnsi="Rockwell"/>
                <w:b/>
                <w:bCs/>
                <w:sz w:val="28"/>
                <w:szCs w:val="28"/>
              </w:rPr>
              <w:t>41</w:t>
            </w:r>
          </w:p>
        </w:tc>
        <w:tc>
          <w:tcPr>
            <w:tcW w:w="0" w:type="auto"/>
            <w:hideMark/>
          </w:tcPr>
          <w:p w14:paraId="60B5B7EA" w14:textId="77777777" w:rsidR="00B43213" w:rsidRPr="00211602" w:rsidRDefault="00B43213" w:rsidP="00211602">
            <w:pPr>
              <w:spacing w:line="360" w:lineRule="auto"/>
              <w:rPr>
                <w:rFonts w:ascii="Rockwell" w:hAnsi="Rockwell"/>
                <w:sz w:val="28"/>
                <w:szCs w:val="28"/>
              </w:rPr>
            </w:pPr>
            <w:r w:rsidRPr="00211602">
              <w:rPr>
                <w:rFonts w:ascii="Rockwell" w:hAnsi="Rockwell"/>
                <w:b/>
                <w:bCs/>
                <w:sz w:val="28"/>
                <w:szCs w:val="28"/>
              </w:rPr>
              <w:t>16</w:t>
            </w:r>
          </w:p>
        </w:tc>
        <w:tc>
          <w:tcPr>
            <w:tcW w:w="0" w:type="auto"/>
            <w:hideMark/>
          </w:tcPr>
          <w:p w14:paraId="365D81DF" w14:textId="57FE3DC6" w:rsidR="00B43213" w:rsidRPr="00211602" w:rsidRDefault="00B43213" w:rsidP="00211602">
            <w:pPr>
              <w:spacing w:line="360" w:lineRule="auto"/>
              <w:rPr>
                <w:rFonts w:ascii="Rockwell" w:hAnsi="Rockwell"/>
                <w:sz w:val="28"/>
                <w:szCs w:val="28"/>
              </w:rPr>
            </w:pPr>
            <w:r w:rsidRPr="00211602">
              <w:rPr>
                <w:rFonts w:ascii="Rockwell" w:hAnsi="Rockwell"/>
                <w:b/>
                <w:bCs/>
                <w:sz w:val="28"/>
                <w:szCs w:val="28"/>
              </w:rPr>
              <w:t>7</w:t>
            </w:r>
            <w:r w:rsidR="00775419">
              <w:rPr>
                <w:rFonts w:ascii="Rockwell" w:hAnsi="Rockwell"/>
                <w:b/>
                <w:bCs/>
                <w:sz w:val="28"/>
                <w:szCs w:val="28"/>
              </w:rPr>
              <w:t>2</w:t>
            </w:r>
          </w:p>
        </w:tc>
      </w:tr>
    </w:tbl>
    <w:p w14:paraId="40FBD8AA" w14:textId="77777777" w:rsidR="00B43213" w:rsidRDefault="00B43213" w:rsidP="00211602">
      <w:pPr>
        <w:pStyle w:val="NoSpacing"/>
      </w:pPr>
    </w:p>
    <w:p w14:paraId="13F8A20C" w14:textId="77777777" w:rsidR="00211602" w:rsidRDefault="00211602" w:rsidP="00211602">
      <w:pPr>
        <w:pStyle w:val="NoSpacing"/>
      </w:pPr>
    </w:p>
    <w:p w14:paraId="48BE8752" w14:textId="750A038A" w:rsidR="00B43213" w:rsidRPr="00211602" w:rsidRDefault="00B43213" w:rsidP="00211602">
      <w:pPr>
        <w:pStyle w:val="Heading1"/>
        <w:rPr>
          <w:rFonts w:ascii="Rockwell" w:hAnsi="Rockwell"/>
          <w:b/>
          <w:bCs/>
          <w:sz w:val="32"/>
          <w:szCs w:val="32"/>
        </w:rPr>
      </w:pPr>
      <w:bookmarkStart w:id="9" w:name="_Toc204466414"/>
      <w:r w:rsidRPr="00211602">
        <w:rPr>
          <w:rFonts w:ascii="Rockwell" w:hAnsi="Rockwell"/>
          <w:b/>
          <w:bCs/>
          <w:sz w:val="32"/>
          <w:szCs w:val="32"/>
        </w:rPr>
        <w:lastRenderedPageBreak/>
        <w:t>5. Discussion</w:t>
      </w:r>
      <w:bookmarkEnd w:id="9"/>
      <w:r w:rsidRPr="00211602">
        <w:rPr>
          <w:rFonts w:ascii="Rockwell" w:hAnsi="Rockwell"/>
          <w:b/>
          <w:bCs/>
          <w:sz w:val="32"/>
          <w:szCs w:val="32"/>
        </w:rPr>
        <w:t xml:space="preserve"> </w:t>
      </w:r>
    </w:p>
    <w:p w14:paraId="441FD894" w14:textId="626F09ED" w:rsidR="00775419" w:rsidRDefault="00775419" w:rsidP="00775419">
      <w:pPr>
        <w:pStyle w:val="NormalWeb"/>
        <w:spacing w:line="360" w:lineRule="auto"/>
        <w:jc w:val="both"/>
      </w:pPr>
      <w:r w:rsidRPr="00775419">
        <w:rPr>
          <w:rFonts w:ascii="Rockwell" w:hAnsi="Rockwell"/>
          <w:sz w:val="28"/>
          <w:szCs w:val="28"/>
        </w:rPr>
        <w:t>The IPC assessment findings at Deder General Hospital reflect a mixed performance, aligning with broader trends observed in similar healthcare settings in low- and middle-income countries. The hospital's strong score in the IPC System/Capacity component (9</w:t>
      </w:r>
      <w:r>
        <w:rPr>
          <w:rFonts w:ascii="Rockwell" w:hAnsi="Rockwell"/>
          <w:sz w:val="28"/>
          <w:szCs w:val="28"/>
        </w:rPr>
        <w:t>2</w:t>
      </w:r>
      <w:r w:rsidRPr="00775419">
        <w:rPr>
          <w:rFonts w:ascii="Rockwell" w:hAnsi="Rockwell"/>
          <w:sz w:val="28"/>
          <w:szCs w:val="28"/>
        </w:rPr>
        <w:t xml:space="preserve">%) is consistent with studies like </w:t>
      </w:r>
      <w:proofErr w:type="spellStart"/>
      <w:r w:rsidRPr="00775419">
        <w:rPr>
          <w:rFonts w:ascii="Rockwell" w:hAnsi="Rockwell"/>
          <w:b/>
          <w:bCs/>
          <w:i/>
          <w:iCs/>
          <w:color w:val="00B0F0"/>
        </w:rPr>
        <w:t>Allegranzi</w:t>
      </w:r>
      <w:proofErr w:type="spellEnd"/>
      <w:r w:rsidRPr="00775419">
        <w:rPr>
          <w:rFonts w:ascii="Rockwell" w:hAnsi="Rockwell"/>
          <w:b/>
          <w:bCs/>
          <w:i/>
          <w:iCs/>
          <w:color w:val="00B0F0"/>
        </w:rPr>
        <w:t xml:space="preserve"> et al. (2022</w:t>
      </w:r>
      <w:r w:rsidRPr="00775419">
        <w:rPr>
          <w:rFonts w:ascii="Rockwell" w:hAnsi="Rockwell"/>
          <w:i/>
          <w:iCs/>
          <w:sz w:val="28"/>
          <w:szCs w:val="28"/>
        </w:rPr>
        <w:t>),</w:t>
      </w:r>
      <w:r w:rsidRPr="00775419">
        <w:rPr>
          <w:rFonts w:ascii="Rockwell" w:hAnsi="Rockwell"/>
          <w:sz w:val="28"/>
          <w:szCs w:val="28"/>
        </w:rPr>
        <w:t xml:space="preserve"> which emphasize that governance structures and formal policies are often the first IPC elements to be developed, even in resource-constrained environments. However, translating these systems into routine practice remains a global challenge. For instance, </w:t>
      </w:r>
      <w:proofErr w:type="gramStart"/>
      <w:r w:rsidRPr="00775419">
        <w:rPr>
          <w:rFonts w:ascii="Rockwell" w:hAnsi="Rockwell"/>
          <w:sz w:val="28"/>
          <w:szCs w:val="28"/>
        </w:rPr>
        <w:t>WHO’s</w:t>
      </w:r>
      <w:proofErr w:type="gramEnd"/>
      <w:r w:rsidRPr="00775419">
        <w:rPr>
          <w:rFonts w:ascii="Rockwell" w:hAnsi="Rockwell"/>
          <w:sz w:val="28"/>
          <w:szCs w:val="28"/>
        </w:rPr>
        <w:t xml:space="preserve"> 2022 Global Report on Infection Prevention and Control found that while 60% of countries have IPC programs, fewer than 20% implement them effectively at the point of care—a pattern also evident at Deder General</w:t>
      </w:r>
      <w:r>
        <w:t>.</w:t>
      </w:r>
    </w:p>
    <w:p w14:paraId="14C47D6F" w14:textId="77777777" w:rsidR="00775419" w:rsidRDefault="00775419" w:rsidP="00775419">
      <w:pPr>
        <w:pStyle w:val="NormalWeb"/>
        <w:spacing w:before="0" w:beforeAutospacing="0" w:after="240" w:afterAutospacing="0" w:line="360" w:lineRule="auto"/>
        <w:jc w:val="both"/>
        <w:rPr>
          <w:rFonts w:ascii="Rockwell" w:hAnsi="Rockwell"/>
          <w:sz w:val="28"/>
          <w:szCs w:val="28"/>
        </w:rPr>
      </w:pPr>
      <w:r w:rsidRPr="00775419">
        <w:rPr>
          <w:rFonts w:ascii="Rockwell" w:hAnsi="Rockwell"/>
          <w:sz w:val="28"/>
          <w:szCs w:val="28"/>
        </w:rPr>
        <w:t xml:space="preserve">The low PPE compliance rate (25%) is particularly concerning and mirrors findings in the literature that associate PPE misuse with heightened healthcare-associated infection (HAI) risk. </w:t>
      </w:r>
      <w:r w:rsidRPr="00775419">
        <w:rPr>
          <w:rFonts w:ascii="Rockwell" w:hAnsi="Rockwell"/>
          <w:b/>
          <w:bCs/>
          <w:i/>
          <w:iCs/>
          <w:color w:val="00B0F0"/>
        </w:rPr>
        <w:t>Chughtai et al. (2020</w:t>
      </w:r>
      <w:r w:rsidRPr="00775419">
        <w:rPr>
          <w:rFonts w:ascii="Rockwell" w:hAnsi="Rockwell"/>
          <w:sz w:val="28"/>
          <w:szCs w:val="28"/>
        </w:rPr>
        <w:t xml:space="preserve">) observed that healthcare workers’ inconsistent PPE use was a significant contributor to nosocomial infections during COVID-19 surges. Similarly, a systematic review by </w:t>
      </w:r>
      <w:r w:rsidRPr="00775419">
        <w:rPr>
          <w:rFonts w:ascii="Rockwell" w:hAnsi="Rockwell"/>
          <w:b/>
          <w:bCs/>
          <w:i/>
          <w:iCs/>
          <w:color w:val="00B0F0"/>
        </w:rPr>
        <w:t xml:space="preserve">Verbeek et al. (2020) </w:t>
      </w:r>
      <w:r w:rsidRPr="00775419">
        <w:rPr>
          <w:rFonts w:ascii="Rockwell" w:hAnsi="Rockwell"/>
          <w:sz w:val="28"/>
          <w:szCs w:val="28"/>
        </w:rPr>
        <w:t>highlighted that the availability of PPE alone does not guarantee compliance unless supported by routine training, supervision, and behavior change interventions. Deder’s low adherence despite the presence of an IPC system underscores the importance of operational oversight and behavioral reinforcement, beyond mere policy availability.</w:t>
      </w:r>
    </w:p>
    <w:p w14:paraId="289686FC" w14:textId="77777777" w:rsidR="00775419" w:rsidRDefault="00775419" w:rsidP="00775419">
      <w:pPr>
        <w:pStyle w:val="NormalWeb"/>
        <w:spacing w:before="0" w:beforeAutospacing="0" w:after="240" w:afterAutospacing="0" w:line="360" w:lineRule="auto"/>
        <w:jc w:val="both"/>
        <w:rPr>
          <w:rFonts w:ascii="Rockwell" w:hAnsi="Rockwell"/>
          <w:sz w:val="28"/>
          <w:szCs w:val="28"/>
        </w:rPr>
      </w:pPr>
    </w:p>
    <w:p w14:paraId="5FA13DDE" w14:textId="77777777" w:rsidR="00775419" w:rsidRDefault="00775419" w:rsidP="00775419">
      <w:pPr>
        <w:pStyle w:val="NormalWeb"/>
        <w:spacing w:before="0" w:beforeAutospacing="0" w:after="240" w:afterAutospacing="0" w:line="360" w:lineRule="auto"/>
        <w:jc w:val="both"/>
        <w:rPr>
          <w:rFonts w:ascii="Rockwell" w:hAnsi="Rockwell"/>
          <w:sz w:val="28"/>
          <w:szCs w:val="28"/>
        </w:rPr>
      </w:pPr>
    </w:p>
    <w:p w14:paraId="76AB6FEE" w14:textId="77777777" w:rsidR="00775419" w:rsidRPr="00775419" w:rsidRDefault="00775419" w:rsidP="00775419">
      <w:pPr>
        <w:pStyle w:val="NormalWeb"/>
        <w:spacing w:before="0" w:beforeAutospacing="0" w:after="240" w:afterAutospacing="0" w:line="360" w:lineRule="auto"/>
        <w:jc w:val="both"/>
        <w:rPr>
          <w:rFonts w:ascii="Rockwell" w:hAnsi="Rockwell"/>
          <w:sz w:val="28"/>
          <w:szCs w:val="28"/>
        </w:rPr>
      </w:pPr>
    </w:p>
    <w:p w14:paraId="510CD2BB" w14:textId="77777777" w:rsidR="00775419" w:rsidRPr="00775419" w:rsidRDefault="00775419" w:rsidP="00775419">
      <w:pPr>
        <w:pStyle w:val="NormalWeb"/>
        <w:spacing w:before="0" w:beforeAutospacing="0" w:after="0" w:afterAutospacing="0" w:line="360" w:lineRule="auto"/>
        <w:jc w:val="both"/>
        <w:rPr>
          <w:rFonts w:ascii="Rockwell" w:hAnsi="Rockwell"/>
          <w:sz w:val="28"/>
          <w:szCs w:val="28"/>
        </w:rPr>
      </w:pPr>
      <w:r w:rsidRPr="00775419">
        <w:rPr>
          <w:rFonts w:ascii="Rockwell" w:hAnsi="Rockwell"/>
          <w:sz w:val="28"/>
          <w:szCs w:val="28"/>
        </w:rPr>
        <w:lastRenderedPageBreak/>
        <w:t xml:space="preserve">Hand hygiene, environmental cleaning, and waste management—three critical elements of IPC—also revealed partial adherence. Although hand hygiene compliance reached 80%, the absence of consistent infrastructure (soap, hand rubs) reflects the observation by </w:t>
      </w:r>
      <w:r w:rsidRPr="00775419">
        <w:rPr>
          <w:rFonts w:ascii="Rockwell" w:hAnsi="Rockwell"/>
          <w:b/>
          <w:bCs/>
          <w:color w:val="00B0F0"/>
        </w:rPr>
        <w:t>Pittet et al. (2022)</w:t>
      </w:r>
      <w:r w:rsidRPr="00775419">
        <w:rPr>
          <w:rFonts w:ascii="Rockwell" w:hAnsi="Rockwell"/>
          <w:color w:val="00B0F0"/>
        </w:rPr>
        <w:t xml:space="preserve"> </w:t>
      </w:r>
      <w:r w:rsidRPr="00775419">
        <w:rPr>
          <w:rFonts w:ascii="Rockwell" w:hAnsi="Rockwell"/>
          <w:sz w:val="28"/>
          <w:szCs w:val="28"/>
        </w:rPr>
        <w:t xml:space="preserve">that infrastructure availability directly influences hand hygiene behavior. Furthermore, environmental cleaning compliance (60%) and the presence of overfilled sharps containers parallel findings from Ethiopian studies like </w:t>
      </w:r>
      <w:proofErr w:type="spellStart"/>
      <w:r w:rsidRPr="00775419">
        <w:rPr>
          <w:rFonts w:ascii="Rockwell" w:hAnsi="Rockwell"/>
          <w:b/>
          <w:bCs/>
          <w:color w:val="00B0F0"/>
        </w:rPr>
        <w:t>Debere</w:t>
      </w:r>
      <w:proofErr w:type="spellEnd"/>
      <w:r w:rsidRPr="00775419">
        <w:rPr>
          <w:rFonts w:ascii="Rockwell" w:hAnsi="Rockwell"/>
          <w:b/>
          <w:bCs/>
          <w:color w:val="00B0F0"/>
        </w:rPr>
        <w:t xml:space="preserve"> et al. (2018),</w:t>
      </w:r>
      <w:r w:rsidRPr="00775419">
        <w:rPr>
          <w:rFonts w:ascii="Rockwell" w:hAnsi="Rockwell"/>
          <w:color w:val="00B0F0"/>
        </w:rPr>
        <w:t xml:space="preserve"> </w:t>
      </w:r>
      <w:r w:rsidRPr="00775419">
        <w:rPr>
          <w:rFonts w:ascii="Rockwell" w:hAnsi="Rockwell"/>
          <w:sz w:val="28"/>
          <w:szCs w:val="28"/>
        </w:rPr>
        <w:t>which reported frequent occupational exposure due to poor waste handling practices. This alignment with regional literature suggests that Deder General’s challenges are not isolated but represent systemic gaps in resource allocation, infrastructure, and monitoring that are common across similar settings.</w:t>
      </w:r>
    </w:p>
    <w:p w14:paraId="37D47486" w14:textId="0CFD9DB0" w:rsidR="00B43213" w:rsidRPr="00211602" w:rsidRDefault="00B43213" w:rsidP="00211602">
      <w:pPr>
        <w:pStyle w:val="Heading1"/>
        <w:spacing w:line="360" w:lineRule="auto"/>
        <w:rPr>
          <w:rFonts w:ascii="Rockwell" w:hAnsi="Rockwell"/>
          <w:b/>
          <w:bCs/>
          <w:sz w:val="32"/>
          <w:szCs w:val="32"/>
        </w:rPr>
      </w:pPr>
      <w:bookmarkStart w:id="10" w:name="_Toc204466415"/>
      <w:r w:rsidRPr="00211602">
        <w:rPr>
          <w:rFonts w:ascii="Rockwell" w:hAnsi="Rockwell"/>
          <w:b/>
          <w:bCs/>
          <w:sz w:val="32"/>
          <w:szCs w:val="32"/>
        </w:rPr>
        <w:t>6. Recommendations</w:t>
      </w:r>
      <w:bookmarkEnd w:id="10"/>
    </w:p>
    <w:p w14:paraId="6C871178" w14:textId="77777777" w:rsidR="00B43213" w:rsidRPr="00211602" w:rsidRDefault="00B43213" w:rsidP="00211602">
      <w:pPr>
        <w:pStyle w:val="ListParagraph"/>
        <w:numPr>
          <w:ilvl w:val="0"/>
          <w:numId w:val="17"/>
        </w:numPr>
        <w:spacing w:line="360" w:lineRule="auto"/>
        <w:ind w:left="360"/>
        <w:jc w:val="both"/>
        <w:rPr>
          <w:rFonts w:ascii="Rockwell" w:hAnsi="Rockwell"/>
          <w:sz w:val="24"/>
          <w:szCs w:val="24"/>
        </w:rPr>
      </w:pPr>
      <w:r w:rsidRPr="00211602">
        <w:rPr>
          <w:rFonts w:ascii="Rockwell" w:hAnsi="Rockwell"/>
          <w:b/>
          <w:bCs/>
          <w:sz w:val="24"/>
          <w:szCs w:val="24"/>
        </w:rPr>
        <w:t>Conduct focused refresher training</w:t>
      </w:r>
      <w:r w:rsidRPr="00211602">
        <w:rPr>
          <w:rFonts w:ascii="Rockwell" w:hAnsi="Rockwell"/>
          <w:sz w:val="24"/>
          <w:szCs w:val="24"/>
        </w:rPr>
        <w:t xml:space="preserve"> on PPE protocols for OPD, Pediatrics, and EOPD staff, emphasizing correct use of gowns and eye protection.</w:t>
      </w:r>
    </w:p>
    <w:p w14:paraId="14B60BCD" w14:textId="77777777" w:rsidR="00B43213" w:rsidRPr="00211602" w:rsidRDefault="00B43213" w:rsidP="00211602">
      <w:pPr>
        <w:pStyle w:val="ListParagraph"/>
        <w:numPr>
          <w:ilvl w:val="0"/>
          <w:numId w:val="17"/>
        </w:numPr>
        <w:spacing w:line="360" w:lineRule="auto"/>
        <w:ind w:left="360"/>
        <w:jc w:val="both"/>
        <w:rPr>
          <w:rFonts w:ascii="Rockwell" w:hAnsi="Rockwell"/>
          <w:sz w:val="24"/>
          <w:szCs w:val="24"/>
        </w:rPr>
      </w:pPr>
      <w:r w:rsidRPr="00211602">
        <w:rPr>
          <w:rFonts w:ascii="Rockwell" w:hAnsi="Rockwell"/>
          <w:b/>
          <w:bCs/>
          <w:sz w:val="24"/>
          <w:szCs w:val="24"/>
        </w:rPr>
        <w:t>Ensure full hand hygiene infrastructure</w:t>
      </w:r>
      <w:r w:rsidRPr="00211602">
        <w:rPr>
          <w:rFonts w:ascii="Rockwell" w:hAnsi="Rockwell"/>
          <w:sz w:val="24"/>
          <w:szCs w:val="24"/>
        </w:rPr>
        <w:t xml:space="preserve"> by equipping all patient care points with soap or alcohol-based hand rub dispensers.</w:t>
      </w:r>
    </w:p>
    <w:p w14:paraId="26EF7DD5" w14:textId="77777777" w:rsidR="00B43213" w:rsidRPr="00211602" w:rsidRDefault="00B43213" w:rsidP="00211602">
      <w:pPr>
        <w:pStyle w:val="ListParagraph"/>
        <w:numPr>
          <w:ilvl w:val="0"/>
          <w:numId w:val="17"/>
        </w:numPr>
        <w:spacing w:line="360" w:lineRule="auto"/>
        <w:ind w:left="360"/>
        <w:jc w:val="both"/>
        <w:rPr>
          <w:rFonts w:ascii="Rockwell" w:hAnsi="Rockwell"/>
          <w:sz w:val="24"/>
          <w:szCs w:val="24"/>
        </w:rPr>
      </w:pPr>
      <w:r w:rsidRPr="00211602">
        <w:rPr>
          <w:rFonts w:ascii="Rockwell" w:hAnsi="Rockwell"/>
          <w:b/>
          <w:bCs/>
          <w:sz w:val="24"/>
          <w:szCs w:val="24"/>
        </w:rPr>
        <w:t>Introduce a daily environmental cleaning checklist</w:t>
      </w:r>
      <w:r w:rsidRPr="00211602">
        <w:rPr>
          <w:rFonts w:ascii="Rockwell" w:hAnsi="Rockwell"/>
          <w:sz w:val="24"/>
          <w:szCs w:val="24"/>
        </w:rPr>
        <w:t xml:space="preserve"> with supervisory sign-off, especially for high-touch areas like MRU and OPD.</w:t>
      </w:r>
    </w:p>
    <w:p w14:paraId="4CBB1D5C" w14:textId="77777777" w:rsidR="00B43213" w:rsidRPr="00211602" w:rsidRDefault="00B43213" w:rsidP="00211602">
      <w:pPr>
        <w:pStyle w:val="ListParagraph"/>
        <w:numPr>
          <w:ilvl w:val="0"/>
          <w:numId w:val="17"/>
        </w:numPr>
        <w:spacing w:line="360" w:lineRule="auto"/>
        <w:ind w:left="360"/>
        <w:jc w:val="both"/>
        <w:rPr>
          <w:rFonts w:ascii="Rockwell" w:hAnsi="Rockwell"/>
          <w:sz w:val="24"/>
          <w:szCs w:val="24"/>
        </w:rPr>
      </w:pPr>
      <w:r w:rsidRPr="00211602">
        <w:rPr>
          <w:rFonts w:ascii="Rockwell" w:hAnsi="Rockwell"/>
          <w:b/>
          <w:bCs/>
          <w:sz w:val="24"/>
          <w:szCs w:val="24"/>
        </w:rPr>
        <w:t>Implement a mop disinfection and storage protocol</w:t>
      </w:r>
      <w:r w:rsidRPr="00211602">
        <w:rPr>
          <w:rFonts w:ascii="Rockwell" w:hAnsi="Rockwell"/>
          <w:sz w:val="24"/>
          <w:szCs w:val="24"/>
        </w:rPr>
        <w:t xml:space="preserve"> with designated clean storage areas in all units.</w:t>
      </w:r>
    </w:p>
    <w:p w14:paraId="4162291D" w14:textId="77777777" w:rsidR="00B43213" w:rsidRPr="00211602" w:rsidRDefault="00B43213" w:rsidP="00211602">
      <w:pPr>
        <w:pStyle w:val="ListParagraph"/>
        <w:numPr>
          <w:ilvl w:val="0"/>
          <w:numId w:val="17"/>
        </w:numPr>
        <w:spacing w:line="360" w:lineRule="auto"/>
        <w:ind w:left="360"/>
        <w:jc w:val="both"/>
        <w:rPr>
          <w:rFonts w:ascii="Rockwell" w:hAnsi="Rockwell"/>
          <w:sz w:val="24"/>
          <w:szCs w:val="24"/>
        </w:rPr>
      </w:pPr>
      <w:r w:rsidRPr="00211602">
        <w:rPr>
          <w:rFonts w:ascii="Rockwell" w:hAnsi="Rockwell"/>
          <w:b/>
          <w:bCs/>
          <w:sz w:val="24"/>
          <w:szCs w:val="24"/>
        </w:rPr>
        <w:t>Procure and distribute appropriate chemical waste bins</w:t>
      </w:r>
      <w:r w:rsidRPr="00211602">
        <w:rPr>
          <w:rFonts w:ascii="Rockwell" w:hAnsi="Rockwell"/>
          <w:sz w:val="24"/>
          <w:szCs w:val="24"/>
        </w:rPr>
        <w:t xml:space="preserve"> in all clinical service areas currently lacking them.</w:t>
      </w:r>
    </w:p>
    <w:p w14:paraId="64066512" w14:textId="77777777" w:rsidR="00B43213" w:rsidRPr="00211602" w:rsidRDefault="00B43213" w:rsidP="00211602">
      <w:pPr>
        <w:pStyle w:val="ListParagraph"/>
        <w:numPr>
          <w:ilvl w:val="0"/>
          <w:numId w:val="17"/>
        </w:numPr>
        <w:spacing w:line="360" w:lineRule="auto"/>
        <w:ind w:left="360"/>
        <w:jc w:val="both"/>
        <w:rPr>
          <w:rFonts w:ascii="Rockwell" w:hAnsi="Rockwell"/>
          <w:sz w:val="24"/>
          <w:szCs w:val="24"/>
        </w:rPr>
      </w:pPr>
      <w:r w:rsidRPr="00211602">
        <w:rPr>
          <w:rFonts w:ascii="Rockwell" w:hAnsi="Rockwell"/>
          <w:b/>
          <w:bCs/>
          <w:sz w:val="24"/>
          <w:szCs w:val="24"/>
        </w:rPr>
        <w:t>Designate low-cost isolation corners</w:t>
      </w:r>
      <w:r w:rsidRPr="00211602">
        <w:rPr>
          <w:rFonts w:ascii="Rockwell" w:hAnsi="Rockwell"/>
          <w:sz w:val="24"/>
          <w:szCs w:val="24"/>
        </w:rPr>
        <w:t xml:space="preserve"> within existing wards to improve compliance with transmission-based precautions where isolation rooms are unavailable.</w:t>
      </w:r>
    </w:p>
    <w:p w14:paraId="64604877" w14:textId="77777777" w:rsidR="00B43213" w:rsidRPr="00211602" w:rsidRDefault="00B43213" w:rsidP="00211602">
      <w:pPr>
        <w:pStyle w:val="ListParagraph"/>
        <w:numPr>
          <w:ilvl w:val="0"/>
          <w:numId w:val="17"/>
        </w:numPr>
        <w:spacing w:line="360" w:lineRule="auto"/>
        <w:ind w:left="360"/>
        <w:jc w:val="both"/>
        <w:rPr>
          <w:rFonts w:ascii="Rockwell" w:hAnsi="Rockwell"/>
          <w:sz w:val="24"/>
          <w:szCs w:val="24"/>
        </w:rPr>
      </w:pPr>
      <w:r w:rsidRPr="00211602">
        <w:rPr>
          <w:rFonts w:ascii="Rockwell" w:hAnsi="Rockwell"/>
          <w:b/>
          <w:bCs/>
          <w:sz w:val="24"/>
          <w:szCs w:val="24"/>
        </w:rPr>
        <w:t>Include patient transport control procedures</w:t>
      </w:r>
      <w:r w:rsidRPr="00211602">
        <w:rPr>
          <w:rFonts w:ascii="Rockwell" w:hAnsi="Rockwell"/>
          <w:sz w:val="24"/>
          <w:szCs w:val="24"/>
        </w:rPr>
        <w:t xml:space="preserve"> in IPC refresher training and assign focal points for enforcement.</w:t>
      </w:r>
    </w:p>
    <w:p w14:paraId="5CC8F0C5" w14:textId="77777777" w:rsidR="00B43213" w:rsidRPr="00211602" w:rsidRDefault="00B43213" w:rsidP="00211602">
      <w:pPr>
        <w:pStyle w:val="ListParagraph"/>
        <w:numPr>
          <w:ilvl w:val="0"/>
          <w:numId w:val="17"/>
        </w:numPr>
        <w:spacing w:line="360" w:lineRule="auto"/>
        <w:ind w:left="360"/>
        <w:jc w:val="both"/>
        <w:rPr>
          <w:rFonts w:ascii="Rockwell" w:hAnsi="Rockwell"/>
          <w:sz w:val="24"/>
          <w:szCs w:val="24"/>
        </w:rPr>
      </w:pPr>
      <w:r w:rsidRPr="00211602">
        <w:rPr>
          <w:rFonts w:ascii="Rockwell" w:hAnsi="Rockwell"/>
          <w:b/>
          <w:bCs/>
          <w:sz w:val="24"/>
          <w:szCs w:val="24"/>
        </w:rPr>
        <w:t>Activate monthly IPC audits</w:t>
      </w:r>
      <w:r w:rsidRPr="00211602">
        <w:rPr>
          <w:rFonts w:ascii="Rockwell" w:hAnsi="Rockwell"/>
          <w:sz w:val="24"/>
          <w:szCs w:val="24"/>
        </w:rPr>
        <w:t xml:space="preserve"> with department-specific feedback and immediate corrective action requirements.</w:t>
      </w:r>
    </w:p>
    <w:p w14:paraId="08EDC07E" w14:textId="66ACB98F" w:rsidR="00B43213" w:rsidRPr="00211602" w:rsidRDefault="00211602" w:rsidP="00211602">
      <w:pPr>
        <w:pStyle w:val="Heading1"/>
        <w:ind w:left="360"/>
        <w:rPr>
          <w:rFonts w:ascii="Rockwell" w:hAnsi="Rockwell"/>
          <w:b/>
          <w:bCs/>
          <w:sz w:val="32"/>
          <w:szCs w:val="32"/>
        </w:rPr>
      </w:pPr>
      <w:bookmarkStart w:id="11" w:name="_Toc204466416"/>
      <w:r>
        <w:rPr>
          <w:rFonts w:ascii="Rockwell" w:hAnsi="Rockwell"/>
          <w:b/>
          <w:bCs/>
          <w:sz w:val="32"/>
          <w:szCs w:val="32"/>
        </w:rPr>
        <w:lastRenderedPageBreak/>
        <w:t>7</w:t>
      </w:r>
      <w:r w:rsidR="00B43213" w:rsidRPr="00211602">
        <w:rPr>
          <w:rFonts w:ascii="Rockwell" w:hAnsi="Rockwell"/>
          <w:b/>
          <w:bCs/>
          <w:sz w:val="32"/>
          <w:szCs w:val="32"/>
        </w:rPr>
        <w:t>. Action Plan</w:t>
      </w:r>
      <w:bookmarkEnd w:id="11"/>
    </w:p>
    <w:tbl>
      <w:tblPr>
        <w:tblStyle w:val="TableGrid"/>
        <w:tblW w:w="5000" w:type="pct"/>
        <w:tblLayout w:type="fixed"/>
        <w:tblLook w:val="04A0" w:firstRow="1" w:lastRow="0" w:firstColumn="1" w:lastColumn="0" w:noHBand="0" w:noVBand="1"/>
      </w:tblPr>
      <w:tblGrid>
        <w:gridCol w:w="1976"/>
        <w:gridCol w:w="1619"/>
        <w:gridCol w:w="3060"/>
        <w:gridCol w:w="2814"/>
        <w:gridCol w:w="1681"/>
      </w:tblGrid>
      <w:tr w:rsidR="00B229EF" w:rsidRPr="00B229EF" w14:paraId="476CA982" w14:textId="77777777" w:rsidTr="00B229EF">
        <w:trPr>
          <w:trHeight w:val="314"/>
        </w:trPr>
        <w:tc>
          <w:tcPr>
            <w:tcW w:w="886" w:type="pct"/>
            <w:hideMark/>
          </w:tcPr>
          <w:p w14:paraId="23FE62AA" w14:textId="77777777" w:rsidR="00B43213" w:rsidRPr="00B229EF" w:rsidRDefault="00B43213" w:rsidP="00B43213">
            <w:pPr>
              <w:spacing w:after="160" w:line="259" w:lineRule="auto"/>
              <w:rPr>
                <w:rFonts w:ascii="Rockwell" w:hAnsi="Rockwell"/>
                <w:b/>
                <w:bCs/>
                <w:sz w:val="26"/>
                <w:szCs w:val="26"/>
              </w:rPr>
            </w:pPr>
            <w:r w:rsidRPr="00B229EF">
              <w:rPr>
                <w:rFonts w:ascii="Rockwell" w:hAnsi="Rockwell"/>
                <w:b/>
                <w:bCs/>
                <w:sz w:val="26"/>
                <w:szCs w:val="26"/>
              </w:rPr>
              <w:t>Gap Identified</w:t>
            </w:r>
          </w:p>
        </w:tc>
        <w:tc>
          <w:tcPr>
            <w:tcW w:w="726" w:type="pct"/>
            <w:hideMark/>
          </w:tcPr>
          <w:p w14:paraId="711BD2C5" w14:textId="77777777" w:rsidR="00B43213" w:rsidRPr="00B229EF" w:rsidRDefault="00B43213" w:rsidP="00B43213">
            <w:pPr>
              <w:spacing w:after="160" w:line="259" w:lineRule="auto"/>
              <w:rPr>
                <w:rFonts w:ascii="Rockwell" w:hAnsi="Rockwell"/>
                <w:b/>
                <w:bCs/>
                <w:sz w:val="26"/>
                <w:szCs w:val="26"/>
              </w:rPr>
            </w:pPr>
            <w:r w:rsidRPr="00B229EF">
              <w:rPr>
                <w:rFonts w:ascii="Rockwell" w:hAnsi="Rockwell"/>
                <w:b/>
                <w:bCs/>
                <w:sz w:val="26"/>
                <w:szCs w:val="26"/>
              </w:rPr>
              <w:t>Root Cause</w:t>
            </w:r>
          </w:p>
        </w:tc>
        <w:tc>
          <w:tcPr>
            <w:tcW w:w="1372" w:type="pct"/>
            <w:hideMark/>
          </w:tcPr>
          <w:p w14:paraId="5371C68D" w14:textId="77777777" w:rsidR="00B43213" w:rsidRPr="00B229EF" w:rsidRDefault="00B43213" w:rsidP="00B43213">
            <w:pPr>
              <w:spacing w:after="160" w:line="259" w:lineRule="auto"/>
              <w:rPr>
                <w:rFonts w:ascii="Rockwell" w:hAnsi="Rockwell"/>
                <w:b/>
                <w:bCs/>
                <w:sz w:val="26"/>
                <w:szCs w:val="26"/>
              </w:rPr>
            </w:pPr>
            <w:r w:rsidRPr="00B229EF">
              <w:rPr>
                <w:rFonts w:ascii="Rockwell" w:hAnsi="Rockwell"/>
                <w:b/>
                <w:bCs/>
                <w:sz w:val="26"/>
                <w:szCs w:val="26"/>
              </w:rPr>
              <w:t>Action to Be Taken</w:t>
            </w:r>
          </w:p>
        </w:tc>
        <w:tc>
          <w:tcPr>
            <w:tcW w:w="1262" w:type="pct"/>
            <w:hideMark/>
          </w:tcPr>
          <w:p w14:paraId="4EDAFA25" w14:textId="77777777" w:rsidR="00B43213" w:rsidRPr="00B229EF" w:rsidRDefault="00B43213" w:rsidP="00B43213">
            <w:pPr>
              <w:spacing w:after="160" w:line="259" w:lineRule="auto"/>
              <w:rPr>
                <w:rFonts w:ascii="Rockwell" w:hAnsi="Rockwell"/>
                <w:b/>
                <w:bCs/>
                <w:sz w:val="26"/>
                <w:szCs w:val="26"/>
              </w:rPr>
            </w:pPr>
            <w:r w:rsidRPr="00B229EF">
              <w:rPr>
                <w:rFonts w:ascii="Rockwell" w:hAnsi="Rockwell"/>
                <w:b/>
                <w:bCs/>
                <w:sz w:val="26"/>
                <w:szCs w:val="26"/>
              </w:rPr>
              <w:t>Responsible Body</w:t>
            </w:r>
          </w:p>
        </w:tc>
        <w:tc>
          <w:tcPr>
            <w:tcW w:w="754" w:type="pct"/>
            <w:hideMark/>
          </w:tcPr>
          <w:p w14:paraId="41BB3F00" w14:textId="77777777" w:rsidR="00B43213" w:rsidRPr="00B229EF" w:rsidRDefault="00B43213" w:rsidP="00B43213">
            <w:pPr>
              <w:spacing w:after="160" w:line="259" w:lineRule="auto"/>
              <w:rPr>
                <w:rFonts w:ascii="Rockwell" w:hAnsi="Rockwell"/>
                <w:b/>
                <w:bCs/>
                <w:sz w:val="26"/>
                <w:szCs w:val="26"/>
              </w:rPr>
            </w:pPr>
            <w:r w:rsidRPr="00B229EF">
              <w:rPr>
                <w:rFonts w:ascii="Rockwell" w:hAnsi="Rockwell"/>
                <w:b/>
                <w:bCs/>
                <w:sz w:val="26"/>
                <w:szCs w:val="26"/>
              </w:rPr>
              <w:t>Timeline</w:t>
            </w:r>
          </w:p>
        </w:tc>
      </w:tr>
      <w:tr w:rsidR="00B229EF" w:rsidRPr="00B229EF" w14:paraId="63A98164" w14:textId="77777777" w:rsidTr="00B229EF">
        <w:trPr>
          <w:trHeight w:val="1475"/>
        </w:trPr>
        <w:tc>
          <w:tcPr>
            <w:tcW w:w="886" w:type="pct"/>
            <w:hideMark/>
          </w:tcPr>
          <w:p w14:paraId="2EAFB725"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Incomplete PPE usage in OPD, Pediatrics, EOPD</w:t>
            </w:r>
          </w:p>
        </w:tc>
        <w:tc>
          <w:tcPr>
            <w:tcW w:w="726" w:type="pct"/>
            <w:hideMark/>
          </w:tcPr>
          <w:p w14:paraId="2611D4E5"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Limited awareness &amp; monitoring</w:t>
            </w:r>
          </w:p>
        </w:tc>
        <w:tc>
          <w:tcPr>
            <w:tcW w:w="1372" w:type="pct"/>
            <w:hideMark/>
          </w:tcPr>
          <w:p w14:paraId="15210F7D"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Conduct refresher IPC training and display PPE reminders</w:t>
            </w:r>
          </w:p>
        </w:tc>
        <w:tc>
          <w:tcPr>
            <w:tcW w:w="1262" w:type="pct"/>
            <w:hideMark/>
          </w:tcPr>
          <w:p w14:paraId="305BEE07"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IPC Committee, Unit Heads</w:t>
            </w:r>
          </w:p>
        </w:tc>
        <w:tc>
          <w:tcPr>
            <w:tcW w:w="754" w:type="pct"/>
            <w:hideMark/>
          </w:tcPr>
          <w:p w14:paraId="51C73E2F"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Week 1–2</w:t>
            </w:r>
          </w:p>
        </w:tc>
      </w:tr>
      <w:tr w:rsidR="00B229EF" w:rsidRPr="00B229EF" w14:paraId="516C17A3" w14:textId="77777777" w:rsidTr="00B229EF">
        <w:trPr>
          <w:trHeight w:val="939"/>
        </w:trPr>
        <w:tc>
          <w:tcPr>
            <w:tcW w:w="886" w:type="pct"/>
            <w:hideMark/>
          </w:tcPr>
          <w:p w14:paraId="78D5BDE1"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Absence of hand rubs/soap at care points</w:t>
            </w:r>
          </w:p>
        </w:tc>
        <w:tc>
          <w:tcPr>
            <w:tcW w:w="726" w:type="pct"/>
            <w:hideMark/>
          </w:tcPr>
          <w:p w14:paraId="3AE257CD"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Poor supply chain monitoring</w:t>
            </w:r>
          </w:p>
        </w:tc>
        <w:tc>
          <w:tcPr>
            <w:tcW w:w="1372" w:type="pct"/>
            <w:hideMark/>
          </w:tcPr>
          <w:p w14:paraId="184F1F14"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Audit all stations and restock materials</w:t>
            </w:r>
          </w:p>
        </w:tc>
        <w:tc>
          <w:tcPr>
            <w:tcW w:w="1262" w:type="pct"/>
            <w:hideMark/>
          </w:tcPr>
          <w:p w14:paraId="2E68004F"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Pharmacy Unit, Facility Manager</w:t>
            </w:r>
          </w:p>
        </w:tc>
        <w:tc>
          <w:tcPr>
            <w:tcW w:w="754" w:type="pct"/>
            <w:hideMark/>
          </w:tcPr>
          <w:p w14:paraId="66E09975"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Week 1</w:t>
            </w:r>
          </w:p>
        </w:tc>
      </w:tr>
      <w:tr w:rsidR="00B229EF" w:rsidRPr="00B229EF" w14:paraId="30FD3269" w14:textId="77777777" w:rsidTr="00B229EF">
        <w:trPr>
          <w:trHeight w:val="939"/>
        </w:trPr>
        <w:tc>
          <w:tcPr>
            <w:tcW w:w="886" w:type="pct"/>
            <w:hideMark/>
          </w:tcPr>
          <w:p w14:paraId="3AD3A4E7"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Overfilled sharps containers</w:t>
            </w:r>
          </w:p>
        </w:tc>
        <w:tc>
          <w:tcPr>
            <w:tcW w:w="726" w:type="pct"/>
            <w:hideMark/>
          </w:tcPr>
          <w:p w14:paraId="6469FFD7"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Delayed waste handling</w:t>
            </w:r>
          </w:p>
        </w:tc>
        <w:tc>
          <w:tcPr>
            <w:tcW w:w="1372" w:type="pct"/>
            <w:hideMark/>
          </w:tcPr>
          <w:p w14:paraId="5188D7B6"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Assign daily disposal tasks to staff</w:t>
            </w:r>
          </w:p>
        </w:tc>
        <w:tc>
          <w:tcPr>
            <w:tcW w:w="1262" w:type="pct"/>
            <w:hideMark/>
          </w:tcPr>
          <w:p w14:paraId="09C83D95"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Environmental Health Team</w:t>
            </w:r>
          </w:p>
        </w:tc>
        <w:tc>
          <w:tcPr>
            <w:tcW w:w="754" w:type="pct"/>
            <w:hideMark/>
          </w:tcPr>
          <w:p w14:paraId="61EF3626"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Immediate, daily</w:t>
            </w:r>
          </w:p>
        </w:tc>
      </w:tr>
      <w:tr w:rsidR="00B229EF" w:rsidRPr="00B229EF" w14:paraId="0C2F9BD7" w14:textId="77777777" w:rsidTr="00B229EF">
        <w:trPr>
          <w:trHeight w:val="1484"/>
        </w:trPr>
        <w:tc>
          <w:tcPr>
            <w:tcW w:w="886" w:type="pct"/>
            <w:hideMark/>
          </w:tcPr>
          <w:p w14:paraId="7C83C17B"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No chemical waste bins in some areas</w:t>
            </w:r>
          </w:p>
        </w:tc>
        <w:tc>
          <w:tcPr>
            <w:tcW w:w="726" w:type="pct"/>
            <w:hideMark/>
          </w:tcPr>
          <w:p w14:paraId="65A275A1"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Incomplete equipment procurement</w:t>
            </w:r>
          </w:p>
        </w:tc>
        <w:tc>
          <w:tcPr>
            <w:tcW w:w="1372" w:type="pct"/>
            <w:hideMark/>
          </w:tcPr>
          <w:p w14:paraId="24879BB3"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Procure and distribute standardized chemical waste bins</w:t>
            </w:r>
          </w:p>
        </w:tc>
        <w:tc>
          <w:tcPr>
            <w:tcW w:w="1262" w:type="pct"/>
            <w:hideMark/>
          </w:tcPr>
          <w:p w14:paraId="016CDF53"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Procurement Office</w:t>
            </w:r>
          </w:p>
        </w:tc>
        <w:tc>
          <w:tcPr>
            <w:tcW w:w="754" w:type="pct"/>
            <w:hideMark/>
          </w:tcPr>
          <w:p w14:paraId="48C01698"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Within 2 weeks</w:t>
            </w:r>
          </w:p>
        </w:tc>
      </w:tr>
      <w:tr w:rsidR="00B229EF" w:rsidRPr="00B229EF" w14:paraId="4094EF0D" w14:textId="77777777" w:rsidTr="00B229EF">
        <w:trPr>
          <w:trHeight w:val="1203"/>
        </w:trPr>
        <w:tc>
          <w:tcPr>
            <w:tcW w:w="886" w:type="pct"/>
            <w:hideMark/>
          </w:tcPr>
          <w:p w14:paraId="197A4526"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Dirty high-touch surfaces (MRU, OPD)</w:t>
            </w:r>
          </w:p>
        </w:tc>
        <w:tc>
          <w:tcPr>
            <w:tcW w:w="726" w:type="pct"/>
            <w:hideMark/>
          </w:tcPr>
          <w:p w14:paraId="02BB8592"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Lack of cleaning supervision</w:t>
            </w:r>
          </w:p>
        </w:tc>
        <w:tc>
          <w:tcPr>
            <w:tcW w:w="1372" w:type="pct"/>
            <w:hideMark/>
          </w:tcPr>
          <w:p w14:paraId="6EFFDF71"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Implement daily checklist &amp; assign cleaning schedule</w:t>
            </w:r>
          </w:p>
        </w:tc>
        <w:tc>
          <w:tcPr>
            <w:tcW w:w="1262" w:type="pct"/>
            <w:hideMark/>
          </w:tcPr>
          <w:p w14:paraId="692BF51A"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Housekeeping, IPC Supervisor</w:t>
            </w:r>
          </w:p>
        </w:tc>
        <w:tc>
          <w:tcPr>
            <w:tcW w:w="754" w:type="pct"/>
            <w:hideMark/>
          </w:tcPr>
          <w:p w14:paraId="5666CB5F"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Week 1</w:t>
            </w:r>
          </w:p>
        </w:tc>
      </w:tr>
      <w:tr w:rsidR="00B229EF" w:rsidRPr="00B229EF" w14:paraId="60447303" w14:textId="77777777" w:rsidTr="00B229EF">
        <w:trPr>
          <w:trHeight w:val="1212"/>
        </w:trPr>
        <w:tc>
          <w:tcPr>
            <w:tcW w:w="886" w:type="pct"/>
            <w:hideMark/>
          </w:tcPr>
          <w:p w14:paraId="2CA3A303"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Mops stored uncleaned at EOPD</w:t>
            </w:r>
          </w:p>
        </w:tc>
        <w:tc>
          <w:tcPr>
            <w:tcW w:w="726" w:type="pct"/>
            <w:hideMark/>
          </w:tcPr>
          <w:p w14:paraId="1CB1630A"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Lack of storage SOP</w:t>
            </w:r>
          </w:p>
        </w:tc>
        <w:tc>
          <w:tcPr>
            <w:tcW w:w="1372" w:type="pct"/>
            <w:hideMark/>
          </w:tcPr>
          <w:p w14:paraId="5C312BE8"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Establish separate mop disinfection and storage area</w:t>
            </w:r>
          </w:p>
        </w:tc>
        <w:tc>
          <w:tcPr>
            <w:tcW w:w="1262" w:type="pct"/>
            <w:hideMark/>
          </w:tcPr>
          <w:p w14:paraId="656E42BD"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Cleaning Supervisor</w:t>
            </w:r>
          </w:p>
        </w:tc>
        <w:tc>
          <w:tcPr>
            <w:tcW w:w="754" w:type="pct"/>
            <w:hideMark/>
          </w:tcPr>
          <w:p w14:paraId="5203363C"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Within 1 week</w:t>
            </w:r>
          </w:p>
        </w:tc>
      </w:tr>
      <w:tr w:rsidR="00B229EF" w:rsidRPr="00B229EF" w14:paraId="5FEFAFC2" w14:textId="77777777" w:rsidTr="00B229EF">
        <w:trPr>
          <w:trHeight w:val="1212"/>
        </w:trPr>
        <w:tc>
          <w:tcPr>
            <w:tcW w:w="886" w:type="pct"/>
            <w:hideMark/>
          </w:tcPr>
          <w:p w14:paraId="3CFD246A"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Isolation rooms not available</w:t>
            </w:r>
          </w:p>
        </w:tc>
        <w:tc>
          <w:tcPr>
            <w:tcW w:w="726" w:type="pct"/>
            <w:hideMark/>
          </w:tcPr>
          <w:p w14:paraId="566AC6AE"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Infrastructure limitation</w:t>
            </w:r>
          </w:p>
        </w:tc>
        <w:tc>
          <w:tcPr>
            <w:tcW w:w="1372" w:type="pct"/>
            <w:hideMark/>
          </w:tcPr>
          <w:p w14:paraId="5954E8B0"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Propose low-cost modifications for isolation corners</w:t>
            </w:r>
          </w:p>
        </w:tc>
        <w:tc>
          <w:tcPr>
            <w:tcW w:w="1262" w:type="pct"/>
            <w:hideMark/>
          </w:tcPr>
          <w:p w14:paraId="296F7BDC"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Hospital Director</w:t>
            </w:r>
          </w:p>
        </w:tc>
        <w:tc>
          <w:tcPr>
            <w:tcW w:w="754" w:type="pct"/>
            <w:hideMark/>
          </w:tcPr>
          <w:p w14:paraId="34EF6B2F"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Planning: Month 1</w:t>
            </w:r>
          </w:p>
        </w:tc>
      </w:tr>
      <w:tr w:rsidR="00B229EF" w:rsidRPr="00B229EF" w14:paraId="452F6C03" w14:textId="77777777" w:rsidTr="00B229EF">
        <w:trPr>
          <w:trHeight w:val="1203"/>
        </w:trPr>
        <w:tc>
          <w:tcPr>
            <w:tcW w:w="886" w:type="pct"/>
            <w:hideMark/>
          </w:tcPr>
          <w:p w14:paraId="09367C79"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Patient transport not limited during precautions</w:t>
            </w:r>
          </w:p>
        </w:tc>
        <w:tc>
          <w:tcPr>
            <w:tcW w:w="726" w:type="pct"/>
            <w:hideMark/>
          </w:tcPr>
          <w:p w14:paraId="0A51DD04"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Staff unaware of protocols</w:t>
            </w:r>
          </w:p>
        </w:tc>
        <w:tc>
          <w:tcPr>
            <w:tcW w:w="1372" w:type="pct"/>
            <w:hideMark/>
          </w:tcPr>
          <w:p w14:paraId="019898A1"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Include transport protocols in staff training</w:t>
            </w:r>
          </w:p>
        </w:tc>
        <w:tc>
          <w:tcPr>
            <w:tcW w:w="1262" w:type="pct"/>
            <w:hideMark/>
          </w:tcPr>
          <w:p w14:paraId="5624187A"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IPC Committee</w:t>
            </w:r>
          </w:p>
        </w:tc>
        <w:tc>
          <w:tcPr>
            <w:tcW w:w="754" w:type="pct"/>
            <w:hideMark/>
          </w:tcPr>
          <w:p w14:paraId="41CBDECE" w14:textId="77777777" w:rsidR="00B43213" w:rsidRPr="00B229EF" w:rsidRDefault="00B43213" w:rsidP="00B43213">
            <w:pPr>
              <w:spacing w:after="160" w:line="259" w:lineRule="auto"/>
              <w:rPr>
                <w:rFonts w:ascii="Rockwell" w:hAnsi="Rockwell"/>
                <w:sz w:val="26"/>
                <w:szCs w:val="26"/>
              </w:rPr>
            </w:pPr>
            <w:r w:rsidRPr="00B229EF">
              <w:rPr>
                <w:rFonts w:ascii="Rockwell" w:hAnsi="Rockwell"/>
                <w:sz w:val="26"/>
                <w:szCs w:val="26"/>
              </w:rPr>
              <w:t>Week 2</w:t>
            </w:r>
          </w:p>
        </w:tc>
      </w:tr>
    </w:tbl>
    <w:p w14:paraId="2D018D06" w14:textId="77777777" w:rsidR="00B43213" w:rsidRDefault="00B43213" w:rsidP="00B43213">
      <w:pPr>
        <w:rPr>
          <w:rFonts w:ascii="Rockwell" w:hAnsi="Rockwell"/>
          <w:sz w:val="24"/>
          <w:szCs w:val="24"/>
        </w:rPr>
      </w:pPr>
    </w:p>
    <w:p w14:paraId="06FC7C61" w14:textId="28DD3B7C" w:rsidR="00B43213" w:rsidRPr="00211602" w:rsidRDefault="00B229EF" w:rsidP="00211602">
      <w:pPr>
        <w:pStyle w:val="Heading1"/>
        <w:spacing w:line="360" w:lineRule="auto"/>
        <w:rPr>
          <w:rFonts w:ascii="Rockwell" w:hAnsi="Rockwell"/>
          <w:b/>
          <w:bCs/>
          <w:sz w:val="32"/>
          <w:szCs w:val="32"/>
        </w:rPr>
      </w:pPr>
      <w:bookmarkStart w:id="12" w:name="_Toc204466417"/>
      <w:r>
        <w:rPr>
          <w:rFonts w:ascii="Rockwell" w:hAnsi="Rockwell"/>
          <w:b/>
          <w:bCs/>
          <w:sz w:val="32"/>
          <w:szCs w:val="32"/>
        </w:rPr>
        <w:lastRenderedPageBreak/>
        <w:t>8</w:t>
      </w:r>
      <w:r w:rsidR="00B43213" w:rsidRPr="00211602">
        <w:rPr>
          <w:rFonts w:ascii="Rockwell" w:hAnsi="Rockwell"/>
          <w:b/>
          <w:bCs/>
          <w:sz w:val="32"/>
          <w:szCs w:val="32"/>
        </w:rPr>
        <w:t>. References</w:t>
      </w:r>
      <w:bookmarkEnd w:id="12"/>
    </w:p>
    <w:p w14:paraId="1F3C48F1"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World Health Organization (WHO). (2021). </w:t>
      </w:r>
      <w:r w:rsidRPr="00B229EF">
        <w:rPr>
          <w:rFonts w:ascii="Rockwell" w:hAnsi="Rockwell"/>
          <w:i/>
          <w:iCs/>
          <w:sz w:val="24"/>
          <w:szCs w:val="24"/>
        </w:rPr>
        <w:t>Infection prevention and control during health care when coronavirus disease (COVID-19) is suspected or confirmed</w:t>
      </w:r>
      <w:r w:rsidRPr="00B229EF">
        <w:rPr>
          <w:rFonts w:ascii="Rockwell" w:hAnsi="Rockwell"/>
          <w:sz w:val="24"/>
          <w:szCs w:val="24"/>
        </w:rPr>
        <w:t xml:space="preserve">. Interim guidance. </w:t>
      </w:r>
      <w:hyperlink r:id="rId12" w:tgtFrame="_new" w:history="1">
        <w:r w:rsidRPr="00B229EF">
          <w:rPr>
            <w:rStyle w:val="Hyperlink"/>
            <w:rFonts w:ascii="Rockwell" w:hAnsi="Rockwell"/>
            <w:sz w:val="24"/>
            <w:szCs w:val="24"/>
          </w:rPr>
          <w:t>https://www.who.int/publications/i/item/WHO-2019-nCoV-IPC-2021.1</w:t>
        </w:r>
      </w:hyperlink>
    </w:p>
    <w:p w14:paraId="66C705C3"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World Health Organization (WHO). (2022). </w:t>
      </w:r>
      <w:r w:rsidRPr="00B229EF">
        <w:rPr>
          <w:rFonts w:ascii="Rockwell" w:hAnsi="Rockwell"/>
          <w:i/>
          <w:iCs/>
          <w:sz w:val="24"/>
          <w:szCs w:val="24"/>
        </w:rPr>
        <w:t>Global Report on Infection Prevention and Control</w:t>
      </w:r>
      <w:r w:rsidRPr="00B229EF">
        <w:rPr>
          <w:rFonts w:ascii="Rockwell" w:hAnsi="Rockwell"/>
          <w:sz w:val="24"/>
          <w:szCs w:val="24"/>
        </w:rPr>
        <w:t xml:space="preserve">. Geneva: WHO. </w:t>
      </w:r>
      <w:hyperlink r:id="rId13" w:tgtFrame="_new" w:history="1">
        <w:r w:rsidRPr="00B229EF">
          <w:rPr>
            <w:rStyle w:val="Hyperlink"/>
            <w:rFonts w:ascii="Rockwell" w:hAnsi="Rockwell"/>
            <w:sz w:val="24"/>
            <w:szCs w:val="24"/>
          </w:rPr>
          <w:t>https://www.who.int/publications/i/item/9789240051164</w:t>
        </w:r>
      </w:hyperlink>
    </w:p>
    <w:p w14:paraId="7C34FD3A"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Pittet, D., et al. (2022). </w:t>
      </w:r>
      <w:r w:rsidRPr="00B229EF">
        <w:rPr>
          <w:rFonts w:ascii="Rockwell" w:hAnsi="Rockwell"/>
          <w:i/>
          <w:iCs/>
          <w:sz w:val="24"/>
          <w:szCs w:val="24"/>
        </w:rPr>
        <w:t>Hand hygiene and infection control: Past, present, and future</w:t>
      </w:r>
      <w:r w:rsidRPr="00B229EF">
        <w:rPr>
          <w:rFonts w:ascii="Rockwell" w:hAnsi="Rockwell"/>
          <w:sz w:val="24"/>
          <w:szCs w:val="24"/>
        </w:rPr>
        <w:t xml:space="preserve">. </w:t>
      </w:r>
      <w:r w:rsidRPr="00B229EF">
        <w:rPr>
          <w:rFonts w:ascii="Rockwell" w:hAnsi="Rockwell"/>
          <w:i/>
          <w:iCs/>
          <w:sz w:val="24"/>
          <w:szCs w:val="24"/>
        </w:rPr>
        <w:t>Lancet Infectious Diseases</w:t>
      </w:r>
      <w:r w:rsidRPr="00B229EF">
        <w:rPr>
          <w:rFonts w:ascii="Rockwell" w:hAnsi="Rockwell"/>
          <w:sz w:val="24"/>
          <w:szCs w:val="24"/>
        </w:rPr>
        <w:t>, 22(5), e138–e148. doi:10.1016/S1473-3099(21)00780-6</w:t>
      </w:r>
    </w:p>
    <w:p w14:paraId="17E38FC9"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lang w:val="fi-FI"/>
        </w:rPr>
        <w:t xml:space="preserve">Chughtai, A. A., et al. </w:t>
      </w:r>
      <w:r w:rsidRPr="00B229EF">
        <w:rPr>
          <w:rFonts w:ascii="Rockwell" w:hAnsi="Rockwell"/>
          <w:sz w:val="24"/>
          <w:szCs w:val="24"/>
        </w:rPr>
        <w:t xml:space="preserve">(2020). </w:t>
      </w:r>
      <w:r w:rsidRPr="00B229EF">
        <w:rPr>
          <w:rFonts w:ascii="Rockwell" w:hAnsi="Rockwell"/>
          <w:i/>
          <w:iCs/>
          <w:sz w:val="24"/>
          <w:szCs w:val="24"/>
        </w:rPr>
        <w:t>Contamination by respiratory viruses on outer surface of medical masks used by hospital healthcare workers</w:t>
      </w:r>
      <w:r w:rsidRPr="00B229EF">
        <w:rPr>
          <w:rFonts w:ascii="Rockwell" w:hAnsi="Rockwell"/>
          <w:sz w:val="24"/>
          <w:szCs w:val="24"/>
        </w:rPr>
        <w:t xml:space="preserve">. </w:t>
      </w:r>
      <w:r w:rsidRPr="00B229EF">
        <w:rPr>
          <w:rFonts w:ascii="Rockwell" w:hAnsi="Rockwell"/>
          <w:i/>
          <w:iCs/>
          <w:sz w:val="24"/>
          <w:szCs w:val="24"/>
        </w:rPr>
        <w:t>BMC Infectious Diseases</w:t>
      </w:r>
      <w:r w:rsidRPr="00B229EF">
        <w:rPr>
          <w:rFonts w:ascii="Rockwell" w:hAnsi="Rockwell"/>
          <w:sz w:val="24"/>
          <w:szCs w:val="24"/>
        </w:rPr>
        <w:t>, 20(1), 202. doi:10.1186/s12879-020-4894-4</w:t>
      </w:r>
    </w:p>
    <w:p w14:paraId="100FD349"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lang w:val="fi-FI"/>
        </w:rPr>
        <w:t xml:space="preserve">Otter, J. A., et al. </w:t>
      </w:r>
      <w:r w:rsidRPr="00B229EF">
        <w:rPr>
          <w:rFonts w:ascii="Rockwell" w:hAnsi="Rockwell"/>
          <w:sz w:val="24"/>
          <w:szCs w:val="24"/>
        </w:rPr>
        <w:t xml:space="preserve">(2020). </w:t>
      </w:r>
      <w:r w:rsidRPr="00B229EF">
        <w:rPr>
          <w:rFonts w:ascii="Rockwell" w:hAnsi="Rockwell"/>
          <w:i/>
          <w:iCs/>
          <w:sz w:val="24"/>
          <w:szCs w:val="24"/>
        </w:rPr>
        <w:t>Transmission of SARS and MERS coronaviruses and influenza virus in healthcare settings: the possible role of dry surface contamination</w:t>
      </w:r>
      <w:r w:rsidRPr="00B229EF">
        <w:rPr>
          <w:rFonts w:ascii="Rockwell" w:hAnsi="Rockwell"/>
          <w:sz w:val="24"/>
          <w:szCs w:val="24"/>
        </w:rPr>
        <w:t xml:space="preserve">. </w:t>
      </w:r>
      <w:r w:rsidRPr="00B229EF">
        <w:rPr>
          <w:rFonts w:ascii="Rockwell" w:hAnsi="Rockwell"/>
          <w:i/>
          <w:iCs/>
          <w:sz w:val="24"/>
          <w:szCs w:val="24"/>
        </w:rPr>
        <w:t>Clinical Infectious Diseases</w:t>
      </w:r>
      <w:r w:rsidRPr="00B229EF">
        <w:rPr>
          <w:rFonts w:ascii="Rockwell" w:hAnsi="Rockwell"/>
          <w:sz w:val="24"/>
          <w:szCs w:val="24"/>
        </w:rPr>
        <w:t>, 71(4), 857–864. doi:10.1093/</w:t>
      </w:r>
      <w:proofErr w:type="spellStart"/>
      <w:r w:rsidRPr="00B229EF">
        <w:rPr>
          <w:rFonts w:ascii="Rockwell" w:hAnsi="Rockwell"/>
          <w:sz w:val="24"/>
          <w:szCs w:val="24"/>
        </w:rPr>
        <w:t>cid</w:t>
      </w:r>
      <w:proofErr w:type="spellEnd"/>
      <w:r w:rsidRPr="00B229EF">
        <w:rPr>
          <w:rFonts w:ascii="Rockwell" w:hAnsi="Rockwell"/>
          <w:sz w:val="24"/>
          <w:szCs w:val="24"/>
        </w:rPr>
        <w:t>/ciz686</w:t>
      </w:r>
    </w:p>
    <w:p w14:paraId="4A295303"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Centers for Disease Control and Prevention (CDC). (2020). </w:t>
      </w:r>
      <w:r w:rsidRPr="00B229EF">
        <w:rPr>
          <w:rFonts w:ascii="Rockwell" w:hAnsi="Rockwell"/>
          <w:i/>
          <w:iCs/>
          <w:sz w:val="24"/>
          <w:szCs w:val="24"/>
        </w:rPr>
        <w:t>Guidelines for Environmental Infection Control in Health-Care Facilities</w:t>
      </w:r>
      <w:r w:rsidRPr="00B229EF">
        <w:rPr>
          <w:rFonts w:ascii="Rockwell" w:hAnsi="Rockwell"/>
          <w:sz w:val="24"/>
          <w:szCs w:val="24"/>
        </w:rPr>
        <w:t xml:space="preserve">. </w:t>
      </w:r>
      <w:hyperlink r:id="rId14" w:tgtFrame="_new" w:history="1">
        <w:r w:rsidRPr="00B229EF">
          <w:rPr>
            <w:rStyle w:val="Hyperlink"/>
            <w:rFonts w:ascii="Rockwell" w:hAnsi="Rockwell"/>
            <w:sz w:val="24"/>
            <w:szCs w:val="24"/>
          </w:rPr>
          <w:t>https://www.cdc.gov/infectioncontrol/guidelines/environmental/index.html</w:t>
        </w:r>
      </w:hyperlink>
    </w:p>
    <w:p w14:paraId="2E627C79"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proofErr w:type="spellStart"/>
      <w:r w:rsidRPr="00B229EF">
        <w:rPr>
          <w:rFonts w:ascii="Rockwell" w:hAnsi="Rockwell"/>
          <w:sz w:val="24"/>
          <w:szCs w:val="24"/>
        </w:rPr>
        <w:t>Debere</w:t>
      </w:r>
      <w:proofErr w:type="spellEnd"/>
      <w:r w:rsidRPr="00B229EF">
        <w:rPr>
          <w:rFonts w:ascii="Rockwell" w:hAnsi="Rockwell"/>
          <w:sz w:val="24"/>
          <w:szCs w:val="24"/>
        </w:rPr>
        <w:t xml:space="preserve">, M. K., et al. (2018). </w:t>
      </w:r>
      <w:r w:rsidRPr="00B229EF">
        <w:rPr>
          <w:rFonts w:ascii="Rockwell" w:hAnsi="Rockwell"/>
          <w:i/>
          <w:iCs/>
          <w:sz w:val="24"/>
          <w:szCs w:val="24"/>
        </w:rPr>
        <w:t>Assessment of health care waste management practices and associated factors among health workers in Addis Ababa public health facilities, Ethiopia</w:t>
      </w:r>
      <w:r w:rsidRPr="00B229EF">
        <w:rPr>
          <w:rFonts w:ascii="Rockwell" w:hAnsi="Rockwell"/>
          <w:sz w:val="24"/>
          <w:szCs w:val="24"/>
        </w:rPr>
        <w:t xml:space="preserve">. </w:t>
      </w:r>
      <w:r w:rsidRPr="00B229EF">
        <w:rPr>
          <w:rFonts w:ascii="Rockwell" w:hAnsi="Rockwell"/>
          <w:i/>
          <w:iCs/>
          <w:sz w:val="24"/>
          <w:szCs w:val="24"/>
        </w:rPr>
        <w:t>Waste Management &amp; Research</w:t>
      </w:r>
      <w:r w:rsidRPr="00B229EF">
        <w:rPr>
          <w:rFonts w:ascii="Rockwell" w:hAnsi="Rockwell"/>
          <w:sz w:val="24"/>
          <w:szCs w:val="24"/>
        </w:rPr>
        <w:t>, 36(11), 1051–1061. doi:10.1177/0734242X18793984</w:t>
      </w:r>
    </w:p>
    <w:p w14:paraId="134DF465" w14:textId="77777777" w:rsidR="00B43213" w:rsidRPr="00B229EF" w:rsidRDefault="00B43213" w:rsidP="00B229EF">
      <w:pPr>
        <w:pStyle w:val="ListParagraph"/>
        <w:numPr>
          <w:ilvl w:val="0"/>
          <w:numId w:val="18"/>
        </w:numPr>
        <w:spacing w:line="360" w:lineRule="auto"/>
        <w:jc w:val="both"/>
        <w:rPr>
          <w:rFonts w:ascii="Rockwell" w:hAnsi="Rockwell"/>
          <w:b/>
          <w:bCs/>
          <w:sz w:val="24"/>
          <w:szCs w:val="24"/>
        </w:rPr>
      </w:pPr>
      <w:r w:rsidRPr="00B229EF">
        <w:rPr>
          <w:rFonts w:ascii="Rockwell" w:hAnsi="Rockwell"/>
          <w:sz w:val="24"/>
          <w:szCs w:val="24"/>
        </w:rPr>
        <w:t xml:space="preserve">Weber, D. J., et al. (2019). </w:t>
      </w:r>
      <w:r w:rsidRPr="00B229EF">
        <w:rPr>
          <w:rFonts w:ascii="Rockwell" w:hAnsi="Rockwell"/>
          <w:i/>
          <w:iCs/>
          <w:sz w:val="24"/>
          <w:szCs w:val="24"/>
        </w:rPr>
        <w:t>The role of the environment in transmission of Clostridium difficile infection in healthcare facilities</w:t>
      </w:r>
      <w:r w:rsidRPr="00B229EF">
        <w:rPr>
          <w:rFonts w:ascii="Rockwell" w:hAnsi="Rockwell"/>
          <w:sz w:val="24"/>
          <w:szCs w:val="24"/>
        </w:rPr>
        <w:t xml:space="preserve">. </w:t>
      </w:r>
      <w:r w:rsidRPr="00B229EF">
        <w:rPr>
          <w:rFonts w:ascii="Rockwell" w:hAnsi="Rockwell"/>
          <w:i/>
          <w:iCs/>
          <w:sz w:val="24"/>
          <w:szCs w:val="24"/>
        </w:rPr>
        <w:t>American Journal of Infection Control</w:t>
      </w:r>
      <w:r w:rsidRPr="00B229EF">
        <w:rPr>
          <w:rFonts w:ascii="Rockwell" w:hAnsi="Rockwell"/>
          <w:sz w:val="24"/>
          <w:szCs w:val="24"/>
        </w:rPr>
        <w:t xml:space="preserve">, </w:t>
      </w:r>
      <w:r w:rsidRPr="00B229EF">
        <w:rPr>
          <w:rFonts w:ascii="Rockwell" w:hAnsi="Rockwell"/>
          <w:b/>
          <w:bCs/>
          <w:sz w:val="24"/>
          <w:szCs w:val="24"/>
        </w:rPr>
        <w:t xml:space="preserve">47(6), 756–759. </w:t>
      </w:r>
      <w:proofErr w:type="gramStart"/>
      <w:r w:rsidRPr="00B229EF">
        <w:rPr>
          <w:rFonts w:ascii="Rockwell" w:hAnsi="Rockwell"/>
          <w:b/>
          <w:bCs/>
          <w:sz w:val="24"/>
          <w:szCs w:val="24"/>
        </w:rPr>
        <w:t>doi:10.1016/j.ajic</w:t>
      </w:r>
      <w:proofErr w:type="gramEnd"/>
      <w:r w:rsidRPr="00B229EF">
        <w:rPr>
          <w:rFonts w:ascii="Rockwell" w:hAnsi="Rockwell"/>
          <w:b/>
          <w:bCs/>
          <w:sz w:val="24"/>
          <w:szCs w:val="24"/>
        </w:rPr>
        <w:t>.2019.01.015</w:t>
      </w:r>
    </w:p>
    <w:p w14:paraId="7F085889" w14:textId="77777777" w:rsidR="00B43213" w:rsidRDefault="00B43213" w:rsidP="00B43213">
      <w:pPr>
        <w:rPr>
          <w:rFonts w:ascii="Rockwell" w:hAnsi="Rockwell"/>
          <w:b/>
          <w:bCs/>
          <w:sz w:val="24"/>
          <w:szCs w:val="24"/>
        </w:rPr>
      </w:pPr>
    </w:p>
    <w:p w14:paraId="009B91DD" w14:textId="77777777" w:rsidR="00B43213" w:rsidRDefault="00B43213" w:rsidP="00B43213">
      <w:pPr>
        <w:rPr>
          <w:rFonts w:ascii="Rockwell" w:hAnsi="Rockwell"/>
          <w:b/>
          <w:bCs/>
          <w:sz w:val="24"/>
          <w:szCs w:val="24"/>
        </w:rPr>
      </w:pPr>
    </w:p>
    <w:p w14:paraId="4AEFD18C" w14:textId="77777777" w:rsidR="00B43213" w:rsidRDefault="00B43213" w:rsidP="00B43213">
      <w:pPr>
        <w:rPr>
          <w:rFonts w:ascii="Rockwell" w:hAnsi="Rockwell"/>
          <w:b/>
          <w:bCs/>
          <w:sz w:val="24"/>
          <w:szCs w:val="24"/>
        </w:rPr>
      </w:pPr>
    </w:p>
    <w:p w14:paraId="0C3F0106" w14:textId="77777777" w:rsidR="00B229EF" w:rsidRDefault="00B229EF" w:rsidP="00B43213">
      <w:pPr>
        <w:rPr>
          <w:rFonts w:ascii="Rockwell" w:hAnsi="Rockwell"/>
          <w:b/>
          <w:bCs/>
          <w:sz w:val="24"/>
          <w:szCs w:val="24"/>
        </w:rPr>
      </w:pPr>
    </w:p>
    <w:p w14:paraId="3B54A646" w14:textId="77777777" w:rsidR="00B14378" w:rsidRPr="00B43213" w:rsidRDefault="00B14378">
      <w:pPr>
        <w:rPr>
          <w:rFonts w:ascii="Rockwell" w:hAnsi="Rockwell"/>
          <w:sz w:val="24"/>
          <w:szCs w:val="24"/>
        </w:rPr>
      </w:pPr>
    </w:p>
    <w:p w14:paraId="23C600D7" w14:textId="77777777" w:rsidR="00B43213" w:rsidRPr="00B43213" w:rsidRDefault="00B43213">
      <w:pPr>
        <w:rPr>
          <w:rFonts w:ascii="Rockwell" w:hAnsi="Rockwell"/>
          <w:sz w:val="24"/>
          <w:szCs w:val="24"/>
        </w:rPr>
      </w:pPr>
    </w:p>
    <w:sectPr w:rsidR="00B43213" w:rsidRPr="00B43213" w:rsidSect="00092D3F">
      <w:footerReference w:type="default" r:id="rId15"/>
      <w:pgSz w:w="12240" w:h="15840"/>
      <w:pgMar w:top="1440" w:right="630" w:bottom="1440" w:left="4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40A1" w14:textId="77777777" w:rsidR="007F0E38" w:rsidRDefault="007F0E38" w:rsidP="00211602">
      <w:pPr>
        <w:spacing w:after="0" w:line="240" w:lineRule="auto"/>
      </w:pPr>
      <w:r>
        <w:separator/>
      </w:r>
    </w:p>
  </w:endnote>
  <w:endnote w:type="continuationSeparator" w:id="0">
    <w:p w14:paraId="66120E79" w14:textId="77777777" w:rsidR="007F0E38" w:rsidRDefault="007F0E38" w:rsidP="00211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51EBD65E" w14:textId="285FEECF" w:rsidR="000E15B6" w:rsidRDefault="00000000">
        <w:pPr>
          <w:pStyle w:val="Footer"/>
        </w:pPr>
        <w:r>
          <w:rPr>
            <w:noProof/>
          </w:rPr>
          <w:drawing>
            <wp:anchor distT="0" distB="0" distL="114300" distR="114300" simplePos="0" relativeHeight="251659264" behindDoc="0" locked="0" layoutInCell="1" allowOverlap="1" wp14:anchorId="104D6A2B" wp14:editId="04EE9DA9">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847765"/>
      <w:docPartObj>
        <w:docPartGallery w:val="Page Numbers (Bottom of Page)"/>
        <w:docPartUnique/>
      </w:docPartObj>
    </w:sdtPr>
    <w:sdtContent>
      <w:p w14:paraId="1A7DAF9C" w14:textId="0232B36C" w:rsidR="00211602" w:rsidRDefault="00B229EF">
        <w:pPr>
          <w:pStyle w:val="Footer"/>
        </w:pPr>
        <w:r>
          <w:rPr>
            <w:noProof/>
          </w:rPr>
          <mc:AlternateContent>
            <mc:Choice Requires="wps">
              <w:drawing>
                <wp:anchor distT="0" distB="0" distL="114300" distR="114300" simplePos="0" relativeHeight="251665408" behindDoc="0" locked="0" layoutInCell="1" allowOverlap="1" wp14:anchorId="2160713A" wp14:editId="408C4187">
                  <wp:simplePos x="0" y="0"/>
                  <wp:positionH relativeFrom="page">
                    <wp:align>left</wp:align>
                  </wp:positionH>
                  <wp:positionV relativeFrom="page">
                    <wp:posOffset>8394700</wp:posOffset>
                  </wp:positionV>
                  <wp:extent cx="1276350" cy="1616710"/>
                  <wp:effectExtent l="0" t="19050" r="38100" b="21590"/>
                  <wp:wrapNone/>
                  <wp:docPr id="1005241760"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763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27B40B1" w14:textId="77777777" w:rsidR="00211602" w:rsidRDefault="00211602">
                              <w:pPr>
                                <w:jc w:val="center"/>
                                <w:rPr>
                                  <w:rFonts w:ascii="Rockwell" w:hAnsi="Rockwell"/>
                                  <w:b/>
                                  <w:bCs/>
                                  <w:sz w:val="18"/>
                                  <w:szCs w:val="18"/>
                                </w:rPr>
                              </w:pPr>
                            </w:p>
                            <w:p w14:paraId="4D6D7B80" w14:textId="77777777" w:rsidR="00211602" w:rsidRPr="0078721D" w:rsidRDefault="0021160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0713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100.5pt;height:127.3pt;flip:x;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" adj="21600" fillcolor="#4ea72e [3209]" strokecolor="#0b1807 [489]" strokeweight="1.5pt">
                  <v:textbox>
                    <w:txbxContent>
                      <w:p w14:paraId="027B40B1" w14:textId="77777777" w:rsidR="00211602" w:rsidRDefault="00211602">
                        <w:pPr>
                          <w:jc w:val="center"/>
                          <w:rPr>
                            <w:rFonts w:ascii="Rockwell" w:hAnsi="Rockwell"/>
                            <w:b/>
                            <w:bCs/>
                            <w:sz w:val="18"/>
                            <w:szCs w:val="18"/>
                          </w:rPr>
                        </w:pPr>
                      </w:p>
                      <w:p w14:paraId="4D6D7B80" w14:textId="77777777" w:rsidR="00211602" w:rsidRPr="0078721D" w:rsidRDefault="0021160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sidR="00211602">
          <w:rPr>
            <w:noProof/>
          </w:rPr>
          <w:drawing>
            <wp:anchor distT="0" distB="0" distL="114300" distR="114300" simplePos="0" relativeHeight="251663360" behindDoc="0" locked="0" layoutInCell="1" allowOverlap="1" wp14:anchorId="62C6C185" wp14:editId="0B0268F3">
              <wp:simplePos x="0" y="0"/>
              <wp:positionH relativeFrom="column">
                <wp:posOffset>-2551790</wp:posOffset>
              </wp:positionH>
              <wp:positionV relativeFrom="paragraph">
                <wp:posOffset>85030</wp:posOffset>
              </wp:positionV>
              <wp:extent cx="934483" cy="227457"/>
              <wp:effectExtent l="0" t="0" r="0" b="1270"/>
              <wp:wrapNone/>
              <wp:docPr id="1839925596"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sidR="00211602">
          <w:rPr>
            <w:noProof/>
          </w:rPr>
          <mc:AlternateContent>
            <mc:Choice Requires="wps">
              <w:drawing>
                <wp:anchor distT="0" distB="0" distL="114300" distR="114300" simplePos="0" relativeHeight="251664384" behindDoc="0" locked="0" layoutInCell="1" allowOverlap="1" wp14:anchorId="56AE107A" wp14:editId="6EBB0424">
                  <wp:simplePos x="0" y="0"/>
                  <wp:positionH relativeFrom="page">
                    <wp:align>right</wp:align>
                  </wp:positionH>
                  <wp:positionV relativeFrom="paragraph">
                    <wp:posOffset>-19685</wp:posOffset>
                  </wp:positionV>
                  <wp:extent cx="10011962" cy="50800"/>
                  <wp:effectExtent l="19050" t="19050" r="27940" b="25400"/>
                  <wp:wrapNone/>
                  <wp:docPr id="478727050"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23FF2" id="Straight Connector 2" o:spid="_x0000_s1026" style="position:absolute;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002330"/>
      <w:docPartObj>
        <w:docPartGallery w:val="Page Numbers (Bottom of Page)"/>
        <w:docPartUnique/>
      </w:docPartObj>
    </w:sdtPr>
    <w:sdtContent>
      <w:p w14:paraId="1926DB47" w14:textId="77777777" w:rsidR="00092D3F" w:rsidRDefault="00092D3F">
        <w:pPr>
          <w:pStyle w:val="Footer"/>
        </w:pPr>
        <w:r>
          <w:rPr>
            <w:noProof/>
          </w:rPr>
          <mc:AlternateContent>
            <mc:Choice Requires="wps">
              <w:drawing>
                <wp:anchor distT="0" distB="0" distL="114300" distR="114300" simplePos="0" relativeHeight="251669504" behindDoc="0" locked="0" layoutInCell="1" allowOverlap="1" wp14:anchorId="02B70298" wp14:editId="41EB45DA">
                  <wp:simplePos x="0" y="0"/>
                  <wp:positionH relativeFrom="page">
                    <wp:align>left</wp:align>
                  </wp:positionH>
                  <wp:positionV relativeFrom="page">
                    <wp:posOffset>8394700</wp:posOffset>
                  </wp:positionV>
                  <wp:extent cx="1276350" cy="1616710"/>
                  <wp:effectExtent l="0" t="19050" r="38100" b="21590"/>
                  <wp:wrapNone/>
                  <wp:docPr id="349985743"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763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39CE9D62" w14:textId="77777777" w:rsidR="00092D3F" w:rsidRDefault="00092D3F">
                              <w:pPr>
                                <w:jc w:val="center"/>
                                <w:rPr>
                                  <w:rFonts w:ascii="Rockwell" w:hAnsi="Rockwell"/>
                                  <w:b/>
                                  <w:bCs/>
                                  <w:sz w:val="18"/>
                                  <w:szCs w:val="18"/>
                                </w:rPr>
                              </w:pPr>
                            </w:p>
                            <w:p w14:paraId="467888DA" w14:textId="77777777" w:rsidR="00092D3F" w:rsidRPr="0078721D" w:rsidRDefault="00092D3F">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7029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margin-left:0;margin-top:661pt;width:100.5pt;height:127.3pt;flip:x;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" adj="21600" fillcolor="#4ea72e [3209]" strokecolor="#0b1807 [489]" strokeweight="1.5pt">
                  <v:textbox>
                    <w:txbxContent>
                      <w:p w14:paraId="39CE9D62" w14:textId="77777777" w:rsidR="00092D3F" w:rsidRDefault="00092D3F">
                        <w:pPr>
                          <w:jc w:val="center"/>
                          <w:rPr>
                            <w:rFonts w:ascii="Rockwell" w:hAnsi="Rockwell"/>
                            <w:b/>
                            <w:bCs/>
                            <w:sz w:val="18"/>
                            <w:szCs w:val="18"/>
                          </w:rPr>
                        </w:pPr>
                      </w:p>
                      <w:p w14:paraId="467888DA" w14:textId="77777777" w:rsidR="00092D3F" w:rsidRPr="0078721D" w:rsidRDefault="00092D3F">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w:drawing>
            <wp:anchor distT="0" distB="0" distL="114300" distR="114300" simplePos="0" relativeHeight="251667456" behindDoc="0" locked="0" layoutInCell="1" allowOverlap="1" wp14:anchorId="79E3A4B8" wp14:editId="2D332699">
              <wp:simplePos x="0" y="0"/>
              <wp:positionH relativeFrom="column">
                <wp:posOffset>-2551790</wp:posOffset>
              </wp:positionH>
              <wp:positionV relativeFrom="paragraph">
                <wp:posOffset>85030</wp:posOffset>
              </wp:positionV>
              <wp:extent cx="934483" cy="227457"/>
              <wp:effectExtent l="0" t="0" r="0" b="1270"/>
              <wp:wrapNone/>
              <wp:docPr id="693172625"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14:anchorId="1E5C89E2" wp14:editId="5F2275D2">
                  <wp:simplePos x="0" y="0"/>
                  <wp:positionH relativeFrom="page">
                    <wp:align>right</wp:align>
                  </wp:positionH>
                  <wp:positionV relativeFrom="paragraph">
                    <wp:posOffset>-19685</wp:posOffset>
                  </wp:positionV>
                  <wp:extent cx="10011962" cy="50800"/>
                  <wp:effectExtent l="19050" t="19050" r="27940" b="25400"/>
                  <wp:wrapNone/>
                  <wp:docPr id="201042734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EB4B7" id="Straight Connector 2" o:spid="_x0000_s1026" style="position:absolute;z-index:251668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87FFE" w14:textId="77777777" w:rsidR="007F0E38" w:rsidRDefault="007F0E38" w:rsidP="00211602">
      <w:pPr>
        <w:spacing w:after="0" w:line="240" w:lineRule="auto"/>
      </w:pPr>
      <w:r>
        <w:separator/>
      </w:r>
    </w:p>
  </w:footnote>
  <w:footnote w:type="continuationSeparator" w:id="0">
    <w:p w14:paraId="4FDF4EEB" w14:textId="77777777" w:rsidR="007F0E38" w:rsidRDefault="007F0E38" w:rsidP="00211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F60"/>
    <w:multiLevelType w:val="hybridMultilevel"/>
    <w:tmpl w:val="0CBA9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284345"/>
    <w:multiLevelType w:val="multilevel"/>
    <w:tmpl w:val="9B10612C"/>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957E4"/>
    <w:multiLevelType w:val="multilevel"/>
    <w:tmpl w:val="6AB2D05C"/>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B1E07"/>
    <w:multiLevelType w:val="multilevel"/>
    <w:tmpl w:val="368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F57CE"/>
    <w:multiLevelType w:val="multilevel"/>
    <w:tmpl w:val="24AC3004"/>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961B9"/>
    <w:multiLevelType w:val="multilevel"/>
    <w:tmpl w:val="618C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D0D72"/>
    <w:multiLevelType w:val="multilevel"/>
    <w:tmpl w:val="11AE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C06993"/>
    <w:multiLevelType w:val="multilevel"/>
    <w:tmpl w:val="E7C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853FB"/>
    <w:multiLevelType w:val="multilevel"/>
    <w:tmpl w:val="033E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10FEE"/>
    <w:multiLevelType w:val="hybridMultilevel"/>
    <w:tmpl w:val="8BE42C08"/>
    <w:lvl w:ilvl="0" w:tplc="981AA828">
      <w:start w:val="1"/>
      <w:numFmt w:val="bullet"/>
      <w:lvlText w:val=""/>
      <w:lvlJc w:val="left"/>
      <w:pPr>
        <w:ind w:left="1080" w:hanging="360"/>
      </w:pPr>
      <w:rPr>
        <w:rFonts w:ascii="Wingdings" w:hAnsi="Wingdings" w:hint="default"/>
        <w:color w:val="33CCFF"/>
        <w:w w:val="86"/>
        <w:sz w:val="36"/>
        <w:szCs w:val="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4647A5"/>
    <w:multiLevelType w:val="hybridMultilevel"/>
    <w:tmpl w:val="9536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A521DCA"/>
    <w:multiLevelType w:val="multilevel"/>
    <w:tmpl w:val="E942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C376B7"/>
    <w:multiLevelType w:val="multilevel"/>
    <w:tmpl w:val="8742850A"/>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A3980"/>
    <w:multiLevelType w:val="multilevel"/>
    <w:tmpl w:val="6826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2674EE"/>
    <w:multiLevelType w:val="multilevel"/>
    <w:tmpl w:val="44E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07204AD"/>
    <w:multiLevelType w:val="hybridMultilevel"/>
    <w:tmpl w:val="67162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D8117E"/>
    <w:multiLevelType w:val="multilevel"/>
    <w:tmpl w:val="7EF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545750">
    <w:abstractNumId w:val="8"/>
  </w:num>
  <w:num w:numId="2" w16cid:durableId="249855216">
    <w:abstractNumId w:val="17"/>
  </w:num>
  <w:num w:numId="3" w16cid:durableId="1359896050">
    <w:abstractNumId w:val="7"/>
  </w:num>
  <w:num w:numId="4" w16cid:durableId="1173882656">
    <w:abstractNumId w:val="13"/>
  </w:num>
  <w:num w:numId="5" w16cid:durableId="2129100">
    <w:abstractNumId w:val="14"/>
  </w:num>
  <w:num w:numId="6" w16cid:durableId="149491610">
    <w:abstractNumId w:val="5"/>
  </w:num>
  <w:num w:numId="7" w16cid:durableId="2004314613">
    <w:abstractNumId w:val="11"/>
  </w:num>
  <w:num w:numId="8" w16cid:durableId="606472324">
    <w:abstractNumId w:val="6"/>
  </w:num>
  <w:num w:numId="9" w16cid:durableId="561215302">
    <w:abstractNumId w:val="12"/>
  </w:num>
  <w:num w:numId="10" w16cid:durableId="1974480862">
    <w:abstractNumId w:val="1"/>
  </w:num>
  <w:num w:numId="11" w16cid:durableId="1089497632">
    <w:abstractNumId w:val="4"/>
  </w:num>
  <w:num w:numId="12" w16cid:durableId="1594821485">
    <w:abstractNumId w:val="3"/>
  </w:num>
  <w:num w:numId="13" w16cid:durableId="377242607">
    <w:abstractNumId w:val="15"/>
  </w:num>
  <w:num w:numId="14" w16cid:durableId="1155103805">
    <w:abstractNumId w:val="0"/>
  </w:num>
  <w:num w:numId="15" w16cid:durableId="45297000">
    <w:abstractNumId w:val="9"/>
  </w:num>
  <w:num w:numId="16" w16cid:durableId="372971709">
    <w:abstractNumId w:val="2"/>
  </w:num>
  <w:num w:numId="17" w16cid:durableId="239949035">
    <w:abstractNumId w:val="16"/>
  </w:num>
  <w:num w:numId="18" w16cid:durableId="1851066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13"/>
    <w:rsid w:val="00092D3F"/>
    <w:rsid w:val="000E15B6"/>
    <w:rsid w:val="001951DB"/>
    <w:rsid w:val="00211602"/>
    <w:rsid w:val="003418CB"/>
    <w:rsid w:val="003E384C"/>
    <w:rsid w:val="00547BBF"/>
    <w:rsid w:val="006C541D"/>
    <w:rsid w:val="0077445B"/>
    <w:rsid w:val="00775419"/>
    <w:rsid w:val="007C3EF4"/>
    <w:rsid w:val="007F0E38"/>
    <w:rsid w:val="00B14378"/>
    <w:rsid w:val="00B229EF"/>
    <w:rsid w:val="00B43213"/>
    <w:rsid w:val="00CE43BF"/>
    <w:rsid w:val="00E02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DF49E"/>
  <w15:chartTrackingRefBased/>
  <w15:docId w15:val="{02F902C7-E4E1-40AE-9A81-2E4610CAE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213"/>
    <w:rPr>
      <w:rFonts w:eastAsiaTheme="majorEastAsia" w:cstheme="majorBidi"/>
      <w:color w:val="272727" w:themeColor="text1" w:themeTint="D8"/>
    </w:rPr>
  </w:style>
  <w:style w:type="paragraph" w:styleId="Title">
    <w:name w:val="Title"/>
    <w:basedOn w:val="Normal"/>
    <w:next w:val="Normal"/>
    <w:link w:val="TitleChar"/>
    <w:uiPriority w:val="10"/>
    <w:qFormat/>
    <w:rsid w:val="00B43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213"/>
    <w:pPr>
      <w:spacing w:before="160"/>
      <w:jc w:val="center"/>
    </w:pPr>
    <w:rPr>
      <w:i/>
      <w:iCs/>
      <w:color w:val="404040" w:themeColor="text1" w:themeTint="BF"/>
    </w:rPr>
  </w:style>
  <w:style w:type="character" w:customStyle="1" w:styleId="QuoteChar">
    <w:name w:val="Quote Char"/>
    <w:basedOn w:val="DefaultParagraphFont"/>
    <w:link w:val="Quote"/>
    <w:uiPriority w:val="29"/>
    <w:rsid w:val="00B43213"/>
    <w:rPr>
      <w:i/>
      <w:iCs/>
      <w:color w:val="404040" w:themeColor="text1" w:themeTint="BF"/>
    </w:rPr>
  </w:style>
  <w:style w:type="paragraph" w:styleId="ListParagraph">
    <w:name w:val="List Paragraph"/>
    <w:basedOn w:val="Normal"/>
    <w:uiPriority w:val="34"/>
    <w:qFormat/>
    <w:rsid w:val="00B43213"/>
    <w:pPr>
      <w:ind w:left="720"/>
      <w:contextualSpacing/>
    </w:pPr>
  </w:style>
  <w:style w:type="character" w:styleId="IntenseEmphasis">
    <w:name w:val="Intense Emphasis"/>
    <w:basedOn w:val="DefaultParagraphFont"/>
    <w:uiPriority w:val="21"/>
    <w:qFormat/>
    <w:rsid w:val="00B43213"/>
    <w:rPr>
      <w:i/>
      <w:iCs/>
      <w:color w:val="0F4761" w:themeColor="accent1" w:themeShade="BF"/>
    </w:rPr>
  </w:style>
  <w:style w:type="paragraph" w:styleId="IntenseQuote">
    <w:name w:val="Intense Quote"/>
    <w:basedOn w:val="Normal"/>
    <w:next w:val="Normal"/>
    <w:link w:val="IntenseQuoteChar"/>
    <w:uiPriority w:val="30"/>
    <w:qFormat/>
    <w:rsid w:val="00B43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213"/>
    <w:rPr>
      <w:i/>
      <w:iCs/>
      <w:color w:val="0F4761" w:themeColor="accent1" w:themeShade="BF"/>
    </w:rPr>
  </w:style>
  <w:style w:type="character" w:styleId="IntenseReference">
    <w:name w:val="Intense Reference"/>
    <w:basedOn w:val="DefaultParagraphFont"/>
    <w:uiPriority w:val="32"/>
    <w:qFormat/>
    <w:rsid w:val="00B43213"/>
    <w:rPr>
      <w:b/>
      <w:bCs/>
      <w:smallCaps/>
      <w:color w:val="0F4761" w:themeColor="accent1" w:themeShade="BF"/>
      <w:spacing w:val="5"/>
    </w:rPr>
  </w:style>
  <w:style w:type="table" w:styleId="TableGrid">
    <w:name w:val="Table Grid"/>
    <w:basedOn w:val="TableNormal"/>
    <w:uiPriority w:val="39"/>
    <w:rsid w:val="00B43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3213"/>
    <w:rPr>
      <w:color w:val="467886" w:themeColor="hyperlink"/>
      <w:u w:val="single"/>
    </w:rPr>
  </w:style>
  <w:style w:type="character" w:styleId="UnresolvedMention">
    <w:name w:val="Unresolved Mention"/>
    <w:basedOn w:val="DefaultParagraphFont"/>
    <w:uiPriority w:val="99"/>
    <w:semiHidden/>
    <w:unhideWhenUsed/>
    <w:rsid w:val="00B43213"/>
    <w:rPr>
      <w:color w:val="605E5C"/>
      <w:shd w:val="clear" w:color="auto" w:fill="E1DFDD"/>
    </w:rPr>
  </w:style>
  <w:style w:type="paragraph" w:styleId="NoSpacing">
    <w:name w:val="No Spacing"/>
    <w:uiPriority w:val="1"/>
    <w:qFormat/>
    <w:rsid w:val="00211602"/>
    <w:pPr>
      <w:spacing w:after="0" w:line="240" w:lineRule="auto"/>
    </w:pPr>
    <w:rPr>
      <w:rFonts w:eastAsiaTheme="minorHAnsi"/>
      <w:sz w:val="24"/>
      <w:szCs w:val="24"/>
      <w:lang w:eastAsia="en-US"/>
    </w:rPr>
  </w:style>
  <w:style w:type="paragraph" w:styleId="Footer">
    <w:name w:val="footer"/>
    <w:basedOn w:val="Normal"/>
    <w:link w:val="FooterChar"/>
    <w:uiPriority w:val="99"/>
    <w:unhideWhenUsed/>
    <w:rsid w:val="00211602"/>
    <w:pPr>
      <w:tabs>
        <w:tab w:val="center" w:pos="4680"/>
        <w:tab w:val="right" w:pos="9360"/>
      </w:tabs>
      <w:spacing w:after="0" w:line="240" w:lineRule="auto"/>
    </w:pPr>
    <w:rPr>
      <w:rFonts w:ascii="Times New Roman" w:eastAsia="Times New Roman" w:hAnsi="Times New Roman" w:cs="Times New Roman"/>
      <w:kern w:val="0"/>
      <w:sz w:val="24"/>
      <w:szCs w:val="24"/>
      <w:lang w:eastAsia="en-US"/>
      <w14:ligatures w14:val="none"/>
    </w:rPr>
  </w:style>
  <w:style w:type="character" w:customStyle="1" w:styleId="FooterChar">
    <w:name w:val="Footer Char"/>
    <w:basedOn w:val="DefaultParagraphFont"/>
    <w:link w:val="Footer"/>
    <w:uiPriority w:val="99"/>
    <w:rsid w:val="00211602"/>
    <w:rPr>
      <w:rFonts w:ascii="Times New Roman" w:eastAsia="Times New Roman" w:hAnsi="Times New Roman" w:cs="Times New Roman"/>
      <w:kern w:val="0"/>
      <w:sz w:val="24"/>
      <w:szCs w:val="24"/>
      <w:lang w:eastAsia="en-US"/>
      <w14:ligatures w14:val="none"/>
    </w:rPr>
  </w:style>
  <w:style w:type="paragraph" w:styleId="TOC1">
    <w:name w:val="toc 1"/>
    <w:basedOn w:val="Normal"/>
    <w:next w:val="Normal"/>
    <w:autoRedefine/>
    <w:uiPriority w:val="39"/>
    <w:unhideWhenUsed/>
    <w:rsid w:val="00211602"/>
    <w:pPr>
      <w:spacing w:after="100"/>
    </w:pPr>
    <w:rPr>
      <w:rFonts w:eastAsiaTheme="minorHAnsi"/>
      <w:lang w:eastAsia="en-US"/>
    </w:rPr>
  </w:style>
  <w:style w:type="paragraph" w:styleId="TOC2">
    <w:name w:val="toc 2"/>
    <w:basedOn w:val="Normal"/>
    <w:next w:val="Normal"/>
    <w:autoRedefine/>
    <w:uiPriority w:val="39"/>
    <w:unhideWhenUsed/>
    <w:rsid w:val="00211602"/>
    <w:pPr>
      <w:spacing w:after="100" w:line="240" w:lineRule="auto"/>
      <w:ind w:left="240"/>
    </w:pPr>
    <w:rPr>
      <w:rFonts w:ascii="Times New Roman" w:eastAsia="Times New Roman" w:hAnsi="Times New Roman" w:cs="Times New Roman"/>
      <w:kern w:val="0"/>
      <w:sz w:val="24"/>
      <w:szCs w:val="24"/>
      <w:lang w:eastAsia="en-US"/>
      <w14:ligatures w14:val="none"/>
    </w:rPr>
  </w:style>
  <w:style w:type="paragraph" w:styleId="TableofFigures">
    <w:name w:val="table of figures"/>
    <w:basedOn w:val="Normal"/>
    <w:next w:val="Normal"/>
    <w:uiPriority w:val="99"/>
    <w:unhideWhenUsed/>
    <w:rsid w:val="00211602"/>
    <w:pPr>
      <w:spacing w:after="0" w:line="240" w:lineRule="auto"/>
    </w:pPr>
    <w:rPr>
      <w:rFonts w:ascii="Times New Roman" w:eastAsia="Times New Roman" w:hAnsi="Times New Roman" w:cs="Times New Roman"/>
      <w:kern w:val="0"/>
      <w:sz w:val="24"/>
      <w:szCs w:val="24"/>
      <w:lang w:eastAsia="en-US"/>
      <w14:ligatures w14:val="none"/>
    </w:rPr>
  </w:style>
  <w:style w:type="paragraph" w:styleId="Header">
    <w:name w:val="header"/>
    <w:basedOn w:val="Normal"/>
    <w:link w:val="HeaderChar"/>
    <w:uiPriority w:val="99"/>
    <w:unhideWhenUsed/>
    <w:rsid w:val="00211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602"/>
  </w:style>
  <w:style w:type="paragraph" w:styleId="Caption">
    <w:name w:val="caption"/>
    <w:basedOn w:val="Normal"/>
    <w:next w:val="Normal"/>
    <w:uiPriority w:val="35"/>
    <w:unhideWhenUsed/>
    <w:qFormat/>
    <w:rsid w:val="00775419"/>
    <w:pPr>
      <w:spacing w:after="200" w:line="240" w:lineRule="auto"/>
    </w:pPr>
    <w:rPr>
      <w:rFonts w:ascii="Times New Roman" w:eastAsia="Times New Roman" w:hAnsi="Times New Roman" w:cs="Times New Roman"/>
      <w:i/>
      <w:iCs/>
      <w:color w:val="0E2841" w:themeColor="text2"/>
      <w:kern w:val="0"/>
      <w:sz w:val="18"/>
      <w:szCs w:val="18"/>
      <w:lang w:eastAsia="en-US"/>
      <w14:ligatures w14:val="none"/>
    </w:rPr>
  </w:style>
  <w:style w:type="paragraph" w:styleId="NormalWeb">
    <w:name w:val="Normal (Web)"/>
    <w:basedOn w:val="Normal"/>
    <w:uiPriority w:val="99"/>
    <w:semiHidden/>
    <w:unhideWhenUsed/>
    <w:rsid w:val="0077541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89070">
      <w:bodyDiv w:val="1"/>
      <w:marLeft w:val="0"/>
      <w:marRight w:val="0"/>
      <w:marTop w:val="0"/>
      <w:marBottom w:val="0"/>
      <w:divBdr>
        <w:top w:val="none" w:sz="0" w:space="0" w:color="auto"/>
        <w:left w:val="none" w:sz="0" w:space="0" w:color="auto"/>
        <w:bottom w:val="none" w:sz="0" w:space="0" w:color="auto"/>
        <w:right w:val="none" w:sz="0" w:space="0" w:color="auto"/>
      </w:divBdr>
    </w:div>
    <w:div w:id="504396559">
      <w:bodyDiv w:val="1"/>
      <w:marLeft w:val="0"/>
      <w:marRight w:val="0"/>
      <w:marTop w:val="0"/>
      <w:marBottom w:val="0"/>
      <w:divBdr>
        <w:top w:val="none" w:sz="0" w:space="0" w:color="auto"/>
        <w:left w:val="none" w:sz="0" w:space="0" w:color="auto"/>
        <w:bottom w:val="none" w:sz="0" w:space="0" w:color="auto"/>
        <w:right w:val="none" w:sz="0" w:space="0" w:color="auto"/>
      </w:divBdr>
    </w:div>
    <w:div w:id="782654855">
      <w:bodyDiv w:val="1"/>
      <w:marLeft w:val="0"/>
      <w:marRight w:val="0"/>
      <w:marTop w:val="0"/>
      <w:marBottom w:val="0"/>
      <w:divBdr>
        <w:top w:val="none" w:sz="0" w:space="0" w:color="auto"/>
        <w:left w:val="none" w:sz="0" w:space="0" w:color="auto"/>
        <w:bottom w:val="none" w:sz="0" w:space="0" w:color="auto"/>
        <w:right w:val="none" w:sz="0" w:space="0" w:color="auto"/>
      </w:divBdr>
    </w:div>
    <w:div w:id="1198659168">
      <w:bodyDiv w:val="1"/>
      <w:marLeft w:val="0"/>
      <w:marRight w:val="0"/>
      <w:marTop w:val="0"/>
      <w:marBottom w:val="0"/>
      <w:divBdr>
        <w:top w:val="none" w:sz="0" w:space="0" w:color="auto"/>
        <w:left w:val="none" w:sz="0" w:space="0" w:color="auto"/>
        <w:bottom w:val="none" w:sz="0" w:space="0" w:color="auto"/>
        <w:right w:val="none" w:sz="0" w:space="0" w:color="auto"/>
      </w:divBdr>
    </w:div>
    <w:div w:id="124985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ho.int/publications/i/item/978924005116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o.int/publications/i/item/WHO-2019-nCoV-IPC-2021.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cdc.gov/infectioncontrol/guidelines/environmental/index.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r>
              <a:rPr lang="en-US"/>
              <a:t>DGH IPC compliance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0C2-476A-AB40-E93D06EF4E01}"/>
              </c:ext>
            </c:extLst>
          </c:dPt>
          <c:dPt>
            <c:idx val="1"/>
            <c:bubble3D val="0"/>
            <c:spPr>
              <a:solidFill>
                <a:srgbClr val="EE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0C2-476A-AB40-E93D06EF4E01}"/>
              </c:ext>
            </c:extLst>
          </c:dPt>
          <c:dLbls>
            <c:dLbl>
              <c:idx val="0"/>
              <c:tx>
                <c:rich>
                  <a:bodyPr/>
                  <a:lstStyle/>
                  <a:p>
                    <a:r>
                      <a:rPr lang="en-US" baseline="0"/>
                      <a:t>
</a:t>
                    </a:r>
                    <a:fld id="{333C98E9-D41B-4ACB-BE00-EE9892FFF87B}"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0C2-476A-AB40-E93D06EF4E01}"/>
                </c:ext>
              </c:extLst>
            </c:dLbl>
            <c:dLbl>
              <c:idx val="1"/>
              <c:tx>
                <c:rich>
                  <a:bodyPr/>
                  <a:lstStyle/>
                  <a:p>
                    <a:r>
                      <a:rPr lang="en-US" baseline="0"/>
                      <a:t>
</a:t>
                    </a:r>
                    <a:fld id="{99C053C0-3B6F-41CF-B429-6DFC6FD7DB38}"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0C2-476A-AB40-E93D06EF4E01}"/>
                </c:ext>
              </c:extLst>
            </c:dLbl>
            <c:spPr>
              <a:noFill/>
              <a:ln>
                <a:noFill/>
              </a:ln>
              <a:effectLst/>
            </c:spPr>
            <c:txPr>
              <a:bodyPr rot="0" spcFirstLastPara="1" vertOverflow="ellipsis" vert="horz" wrap="square" anchor="ctr" anchorCtr="1"/>
              <a:lstStyle/>
              <a:p>
                <a:pPr>
                  <a:defRPr sz="2400" b="1" i="0" u="none" strike="noStrike" kern="1200" baseline="0">
                    <a:solidFill>
                      <a:schemeClr val="lt1"/>
                    </a:solidFill>
                    <a:latin typeface="Rockwell" panose="02060603020205020403" pitchFamily="18" charset="0"/>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Compliant</c:v>
                </c:pt>
                <c:pt idx="1">
                  <c:v>Non-compliant</c:v>
                </c:pt>
              </c:strCache>
            </c:strRef>
          </c:cat>
          <c:val>
            <c:numRef>
              <c:f>Sheet1!$B$2:$B$3</c:f>
              <c:numCache>
                <c:formatCode>General</c:formatCode>
                <c:ptCount val="2"/>
                <c:pt idx="0">
                  <c:v>72</c:v>
                </c:pt>
                <c:pt idx="1">
                  <c:v>28</c:v>
                </c:pt>
              </c:numCache>
            </c:numRef>
          </c:val>
          <c:extLst>
            <c:ext xmlns:c16="http://schemas.microsoft.com/office/drawing/2014/chart" uri="{C3380CC4-5D6E-409C-BE32-E72D297353CC}">
              <c16:uniqueId val="{00000004-00C2-476A-AB40-E93D06EF4E01}"/>
            </c:ext>
          </c:extLst>
        </c:ser>
        <c:dLbls>
          <c:dLblPos val="inEnd"/>
          <c:showLegendKey val="0"/>
          <c:showVal val="0"/>
          <c:showCatName val="1"/>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0DDC4-5B15-4D4B-94A3-490144C6E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2</cp:revision>
  <dcterms:created xsi:type="dcterms:W3CDTF">2025-07-26T21:06:00Z</dcterms:created>
  <dcterms:modified xsi:type="dcterms:W3CDTF">2025-07-26T21:06:00Z</dcterms:modified>
</cp:coreProperties>
</file>