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83BDD" w14:textId="457C65BE" w:rsidR="00211602" w:rsidRPr="00957F3A" w:rsidRDefault="00211602" w:rsidP="00211602">
      <w:pPr>
        <w:pStyle w:val="NoSpacing"/>
        <w:jc w:val="both"/>
        <w:rPr>
          <w:rFonts w:ascii="Rockwell" w:hAnsi="Rockwell"/>
        </w:rPr>
      </w:pPr>
      <w:r w:rsidRPr="00957F3A">
        <w:rPr>
          <w:rFonts w:ascii="Rockwell" w:eastAsia="MS Mincho" w:hAnsi="Rockwell" w:cs="Times New Roman"/>
          <w:b/>
          <w:bCs/>
          <w:noProof/>
          <w:kern w:val="0"/>
          <w:sz w:val="36"/>
          <w:szCs w:val="36"/>
          <w14:ligatures w14:val="none"/>
        </w:rPr>
        <w:drawing>
          <wp:anchor distT="0" distB="0" distL="114300" distR="114300" simplePos="0" relativeHeight="251659264" behindDoc="1" locked="0" layoutInCell="1" allowOverlap="1" wp14:anchorId="15BCFCDC" wp14:editId="0F612676">
            <wp:simplePos x="0" y="0"/>
            <wp:positionH relativeFrom="margin">
              <wp:posOffset>1758950</wp:posOffset>
            </wp:positionH>
            <wp:positionV relativeFrom="page">
              <wp:posOffset>508635</wp:posOffset>
            </wp:positionV>
            <wp:extent cx="1733550" cy="1733550"/>
            <wp:effectExtent l="0" t="0" r="0" b="0"/>
            <wp:wrapTight wrapText="bothSides">
              <wp:wrapPolygon edited="0">
                <wp:start x="0" y="0"/>
                <wp:lineTo x="0" y="21363"/>
                <wp:lineTo x="21363" y="21363"/>
                <wp:lineTo x="21363" y="0"/>
                <wp:lineTo x="0" y="0"/>
              </wp:wrapPolygon>
            </wp:wrapTight>
            <wp:docPr id="6192793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2D60D5" w14:textId="55E82265" w:rsidR="00211602" w:rsidRPr="00957F3A" w:rsidRDefault="00211602" w:rsidP="00211602">
      <w:pPr>
        <w:pStyle w:val="NoSpacing"/>
        <w:jc w:val="both"/>
        <w:rPr>
          <w:rFonts w:ascii="Rockwell" w:hAnsi="Rockwell"/>
        </w:rPr>
      </w:pPr>
      <w:bookmarkStart w:id="0" w:name="_Hlk204368093"/>
      <w:bookmarkStart w:id="1" w:name="_Hlk197450670"/>
      <w:bookmarkEnd w:id="0"/>
      <w:bookmarkEnd w:id="1"/>
    </w:p>
    <w:p w14:paraId="42E89329" w14:textId="77777777" w:rsidR="00211602" w:rsidRPr="00957F3A" w:rsidRDefault="00211602" w:rsidP="00211602">
      <w:pPr>
        <w:pStyle w:val="NoSpacing"/>
        <w:jc w:val="both"/>
        <w:rPr>
          <w:rFonts w:ascii="Rockwell" w:hAnsi="Rockwell"/>
        </w:rPr>
      </w:pPr>
    </w:p>
    <w:p w14:paraId="6F62662E" w14:textId="77777777" w:rsidR="00211602" w:rsidRPr="00957F3A" w:rsidRDefault="00211602" w:rsidP="00211602">
      <w:pPr>
        <w:pStyle w:val="NoSpacing"/>
        <w:jc w:val="both"/>
        <w:rPr>
          <w:rFonts w:ascii="Rockwell" w:hAnsi="Rockwell"/>
        </w:rPr>
      </w:pPr>
    </w:p>
    <w:p w14:paraId="2CF6EE32" w14:textId="77777777" w:rsidR="00211602" w:rsidRPr="00957F3A" w:rsidRDefault="00211602" w:rsidP="00211602">
      <w:pPr>
        <w:pStyle w:val="NoSpacing"/>
        <w:jc w:val="both"/>
        <w:rPr>
          <w:rFonts w:ascii="Rockwell" w:eastAsia="Times New Roman" w:hAnsi="Rockwell" w:cs="Segoe UI"/>
          <w:b/>
          <w:bCs/>
          <w:kern w:val="0"/>
          <w:sz w:val="28"/>
          <w:szCs w:val="28"/>
          <w14:ligatures w14:val="none"/>
        </w:rPr>
      </w:pPr>
    </w:p>
    <w:p w14:paraId="181CB4D4" w14:textId="77777777" w:rsidR="00211602" w:rsidRPr="0012497D" w:rsidRDefault="00211602" w:rsidP="00211602">
      <w:pPr>
        <w:pStyle w:val="NoSpacing"/>
      </w:pPr>
    </w:p>
    <w:p w14:paraId="59A4DD75" w14:textId="77777777" w:rsidR="00211602" w:rsidRDefault="00211602" w:rsidP="00211602"/>
    <w:p w14:paraId="2051F97E" w14:textId="5057F6D3" w:rsidR="00211602" w:rsidRPr="00B229EF" w:rsidRDefault="00211602" w:rsidP="00B229EF">
      <w:pPr>
        <w:pStyle w:val="NoSpacing"/>
        <w:spacing w:line="360" w:lineRule="auto"/>
        <w:jc w:val="both"/>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229EF">
        <w:rPr>
          <w:rFonts w:ascii="Rockwell" w:eastAsia="Times New Roman" w:hAnsi="Rockwell" w:cs="Segoe UI"/>
          <w:b/>
          <w:bCs/>
          <w:color w:val="196B24" w:themeColor="accent3"/>
          <w:kern w:val="0"/>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14:ligatures w14:val="none"/>
        </w:rPr>
        <w:t>DEDER GENERAL HOSPITAL</w:t>
      </w:r>
      <w:r w:rsidRPr="00B229EF">
        <w:rPr>
          <w:rFonts w:ascii="Rockwell" w:hAnsi="Rockwell"/>
          <w:b/>
          <w:color w:val="196B24" w:themeColor="accent3"/>
          <w:sz w:val="64"/>
          <w:szCs w:val="64"/>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8CE59EB" w14:textId="77777777" w:rsidR="00211602" w:rsidRPr="00B229EF" w:rsidRDefault="00211602" w:rsidP="00211602">
      <w:pPr>
        <w:jc w:val="center"/>
        <w:rPr>
          <w:rFonts w:ascii="Rockwell" w:hAnsi="Rockwell"/>
          <w:b/>
          <w:bCs/>
          <w:color w:val="00B0F0"/>
          <w:sz w:val="72"/>
          <w:szCs w:val="72"/>
        </w:rPr>
      </w:pPr>
      <w:r w:rsidRPr="00B229EF">
        <w:rPr>
          <w:rFonts w:ascii="Rockwell" w:hAnsi="Rockwell"/>
          <w:b/>
          <w:bCs/>
          <w:color w:val="00B0F0"/>
          <w:sz w:val="72"/>
          <w:szCs w:val="72"/>
        </w:rPr>
        <w:t>IPC Monitoring Report</w:t>
      </w:r>
    </w:p>
    <w:p w14:paraId="57DE84C0" w14:textId="77777777" w:rsidR="00211602" w:rsidRDefault="00211602" w:rsidP="00211602">
      <w:pPr>
        <w:pStyle w:val="NoSpacing"/>
        <w:spacing w:line="360" w:lineRule="auto"/>
        <w:rPr>
          <w:rFonts w:ascii="Rockwell" w:hAnsi="Rockwell"/>
          <w:b/>
          <w:bCs/>
          <w:sz w:val="36"/>
          <w:szCs w:val="36"/>
        </w:rPr>
      </w:pPr>
    </w:p>
    <w:p w14:paraId="16C5975F" w14:textId="49F44B46" w:rsidR="00211602" w:rsidRPr="00B229EF"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Report period: </w:t>
      </w:r>
      <w:r w:rsidR="008E75B0">
        <w:rPr>
          <w:rFonts w:ascii="Rockwell" w:hAnsi="Rockwell"/>
          <w:b/>
          <w:bCs/>
          <w:sz w:val="36"/>
          <w:szCs w:val="36"/>
        </w:rPr>
        <w:t>2</w:t>
      </w:r>
      <w:r w:rsidR="008E75B0" w:rsidRPr="008E75B0">
        <w:rPr>
          <w:rFonts w:ascii="Rockwell" w:hAnsi="Rockwell"/>
          <w:b/>
          <w:bCs/>
          <w:sz w:val="36"/>
          <w:szCs w:val="36"/>
          <w:vertAlign w:val="superscript"/>
        </w:rPr>
        <w:t>nd</w:t>
      </w:r>
      <w:r w:rsidR="00B229EF" w:rsidRPr="00B229EF">
        <w:rPr>
          <w:rFonts w:ascii="Rockwell" w:hAnsi="Rockwell"/>
          <w:b/>
          <w:bCs/>
          <w:sz w:val="36"/>
          <w:szCs w:val="36"/>
        </w:rPr>
        <w:t xml:space="preserve"> </w:t>
      </w:r>
      <w:r w:rsidRPr="00B229EF">
        <w:rPr>
          <w:rFonts w:ascii="Rockwell" w:hAnsi="Rockwell"/>
          <w:b/>
          <w:bCs/>
          <w:sz w:val="36"/>
          <w:szCs w:val="36"/>
        </w:rPr>
        <w:t>Quarter of 2017EFY</w:t>
      </w:r>
    </w:p>
    <w:p w14:paraId="354CC272" w14:textId="77777777" w:rsidR="00211602" w:rsidRPr="003765D4" w:rsidRDefault="00211602" w:rsidP="00211602">
      <w:pPr>
        <w:pStyle w:val="NoSpacing"/>
        <w:spacing w:line="360" w:lineRule="auto"/>
        <w:jc w:val="center"/>
        <w:rPr>
          <w:rFonts w:ascii="Rockwell" w:hAnsi="Rockwell"/>
          <w:b/>
          <w:bCs/>
          <w:sz w:val="36"/>
          <w:szCs w:val="36"/>
        </w:rPr>
      </w:pPr>
    </w:p>
    <w:p w14:paraId="5CCC6C53" w14:textId="61C0B335" w:rsidR="00211602" w:rsidRPr="003765D4" w:rsidRDefault="00211602" w:rsidP="00211602">
      <w:pPr>
        <w:pStyle w:val="NoSpacing"/>
        <w:spacing w:line="360" w:lineRule="auto"/>
        <w:rPr>
          <w:rFonts w:ascii="Rockwell" w:hAnsi="Rockwell"/>
          <w:b/>
          <w:bCs/>
          <w:sz w:val="36"/>
          <w:szCs w:val="36"/>
        </w:rPr>
      </w:pPr>
      <w:r w:rsidRPr="003765D4">
        <w:rPr>
          <w:rFonts w:ascii="Rockwell" w:hAnsi="Rockwell"/>
          <w:b/>
          <w:bCs/>
          <w:sz w:val="36"/>
          <w:szCs w:val="36"/>
        </w:rPr>
        <w:t xml:space="preserve">By: </w:t>
      </w:r>
      <w:r w:rsidRPr="00B229EF">
        <w:rPr>
          <w:rFonts w:ascii="Rockwell" w:hAnsi="Rockwell"/>
          <w:b/>
          <w:bCs/>
          <w:i/>
          <w:iCs/>
          <w:sz w:val="36"/>
          <w:szCs w:val="36"/>
        </w:rPr>
        <w:t>Ibrahim Tahir-IPC officer</w:t>
      </w:r>
    </w:p>
    <w:p w14:paraId="29648EFC"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11CE236E" w14:textId="77777777" w:rsidR="00211602" w:rsidRPr="00C41137" w:rsidRDefault="00211602" w:rsidP="00211602">
      <w:pPr>
        <w:pStyle w:val="NoSpacing"/>
        <w:jc w:val="both"/>
        <w:rPr>
          <w:rFonts w:ascii="Comic Sans MS" w:eastAsia="Times New Roman" w:hAnsi="Comic Sans MS" w:cs="Segoe UI"/>
          <w:b/>
          <w:bCs/>
          <w:i/>
          <w:iCs/>
          <w:kern w:val="0"/>
          <w:sz w:val="48"/>
          <w:szCs w:val="48"/>
          <w14:ligatures w14:val="none"/>
        </w:rPr>
      </w:pPr>
    </w:p>
    <w:p w14:paraId="0265E5EE"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97011AD" w14:textId="77777777" w:rsidR="00211602" w:rsidRDefault="00211602" w:rsidP="00211602">
      <w:pPr>
        <w:pStyle w:val="NoSpacing"/>
        <w:jc w:val="both"/>
        <w:rPr>
          <w:rFonts w:ascii="Comic Sans MS" w:eastAsia="Times New Roman" w:hAnsi="Comic Sans MS" w:cs="Segoe UI"/>
          <w:b/>
          <w:bCs/>
          <w:i/>
          <w:iCs/>
          <w:kern w:val="0"/>
          <w:sz w:val="48"/>
          <w:szCs w:val="48"/>
          <w14:ligatures w14:val="none"/>
        </w:rPr>
      </w:pPr>
    </w:p>
    <w:p w14:paraId="1CA1AA54" w14:textId="77777777" w:rsidR="00211602" w:rsidRDefault="00211602" w:rsidP="00211602">
      <w:pPr>
        <w:pStyle w:val="NoSpacing"/>
        <w:jc w:val="both"/>
        <w:rPr>
          <w:rFonts w:ascii="Rockwell" w:eastAsia="Times New Roman" w:hAnsi="Rockwell" w:cs="Segoe UI"/>
          <w:b/>
          <w:bCs/>
          <w:i/>
          <w:iCs/>
          <w:kern w:val="0"/>
          <w:sz w:val="48"/>
          <w:szCs w:val="48"/>
          <w14:ligatures w14:val="none"/>
        </w:rPr>
      </w:pPr>
    </w:p>
    <w:p w14:paraId="1A329096" w14:textId="77777777" w:rsidR="00211602" w:rsidRPr="003765D4" w:rsidRDefault="00211602" w:rsidP="00211602">
      <w:pPr>
        <w:pStyle w:val="NoSpacing"/>
        <w:jc w:val="both"/>
        <w:rPr>
          <w:rFonts w:ascii="Rockwell" w:eastAsia="Times New Roman" w:hAnsi="Rockwell" w:cs="Segoe UI"/>
          <w:b/>
          <w:bCs/>
          <w:i/>
          <w:iCs/>
          <w:kern w:val="0"/>
          <w:sz w:val="48"/>
          <w:szCs w:val="48"/>
          <w14:ligatures w14:val="none"/>
        </w:rPr>
      </w:pPr>
    </w:p>
    <w:p w14:paraId="20E19C05" w14:textId="4CF6ADEE" w:rsidR="00211602" w:rsidRPr="003765D4" w:rsidRDefault="008E75B0" w:rsidP="00211602">
      <w:pPr>
        <w:pStyle w:val="NoSpacing"/>
        <w:spacing w:line="360" w:lineRule="auto"/>
        <w:jc w:val="right"/>
        <w:rPr>
          <w:rFonts w:ascii="Rockwell" w:eastAsia="Times New Roman" w:hAnsi="Rockwell" w:cs="Segoe UI"/>
          <w:b/>
          <w:bCs/>
          <w:i/>
          <w:iCs/>
          <w:kern w:val="0"/>
          <w:sz w:val="48"/>
          <w:szCs w:val="48"/>
          <w14:ligatures w14:val="none"/>
        </w:rPr>
      </w:pPr>
      <w:r>
        <w:rPr>
          <w:rFonts w:ascii="Rockwell" w:eastAsia="Times New Roman" w:hAnsi="Rockwell" w:cs="Segoe UI"/>
          <w:b/>
          <w:bCs/>
          <w:i/>
          <w:iCs/>
          <w:kern w:val="0"/>
          <w:sz w:val="48"/>
          <w:szCs w:val="48"/>
          <w14:ligatures w14:val="none"/>
        </w:rPr>
        <w:t>December</w:t>
      </w:r>
      <w:r w:rsidR="00211602" w:rsidRPr="003765D4">
        <w:rPr>
          <w:rFonts w:ascii="Rockwell" w:eastAsia="Times New Roman" w:hAnsi="Rockwell" w:cs="Segoe UI"/>
          <w:b/>
          <w:bCs/>
          <w:i/>
          <w:iCs/>
          <w:kern w:val="0"/>
          <w:sz w:val="48"/>
          <w:szCs w:val="48"/>
          <w14:ligatures w14:val="none"/>
        </w:rPr>
        <w:t xml:space="preserve"> 2017E.C</w:t>
      </w:r>
    </w:p>
    <w:p w14:paraId="6E89891C" w14:textId="77777777" w:rsidR="00211602" w:rsidRDefault="00211602" w:rsidP="00211602">
      <w:pPr>
        <w:pStyle w:val="NoSpacing"/>
        <w:spacing w:line="360" w:lineRule="auto"/>
        <w:jc w:val="right"/>
        <w:rPr>
          <w:rFonts w:ascii="Rockwell" w:eastAsia="Times New Roman" w:hAnsi="Rockwell" w:cs="Segoe UI"/>
          <w:b/>
          <w:bCs/>
          <w:i/>
          <w:iCs/>
          <w:kern w:val="0"/>
          <w:sz w:val="48"/>
          <w:szCs w:val="48"/>
          <w14:ligatures w14:val="none"/>
        </w:rPr>
        <w:sectPr w:rsidR="00211602" w:rsidSect="00211602">
          <w:footerReference w:type="default" r:id="rId9"/>
          <w:pgSz w:w="12240" w:h="15840"/>
          <w:pgMar w:top="1440" w:right="810" w:bottom="1440" w:left="1440" w:header="432" w:footer="432" w:gutter="0"/>
          <w:pgBorders w:display="firstPage" w:offsetFrom="page">
            <w:top w:val="single" w:sz="36" w:space="24" w:color="00B0F0"/>
            <w:left w:val="single" w:sz="36" w:space="24" w:color="00B0F0"/>
            <w:bottom w:val="single" w:sz="36" w:space="24" w:color="00B0F0"/>
            <w:right w:val="single" w:sz="36" w:space="24" w:color="00B0F0"/>
          </w:pgBorders>
          <w:pgNumType w:fmt="lowerRoman" w:start="1"/>
          <w:cols w:space="720"/>
          <w:docGrid w:linePitch="360"/>
        </w:sectPr>
      </w:pPr>
      <w:r w:rsidRPr="003765D4">
        <w:rPr>
          <w:rFonts w:ascii="Rockwell" w:eastAsia="Times New Roman" w:hAnsi="Rockwell" w:cs="Segoe UI"/>
          <w:b/>
          <w:bCs/>
          <w:i/>
          <w:iCs/>
          <w:kern w:val="0"/>
          <w:sz w:val="48"/>
          <w:szCs w:val="48"/>
          <w14:ligatures w14:val="none"/>
        </w:rPr>
        <w:t>Deder, Oromia</w:t>
      </w:r>
    </w:p>
    <w:sdt>
      <w:sdtPr>
        <w:rPr>
          <w:rFonts w:ascii="Rockwell" w:eastAsiaTheme="minorHAnsi" w:hAnsi="Rockwell"/>
        </w:rPr>
        <w:id w:val="-1256209303"/>
        <w:docPartObj>
          <w:docPartGallery w:val="Table of Contents"/>
          <w:docPartUnique/>
        </w:docPartObj>
      </w:sdtPr>
      <w:sdtEndPr>
        <w:rPr>
          <w:rFonts w:asciiTheme="minorHAnsi" w:eastAsiaTheme="minorEastAsia" w:hAnsiTheme="minorHAnsi"/>
          <w:b/>
          <w:bCs/>
          <w:noProof/>
        </w:rPr>
      </w:sdtEndPr>
      <w:sdtContent>
        <w:p w14:paraId="5B0995F1" w14:textId="77777777" w:rsidR="00211602" w:rsidRPr="000C2108" w:rsidRDefault="00211602" w:rsidP="00211602">
          <w:pPr>
            <w:jc w:val="center"/>
            <w:rPr>
              <w:rFonts w:ascii="Rockwell" w:hAnsi="Rockwell"/>
              <w:b/>
              <w:bCs/>
            </w:rPr>
          </w:pPr>
          <w:r w:rsidRPr="000C2108">
            <w:rPr>
              <w:rFonts w:ascii="Rockwell" w:hAnsi="Rockwell"/>
              <w:b/>
              <w:bCs/>
            </w:rPr>
            <w:t>TABLE OF CONTENTS</w:t>
          </w:r>
        </w:p>
        <w:p w14:paraId="4A93A489" w14:textId="34D1824A" w:rsidR="00D90EA5" w:rsidRDefault="00211602">
          <w:pPr>
            <w:pStyle w:val="TOC1"/>
            <w:tabs>
              <w:tab w:val="right" w:leader="dot" w:pos="9980"/>
            </w:tabs>
            <w:rPr>
              <w:rFonts w:eastAsiaTheme="minorEastAsia"/>
              <w:noProof/>
              <w:sz w:val="24"/>
              <w:szCs w:val="24"/>
            </w:rPr>
          </w:pPr>
          <w:r w:rsidRPr="00F54E43">
            <w:rPr>
              <w:rFonts w:ascii="Rockwell" w:hAnsi="Rockwell"/>
            </w:rPr>
            <w:fldChar w:fldCharType="begin"/>
          </w:r>
          <w:r w:rsidRPr="00F54E43">
            <w:rPr>
              <w:rFonts w:ascii="Rockwell" w:hAnsi="Rockwell"/>
            </w:rPr>
            <w:instrText xml:space="preserve"> TOC \o "1-3" \h \z \u </w:instrText>
          </w:r>
          <w:r w:rsidRPr="00F54E43">
            <w:rPr>
              <w:rFonts w:ascii="Rockwell" w:hAnsi="Rockwell"/>
            </w:rPr>
            <w:fldChar w:fldCharType="separate"/>
          </w:r>
          <w:hyperlink w:anchor="_Toc204469330" w:history="1">
            <w:r w:rsidR="00D90EA5" w:rsidRPr="00CA5257">
              <w:rPr>
                <w:rStyle w:val="Hyperlink"/>
                <w:rFonts w:ascii="Rockwell" w:hAnsi="Rockwell"/>
                <w:b/>
                <w:bCs/>
                <w:noProof/>
              </w:rPr>
              <w:t>1. Introduction</w:t>
            </w:r>
            <w:r w:rsidR="00D90EA5">
              <w:rPr>
                <w:noProof/>
                <w:webHidden/>
              </w:rPr>
              <w:tab/>
            </w:r>
            <w:r w:rsidR="00D90EA5">
              <w:rPr>
                <w:noProof/>
                <w:webHidden/>
              </w:rPr>
              <w:fldChar w:fldCharType="begin"/>
            </w:r>
            <w:r w:rsidR="00D90EA5">
              <w:rPr>
                <w:noProof/>
                <w:webHidden/>
              </w:rPr>
              <w:instrText xml:space="preserve"> PAGEREF _Toc204469330 \h </w:instrText>
            </w:r>
            <w:r w:rsidR="00D90EA5">
              <w:rPr>
                <w:noProof/>
                <w:webHidden/>
              </w:rPr>
            </w:r>
            <w:r w:rsidR="00D90EA5">
              <w:rPr>
                <w:noProof/>
                <w:webHidden/>
              </w:rPr>
              <w:fldChar w:fldCharType="separate"/>
            </w:r>
            <w:r w:rsidR="00D90EA5">
              <w:rPr>
                <w:noProof/>
                <w:webHidden/>
              </w:rPr>
              <w:t>1</w:t>
            </w:r>
            <w:r w:rsidR="00D90EA5">
              <w:rPr>
                <w:noProof/>
                <w:webHidden/>
              </w:rPr>
              <w:fldChar w:fldCharType="end"/>
            </w:r>
          </w:hyperlink>
        </w:p>
        <w:p w14:paraId="1D1BFAA2" w14:textId="20871453" w:rsidR="00D90EA5" w:rsidRDefault="00D90EA5">
          <w:pPr>
            <w:pStyle w:val="TOC1"/>
            <w:tabs>
              <w:tab w:val="right" w:leader="dot" w:pos="9980"/>
            </w:tabs>
            <w:rPr>
              <w:rFonts w:eastAsiaTheme="minorEastAsia"/>
              <w:noProof/>
              <w:sz w:val="24"/>
              <w:szCs w:val="24"/>
            </w:rPr>
          </w:pPr>
          <w:hyperlink w:anchor="_Toc204469331" w:history="1">
            <w:r w:rsidRPr="00CA5257">
              <w:rPr>
                <w:rStyle w:val="Hyperlink"/>
                <w:rFonts w:ascii="Rockwell" w:hAnsi="Rockwell"/>
                <w:b/>
                <w:bCs/>
                <w:noProof/>
              </w:rPr>
              <w:t>2. Objective</w:t>
            </w:r>
            <w:r>
              <w:rPr>
                <w:noProof/>
                <w:webHidden/>
              </w:rPr>
              <w:tab/>
            </w:r>
            <w:r>
              <w:rPr>
                <w:noProof/>
                <w:webHidden/>
              </w:rPr>
              <w:fldChar w:fldCharType="begin"/>
            </w:r>
            <w:r>
              <w:rPr>
                <w:noProof/>
                <w:webHidden/>
              </w:rPr>
              <w:instrText xml:space="preserve"> PAGEREF _Toc204469331 \h </w:instrText>
            </w:r>
            <w:r>
              <w:rPr>
                <w:noProof/>
                <w:webHidden/>
              </w:rPr>
            </w:r>
            <w:r>
              <w:rPr>
                <w:noProof/>
                <w:webHidden/>
              </w:rPr>
              <w:fldChar w:fldCharType="separate"/>
            </w:r>
            <w:r>
              <w:rPr>
                <w:noProof/>
                <w:webHidden/>
              </w:rPr>
              <w:t>1</w:t>
            </w:r>
            <w:r>
              <w:rPr>
                <w:noProof/>
                <w:webHidden/>
              </w:rPr>
              <w:fldChar w:fldCharType="end"/>
            </w:r>
          </w:hyperlink>
        </w:p>
        <w:p w14:paraId="556ACAAE" w14:textId="629E0B5E" w:rsidR="00D90EA5" w:rsidRDefault="00D90EA5">
          <w:pPr>
            <w:pStyle w:val="TOC1"/>
            <w:tabs>
              <w:tab w:val="right" w:leader="dot" w:pos="9980"/>
            </w:tabs>
            <w:rPr>
              <w:rFonts w:eastAsiaTheme="minorEastAsia"/>
              <w:noProof/>
              <w:sz w:val="24"/>
              <w:szCs w:val="24"/>
            </w:rPr>
          </w:pPr>
          <w:hyperlink w:anchor="_Toc204469332" w:history="1">
            <w:r w:rsidRPr="00CA5257">
              <w:rPr>
                <w:rStyle w:val="Hyperlink"/>
                <w:rFonts w:ascii="Rockwell" w:hAnsi="Rockwell"/>
                <w:b/>
                <w:bCs/>
                <w:noProof/>
              </w:rPr>
              <w:t>3. Methodology</w:t>
            </w:r>
            <w:r>
              <w:rPr>
                <w:noProof/>
                <w:webHidden/>
              </w:rPr>
              <w:tab/>
            </w:r>
            <w:r>
              <w:rPr>
                <w:noProof/>
                <w:webHidden/>
              </w:rPr>
              <w:fldChar w:fldCharType="begin"/>
            </w:r>
            <w:r>
              <w:rPr>
                <w:noProof/>
                <w:webHidden/>
              </w:rPr>
              <w:instrText xml:space="preserve"> PAGEREF _Toc204469332 \h </w:instrText>
            </w:r>
            <w:r>
              <w:rPr>
                <w:noProof/>
                <w:webHidden/>
              </w:rPr>
            </w:r>
            <w:r>
              <w:rPr>
                <w:noProof/>
                <w:webHidden/>
              </w:rPr>
              <w:fldChar w:fldCharType="separate"/>
            </w:r>
            <w:r>
              <w:rPr>
                <w:noProof/>
                <w:webHidden/>
              </w:rPr>
              <w:t>1</w:t>
            </w:r>
            <w:r>
              <w:rPr>
                <w:noProof/>
                <w:webHidden/>
              </w:rPr>
              <w:fldChar w:fldCharType="end"/>
            </w:r>
          </w:hyperlink>
        </w:p>
        <w:p w14:paraId="7CEE4707" w14:textId="484E87AE" w:rsidR="00D90EA5" w:rsidRDefault="00D90EA5">
          <w:pPr>
            <w:pStyle w:val="TOC1"/>
            <w:tabs>
              <w:tab w:val="right" w:leader="dot" w:pos="9980"/>
            </w:tabs>
            <w:rPr>
              <w:rFonts w:eastAsiaTheme="minorEastAsia"/>
              <w:noProof/>
              <w:sz w:val="24"/>
              <w:szCs w:val="24"/>
            </w:rPr>
          </w:pPr>
          <w:hyperlink w:anchor="_Toc204469333" w:history="1">
            <w:r w:rsidRPr="00CA5257">
              <w:rPr>
                <w:rStyle w:val="Hyperlink"/>
                <w:rFonts w:ascii="Rockwell" w:hAnsi="Rockwell"/>
                <w:b/>
                <w:bCs/>
                <w:noProof/>
              </w:rPr>
              <w:t>4.  Results</w:t>
            </w:r>
            <w:r>
              <w:rPr>
                <w:noProof/>
                <w:webHidden/>
              </w:rPr>
              <w:tab/>
            </w:r>
            <w:r>
              <w:rPr>
                <w:noProof/>
                <w:webHidden/>
              </w:rPr>
              <w:fldChar w:fldCharType="begin"/>
            </w:r>
            <w:r>
              <w:rPr>
                <w:noProof/>
                <w:webHidden/>
              </w:rPr>
              <w:instrText xml:space="preserve"> PAGEREF _Toc204469333 \h </w:instrText>
            </w:r>
            <w:r>
              <w:rPr>
                <w:noProof/>
                <w:webHidden/>
              </w:rPr>
            </w:r>
            <w:r>
              <w:rPr>
                <w:noProof/>
                <w:webHidden/>
              </w:rPr>
              <w:fldChar w:fldCharType="separate"/>
            </w:r>
            <w:r>
              <w:rPr>
                <w:noProof/>
                <w:webHidden/>
              </w:rPr>
              <w:t>4</w:t>
            </w:r>
            <w:r>
              <w:rPr>
                <w:noProof/>
                <w:webHidden/>
              </w:rPr>
              <w:fldChar w:fldCharType="end"/>
            </w:r>
          </w:hyperlink>
        </w:p>
        <w:p w14:paraId="5C27E53B" w14:textId="38C2103D" w:rsidR="00D90EA5" w:rsidRDefault="00D90EA5">
          <w:pPr>
            <w:pStyle w:val="TOC1"/>
            <w:tabs>
              <w:tab w:val="right" w:leader="dot" w:pos="9980"/>
            </w:tabs>
            <w:rPr>
              <w:rFonts w:eastAsiaTheme="minorEastAsia"/>
              <w:noProof/>
              <w:sz w:val="24"/>
              <w:szCs w:val="24"/>
            </w:rPr>
          </w:pPr>
          <w:hyperlink w:anchor="_Toc204469334" w:history="1">
            <w:r w:rsidRPr="00CA5257">
              <w:rPr>
                <w:rStyle w:val="Hyperlink"/>
                <w:rFonts w:ascii="Rockwell" w:hAnsi="Rockwell"/>
                <w:b/>
                <w:bCs/>
                <w:noProof/>
              </w:rPr>
              <w:t>5. Discussion</w:t>
            </w:r>
            <w:r>
              <w:rPr>
                <w:noProof/>
                <w:webHidden/>
              </w:rPr>
              <w:tab/>
            </w:r>
            <w:r>
              <w:rPr>
                <w:noProof/>
                <w:webHidden/>
              </w:rPr>
              <w:fldChar w:fldCharType="begin"/>
            </w:r>
            <w:r>
              <w:rPr>
                <w:noProof/>
                <w:webHidden/>
              </w:rPr>
              <w:instrText xml:space="preserve"> PAGEREF _Toc204469334 \h </w:instrText>
            </w:r>
            <w:r>
              <w:rPr>
                <w:noProof/>
                <w:webHidden/>
              </w:rPr>
            </w:r>
            <w:r>
              <w:rPr>
                <w:noProof/>
                <w:webHidden/>
              </w:rPr>
              <w:fldChar w:fldCharType="separate"/>
            </w:r>
            <w:r>
              <w:rPr>
                <w:noProof/>
                <w:webHidden/>
              </w:rPr>
              <w:t>6</w:t>
            </w:r>
            <w:r>
              <w:rPr>
                <w:noProof/>
                <w:webHidden/>
              </w:rPr>
              <w:fldChar w:fldCharType="end"/>
            </w:r>
          </w:hyperlink>
        </w:p>
        <w:p w14:paraId="0191F4DC" w14:textId="7B4BAEE9" w:rsidR="00D90EA5" w:rsidRDefault="00D90EA5">
          <w:pPr>
            <w:pStyle w:val="TOC1"/>
            <w:tabs>
              <w:tab w:val="right" w:leader="dot" w:pos="9980"/>
            </w:tabs>
            <w:rPr>
              <w:rFonts w:eastAsiaTheme="minorEastAsia"/>
              <w:noProof/>
              <w:sz w:val="24"/>
              <w:szCs w:val="24"/>
            </w:rPr>
          </w:pPr>
          <w:hyperlink w:anchor="_Toc204469335" w:history="1">
            <w:r w:rsidRPr="00CA5257">
              <w:rPr>
                <w:rStyle w:val="Hyperlink"/>
                <w:rFonts w:ascii="Rockwell" w:hAnsi="Rockwell"/>
                <w:b/>
                <w:bCs/>
                <w:noProof/>
              </w:rPr>
              <w:t>6. Recommendations</w:t>
            </w:r>
            <w:r>
              <w:rPr>
                <w:noProof/>
                <w:webHidden/>
              </w:rPr>
              <w:tab/>
            </w:r>
            <w:r>
              <w:rPr>
                <w:noProof/>
                <w:webHidden/>
              </w:rPr>
              <w:fldChar w:fldCharType="begin"/>
            </w:r>
            <w:r>
              <w:rPr>
                <w:noProof/>
                <w:webHidden/>
              </w:rPr>
              <w:instrText xml:space="preserve"> PAGEREF _Toc204469335 \h </w:instrText>
            </w:r>
            <w:r>
              <w:rPr>
                <w:noProof/>
                <w:webHidden/>
              </w:rPr>
            </w:r>
            <w:r>
              <w:rPr>
                <w:noProof/>
                <w:webHidden/>
              </w:rPr>
              <w:fldChar w:fldCharType="separate"/>
            </w:r>
            <w:r>
              <w:rPr>
                <w:noProof/>
                <w:webHidden/>
              </w:rPr>
              <w:t>7</w:t>
            </w:r>
            <w:r>
              <w:rPr>
                <w:noProof/>
                <w:webHidden/>
              </w:rPr>
              <w:fldChar w:fldCharType="end"/>
            </w:r>
          </w:hyperlink>
        </w:p>
        <w:p w14:paraId="576B4907" w14:textId="1838B653" w:rsidR="00D90EA5" w:rsidRDefault="00D90EA5">
          <w:pPr>
            <w:pStyle w:val="TOC1"/>
            <w:tabs>
              <w:tab w:val="right" w:leader="dot" w:pos="9980"/>
            </w:tabs>
            <w:rPr>
              <w:rFonts w:eastAsiaTheme="minorEastAsia"/>
              <w:noProof/>
              <w:sz w:val="24"/>
              <w:szCs w:val="24"/>
            </w:rPr>
          </w:pPr>
          <w:hyperlink w:anchor="_Toc204469336" w:history="1">
            <w:r w:rsidRPr="00CA5257">
              <w:rPr>
                <w:rStyle w:val="Hyperlink"/>
                <w:rFonts w:ascii="Rockwell" w:hAnsi="Rockwell"/>
                <w:b/>
                <w:bCs/>
                <w:noProof/>
              </w:rPr>
              <w:t>7. Action Plan</w:t>
            </w:r>
            <w:r>
              <w:rPr>
                <w:noProof/>
                <w:webHidden/>
              </w:rPr>
              <w:tab/>
            </w:r>
            <w:r>
              <w:rPr>
                <w:noProof/>
                <w:webHidden/>
              </w:rPr>
              <w:fldChar w:fldCharType="begin"/>
            </w:r>
            <w:r>
              <w:rPr>
                <w:noProof/>
                <w:webHidden/>
              </w:rPr>
              <w:instrText xml:space="preserve"> PAGEREF _Toc204469336 \h </w:instrText>
            </w:r>
            <w:r>
              <w:rPr>
                <w:noProof/>
                <w:webHidden/>
              </w:rPr>
            </w:r>
            <w:r>
              <w:rPr>
                <w:noProof/>
                <w:webHidden/>
              </w:rPr>
              <w:fldChar w:fldCharType="separate"/>
            </w:r>
            <w:r>
              <w:rPr>
                <w:noProof/>
                <w:webHidden/>
              </w:rPr>
              <w:t>8</w:t>
            </w:r>
            <w:r>
              <w:rPr>
                <w:noProof/>
                <w:webHidden/>
              </w:rPr>
              <w:fldChar w:fldCharType="end"/>
            </w:r>
          </w:hyperlink>
        </w:p>
        <w:p w14:paraId="49DD78B8" w14:textId="5B1B7222" w:rsidR="00D90EA5" w:rsidRDefault="00D90EA5">
          <w:pPr>
            <w:pStyle w:val="TOC1"/>
            <w:tabs>
              <w:tab w:val="right" w:leader="dot" w:pos="9980"/>
            </w:tabs>
            <w:rPr>
              <w:rFonts w:eastAsiaTheme="minorEastAsia"/>
              <w:noProof/>
              <w:sz w:val="24"/>
              <w:szCs w:val="24"/>
            </w:rPr>
          </w:pPr>
          <w:hyperlink w:anchor="_Toc204469337" w:history="1">
            <w:r w:rsidRPr="00CA5257">
              <w:rPr>
                <w:rStyle w:val="Hyperlink"/>
                <w:rFonts w:ascii="Rockwell" w:hAnsi="Rockwell"/>
                <w:b/>
                <w:bCs/>
                <w:noProof/>
              </w:rPr>
              <w:t>8. References</w:t>
            </w:r>
            <w:r>
              <w:rPr>
                <w:noProof/>
                <w:webHidden/>
              </w:rPr>
              <w:tab/>
            </w:r>
            <w:r>
              <w:rPr>
                <w:noProof/>
                <w:webHidden/>
              </w:rPr>
              <w:fldChar w:fldCharType="begin"/>
            </w:r>
            <w:r>
              <w:rPr>
                <w:noProof/>
                <w:webHidden/>
              </w:rPr>
              <w:instrText xml:space="preserve"> PAGEREF _Toc204469337 \h </w:instrText>
            </w:r>
            <w:r>
              <w:rPr>
                <w:noProof/>
                <w:webHidden/>
              </w:rPr>
            </w:r>
            <w:r>
              <w:rPr>
                <w:noProof/>
                <w:webHidden/>
              </w:rPr>
              <w:fldChar w:fldCharType="separate"/>
            </w:r>
            <w:r>
              <w:rPr>
                <w:noProof/>
                <w:webHidden/>
              </w:rPr>
              <w:t>9</w:t>
            </w:r>
            <w:r>
              <w:rPr>
                <w:noProof/>
                <w:webHidden/>
              </w:rPr>
              <w:fldChar w:fldCharType="end"/>
            </w:r>
          </w:hyperlink>
        </w:p>
        <w:p w14:paraId="1E11F68F" w14:textId="506D14B7" w:rsidR="00211602" w:rsidRPr="00F54E43" w:rsidRDefault="00211602" w:rsidP="00211602">
          <w:r w:rsidRPr="00F54E43">
            <w:rPr>
              <w:noProof/>
            </w:rPr>
            <w:fldChar w:fldCharType="end"/>
          </w:r>
        </w:p>
      </w:sdtContent>
    </w:sdt>
    <w:p w14:paraId="322C94B5" w14:textId="77777777" w:rsidR="00211602" w:rsidRPr="00957F3A" w:rsidRDefault="00211602" w:rsidP="00211602">
      <w:pPr>
        <w:jc w:val="both"/>
        <w:rPr>
          <w:rFonts w:ascii="Rockwell" w:hAnsi="Rockwell"/>
        </w:rPr>
      </w:pPr>
    </w:p>
    <w:p w14:paraId="72BC9C3A" w14:textId="77777777" w:rsidR="00211602" w:rsidRDefault="00211602" w:rsidP="00211602">
      <w:pPr>
        <w:rPr>
          <w:rFonts w:ascii="Rockwell" w:hAnsi="Rockwell"/>
        </w:rPr>
      </w:pPr>
    </w:p>
    <w:p w14:paraId="5A1DB73F" w14:textId="2267B7FA" w:rsidR="00D90EA5" w:rsidRDefault="00D90EA5">
      <w:pPr>
        <w:pStyle w:val="TableofFigures"/>
        <w:tabs>
          <w:tab w:val="right" w:leader="dot" w:pos="9980"/>
        </w:tabs>
        <w:rPr>
          <w:rFonts w:asciiTheme="minorHAnsi" w:eastAsiaTheme="minorEastAsia" w:hAnsiTheme="minorHAnsi" w:cstheme="minorBidi"/>
          <w:noProof/>
          <w:kern w:val="2"/>
          <w14:ligatures w14:val="standardContextual"/>
        </w:rPr>
      </w:pPr>
      <w:r>
        <w:rPr>
          <w:rFonts w:ascii="Rockwell" w:hAnsi="Rockwell"/>
          <w:sz w:val="28"/>
          <w:szCs w:val="28"/>
        </w:rPr>
        <w:fldChar w:fldCharType="begin"/>
      </w:r>
      <w:r>
        <w:rPr>
          <w:rFonts w:ascii="Rockwell" w:hAnsi="Rockwell"/>
          <w:sz w:val="28"/>
          <w:szCs w:val="28"/>
        </w:rPr>
        <w:instrText xml:space="preserve"> TOC \h \z \c "Figure" </w:instrText>
      </w:r>
      <w:r>
        <w:rPr>
          <w:rFonts w:ascii="Rockwell" w:hAnsi="Rockwell"/>
          <w:sz w:val="28"/>
          <w:szCs w:val="28"/>
        </w:rPr>
        <w:fldChar w:fldCharType="separate"/>
      </w:r>
      <w:hyperlink w:anchor="_Toc204469339" w:history="1">
        <w:r w:rsidRPr="00790B7A">
          <w:rPr>
            <w:rStyle w:val="Hyperlink"/>
            <w:rFonts w:ascii="Rockwell" w:eastAsiaTheme="majorEastAsia" w:hAnsi="Rockwell"/>
            <w:b/>
            <w:bCs/>
            <w:noProof/>
          </w:rPr>
          <w:t>Figure 1:</w:t>
        </w:r>
        <w:r w:rsidRPr="00790B7A">
          <w:rPr>
            <w:rStyle w:val="Hyperlink"/>
            <w:rFonts w:ascii="Rockwell" w:eastAsiaTheme="majorEastAsia" w:hAnsi="Rockwell"/>
            <w:noProof/>
          </w:rPr>
          <w:t xml:space="preserve"> Deder General Hospital Overall IPC compliance rate, December 2017E.C</w:t>
        </w:r>
        <w:r>
          <w:rPr>
            <w:noProof/>
            <w:webHidden/>
          </w:rPr>
          <w:tab/>
        </w:r>
        <w:r>
          <w:rPr>
            <w:noProof/>
            <w:webHidden/>
          </w:rPr>
          <w:fldChar w:fldCharType="begin"/>
        </w:r>
        <w:r>
          <w:rPr>
            <w:noProof/>
            <w:webHidden/>
          </w:rPr>
          <w:instrText xml:space="preserve"> PAGEREF _Toc204469339 \h </w:instrText>
        </w:r>
        <w:r>
          <w:rPr>
            <w:noProof/>
            <w:webHidden/>
          </w:rPr>
        </w:r>
        <w:r>
          <w:rPr>
            <w:noProof/>
            <w:webHidden/>
          </w:rPr>
          <w:fldChar w:fldCharType="separate"/>
        </w:r>
        <w:r>
          <w:rPr>
            <w:noProof/>
            <w:webHidden/>
          </w:rPr>
          <w:t>5</w:t>
        </w:r>
        <w:r>
          <w:rPr>
            <w:noProof/>
            <w:webHidden/>
          </w:rPr>
          <w:fldChar w:fldCharType="end"/>
        </w:r>
      </w:hyperlink>
    </w:p>
    <w:p w14:paraId="6D52702A" w14:textId="77777777" w:rsidR="00D90EA5" w:rsidRDefault="00D90EA5" w:rsidP="00211602">
      <w:pPr>
        <w:spacing w:before="100" w:beforeAutospacing="1" w:after="100" w:afterAutospacing="1" w:line="360" w:lineRule="auto"/>
        <w:jc w:val="both"/>
        <w:rPr>
          <w:noProof/>
        </w:rPr>
      </w:pPr>
      <w:r>
        <w:rPr>
          <w:rFonts w:ascii="Rockwell" w:hAnsi="Rockwell"/>
          <w:sz w:val="28"/>
          <w:szCs w:val="28"/>
        </w:rPr>
        <w:fldChar w:fldCharType="end"/>
      </w:r>
      <w:r>
        <w:rPr>
          <w:rFonts w:ascii="Rockwell" w:hAnsi="Rockwell"/>
          <w:sz w:val="28"/>
          <w:szCs w:val="28"/>
        </w:rPr>
        <w:fldChar w:fldCharType="begin"/>
      </w:r>
      <w:r>
        <w:rPr>
          <w:rFonts w:ascii="Rockwell" w:hAnsi="Rockwell"/>
          <w:sz w:val="28"/>
          <w:szCs w:val="28"/>
        </w:rPr>
        <w:instrText xml:space="preserve"> TOC \h \z \c "Table" </w:instrText>
      </w:r>
      <w:r>
        <w:rPr>
          <w:rFonts w:ascii="Rockwell" w:hAnsi="Rockwell"/>
          <w:sz w:val="28"/>
          <w:szCs w:val="28"/>
        </w:rPr>
        <w:fldChar w:fldCharType="separate"/>
      </w:r>
    </w:p>
    <w:p w14:paraId="48C24CCA" w14:textId="49444089" w:rsidR="00211602" w:rsidRDefault="00D90EA5" w:rsidP="00211602">
      <w:pPr>
        <w:spacing w:before="100" w:beforeAutospacing="1" w:after="100" w:afterAutospacing="1" w:line="360" w:lineRule="auto"/>
        <w:jc w:val="both"/>
        <w:rPr>
          <w:rFonts w:ascii="Rockwell" w:hAnsi="Rockwell"/>
          <w:sz w:val="28"/>
          <w:szCs w:val="28"/>
        </w:rPr>
        <w:sectPr w:rsidR="00211602" w:rsidSect="00211602">
          <w:footerReference w:type="default" r:id="rId10"/>
          <w:pgSz w:w="12240" w:h="15840"/>
          <w:pgMar w:top="1440" w:right="810" w:bottom="1440" w:left="1440" w:header="432" w:footer="432" w:gutter="0"/>
          <w:pgNumType w:fmt="lowerRoman" w:start="1"/>
          <w:cols w:space="720"/>
          <w:docGrid w:linePitch="360"/>
        </w:sectPr>
      </w:pPr>
      <w:r>
        <w:rPr>
          <w:rFonts w:ascii="Rockwell" w:hAnsi="Rockwell"/>
          <w:sz w:val="28"/>
          <w:szCs w:val="28"/>
        </w:rPr>
        <w:fldChar w:fldCharType="end"/>
      </w:r>
    </w:p>
    <w:p w14:paraId="28283085" w14:textId="138D891B" w:rsidR="00B43213" w:rsidRPr="00211602" w:rsidRDefault="00B43213" w:rsidP="00211602">
      <w:pPr>
        <w:pStyle w:val="Heading1"/>
        <w:spacing w:line="360" w:lineRule="auto"/>
        <w:rPr>
          <w:rFonts w:ascii="Rockwell" w:hAnsi="Rockwell"/>
          <w:b/>
          <w:bCs/>
          <w:sz w:val="32"/>
          <w:szCs w:val="32"/>
        </w:rPr>
      </w:pPr>
      <w:bookmarkStart w:id="2" w:name="_Toc204469330"/>
      <w:r w:rsidRPr="00211602">
        <w:rPr>
          <w:rFonts w:ascii="Rockwell" w:hAnsi="Rockwell"/>
          <w:b/>
          <w:bCs/>
          <w:sz w:val="32"/>
          <w:szCs w:val="32"/>
        </w:rPr>
        <w:lastRenderedPageBreak/>
        <w:t>1. Introduction</w:t>
      </w:r>
      <w:bookmarkEnd w:id="2"/>
    </w:p>
    <w:p w14:paraId="28DA1C49"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Infection Prevention and Control (IPC) ensures a safe and clean healthcare environment, minimizing the spread of healthcare-associated infections (HAIs). Deder General Hospital undertook a structured IPC monitoring assessment to identify areas of compliance and non-compliance, using a national standardized checklist.</w:t>
      </w:r>
    </w:p>
    <w:p w14:paraId="74264CF3" w14:textId="0DBF1287" w:rsidR="00B43213" w:rsidRPr="00211602" w:rsidRDefault="00B43213" w:rsidP="00547BBF">
      <w:pPr>
        <w:pStyle w:val="Heading1"/>
        <w:spacing w:before="0" w:line="360" w:lineRule="auto"/>
        <w:rPr>
          <w:rFonts w:ascii="Rockwell" w:hAnsi="Rockwell"/>
          <w:b/>
          <w:bCs/>
          <w:sz w:val="32"/>
          <w:szCs w:val="32"/>
        </w:rPr>
      </w:pPr>
      <w:bookmarkStart w:id="3" w:name="_Toc204469331"/>
      <w:r w:rsidRPr="00211602">
        <w:rPr>
          <w:rFonts w:ascii="Rockwell" w:hAnsi="Rockwell"/>
          <w:b/>
          <w:bCs/>
          <w:sz w:val="32"/>
          <w:szCs w:val="32"/>
        </w:rPr>
        <w:t>2. Objective</w:t>
      </w:r>
      <w:bookmarkEnd w:id="3"/>
    </w:p>
    <w:p w14:paraId="7C6308F3" w14:textId="77777777" w:rsidR="00B43213" w:rsidRPr="00547BBF" w:rsidRDefault="00B43213" w:rsidP="00211602">
      <w:pPr>
        <w:spacing w:line="360" w:lineRule="auto"/>
        <w:jc w:val="both"/>
        <w:rPr>
          <w:rFonts w:ascii="Rockwell" w:hAnsi="Rockwell"/>
          <w:sz w:val="28"/>
          <w:szCs w:val="28"/>
        </w:rPr>
      </w:pPr>
      <w:r w:rsidRPr="00547BBF">
        <w:rPr>
          <w:rFonts w:ascii="Rockwell" w:hAnsi="Rockwell"/>
          <w:sz w:val="28"/>
          <w:szCs w:val="28"/>
        </w:rPr>
        <w:t>To assess IPC compliance across systems, practices, and infrastructure; identify deficiencies; and develop actionable steps for improvement aligned with national and international IPC guidelines.</w:t>
      </w:r>
    </w:p>
    <w:p w14:paraId="17C661BF" w14:textId="69F7623A" w:rsidR="00B43213" w:rsidRPr="00211602" w:rsidRDefault="00B43213" w:rsidP="00211602">
      <w:pPr>
        <w:pStyle w:val="Heading1"/>
        <w:spacing w:line="360" w:lineRule="auto"/>
        <w:rPr>
          <w:rFonts w:ascii="Rockwell" w:hAnsi="Rockwell"/>
          <w:b/>
          <w:bCs/>
          <w:sz w:val="32"/>
          <w:szCs w:val="32"/>
        </w:rPr>
      </w:pPr>
      <w:bookmarkStart w:id="4" w:name="_Toc204469332"/>
      <w:r w:rsidRPr="00211602">
        <w:rPr>
          <w:rFonts w:ascii="Rockwell" w:hAnsi="Rockwell"/>
          <w:b/>
          <w:bCs/>
          <w:sz w:val="32"/>
          <w:szCs w:val="32"/>
        </w:rPr>
        <w:t>3. Methodology</w:t>
      </w:r>
      <w:bookmarkEnd w:id="4"/>
    </w:p>
    <w:p w14:paraId="30A08EF7" w14:textId="77777777" w:rsidR="00B43213" w:rsidRPr="00547BBF" w:rsidRDefault="00B43213" w:rsidP="00547BBF">
      <w:pPr>
        <w:jc w:val="both"/>
        <w:rPr>
          <w:rFonts w:ascii="Rockwell" w:hAnsi="Rockwell"/>
          <w:b/>
          <w:bCs/>
          <w:sz w:val="28"/>
          <w:szCs w:val="28"/>
        </w:rPr>
      </w:pPr>
      <w:r w:rsidRPr="00547BBF">
        <w:rPr>
          <w:rFonts w:ascii="Rockwell" w:hAnsi="Rockwell"/>
          <w:b/>
          <w:bCs/>
          <w:sz w:val="28"/>
          <w:szCs w:val="28"/>
        </w:rPr>
        <w:t>3.1. Study Design</w:t>
      </w:r>
    </w:p>
    <w:p w14:paraId="1A996483"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A facility-based, cross-sectional assessment was conducted using structured observation and checklist-guided interviews to evaluate Infection Prevention and Control (IPC) compliance across Deder General Hospital.</w:t>
      </w:r>
    </w:p>
    <w:p w14:paraId="0147F07D" w14:textId="7301AF41" w:rsidR="00B43213" w:rsidRPr="00547BBF" w:rsidRDefault="00B43213" w:rsidP="00547BBF">
      <w:pPr>
        <w:jc w:val="both"/>
        <w:rPr>
          <w:rFonts w:ascii="Rockwell" w:hAnsi="Rockwell"/>
          <w:b/>
          <w:bCs/>
          <w:sz w:val="28"/>
          <w:szCs w:val="28"/>
        </w:rPr>
      </w:pPr>
      <w:r w:rsidRPr="00547BBF">
        <w:rPr>
          <w:rFonts w:ascii="Rockwell" w:hAnsi="Rockwell"/>
          <w:b/>
          <w:bCs/>
          <w:sz w:val="28"/>
          <w:szCs w:val="28"/>
        </w:rPr>
        <w:t>3.2. Assessment Tools</w:t>
      </w:r>
    </w:p>
    <w:p w14:paraId="3FE194B2"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employed the </w:t>
      </w:r>
      <w:r w:rsidRPr="00547BBF">
        <w:rPr>
          <w:rFonts w:ascii="Rockwell" w:hAnsi="Rockwell"/>
          <w:b/>
          <w:bCs/>
          <w:sz w:val="28"/>
          <w:szCs w:val="28"/>
        </w:rPr>
        <w:t>National IPC Monitoring Toolkit</w:t>
      </w:r>
      <w:r w:rsidRPr="00547BBF">
        <w:rPr>
          <w:rFonts w:ascii="Rockwell" w:hAnsi="Rockwell"/>
          <w:sz w:val="28"/>
          <w:szCs w:val="28"/>
        </w:rPr>
        <w:t>, aligned with WHO and CDC standards, covering seven core components:</w:t>
      </w:r>
    </w:p>
    <w:p w14:paraId="4C124DBA"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IPC System/Capacity Assessment Tool</w:t>
      </w:r>
      <w:r w:rsidRPr="00547BBF">
        <w:rPr>
          <w:rFonts w:ascii="Rockwell" w:hAnsi="Rockwell"/>
          <w:sz w:val="28"/>
          <w:szCs w:val="28"/>
        </w:rPr>
        <w:t xml:space="preserve"> – to evaluate organizational readiness, policy availability, and training status.</w:t>
      </w:r>
    </w:p>
    <w:p w14:paraId="753CAE6F"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Facility IPC Practice Observation Checklist</w:t>
      </w:r>
      <w:r w:rsidRPr="00547BBF">
        <w:rPr>
          <w:rFonts w:ascii="Rockwell" w:hAnsi="Rockwell"/>
          <w:sz w:val="28"/>
          <w:szCs w:val="28"/>
        </w:rPr>
        <w:t xml:space="preserve"> – to observe compliance with core IPC behaviors.</w:t>
      </w:r>
    </w:p>
    <w:p w14:paraId="33FCDEAC"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Hand Hygiene Compliance Audit Tool</w:t>
      </w:r>
      <w:r w:rsidRPr="00547BBF">
        <w:rPr>
          <w:rFonts w:ascii="Rockwell" w:hAnsi="Rockwell"/>
          <w:sz w:val="28"/>
          <w:szCs w:val="28"/>
        </w:rPr>
        <w:t xml:space="preserve"> – to measure adherence to WHO’s “Five Moments for Hand Hygiene.”</w:t>
      </w:r>
    </w:p>
    <w:p w14:paraId="06F73A30"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lastRenderedPageBreak/>
        <w:t>PPE Use Monitoring Form</w:t>
      </w:r>
      <w:r w:rsidRPr="00547BBF">
        <w:rPr>
          <w:rFonts w:ascii="Rockwell" w:hAnsi="Rockwell"/>
          <w:sz w:val="28"/>
          <w:szCs w:val="28"/>
        </w:rPr>
        <w:t xml:space="preserve"> – to assess correct and consistent usage of gloves, masks, gowns, and eye protection.</w:t>
      </w:r>
    </w:p>
    <w:p w14:paraId="558004C6" w14:textId="77777777" w:rsidR="00B43213" w:rsidRPr="00547BBF" w:rsidRDefault="00B43213" w:rsidP="00547BBF">
      <w:pPr>
        <w:numPr>
          <w:ilvl w:val="0"/>
          <w:numId w:val="8"/>
        </w:numPr>
        <w:spacing w:after="0" w:line="360" w:lineRule="auto"/>
        <w:jc w:val="both"/>
        <w:rPr>
          <w:rFonts w:ascii="Rockwell" w:hAnsi="Rockwell"/>
          <w:sz w:val="28"/>
          <w:szCs w:val="28"/>
        </w:rPr>
      </w:pPr>
      <w:r w:rsidRPr="00547BBF">
        <w:rPr>
          <w:rFonts w:ascii="Rockwell" w:hAnsi="Rockwell"/>
          <w:b/>
          <w:bCs/>
          <w:sz w:val="28"/>
          <w:szCs w:val="28"/>
        </w:rPr>
        <w:t>Biomedical Waste Segregation Monitoring Form</w:t>
      </w:r>
      <w:r w:rsidRPr="00547BBF">
        <w:rPr>
          <w:rFonts w:ascii="Rockwell" w:hAnsi="Rockwell"/>
          <w:sz w:val="28"/>
          <w:szCs w:val="28"/>
        </w:rPr>
        <w:t xml:space="preserve"> – to check segregation, labeling, and disposal of various waste streams.</w:t>
      </w:r>
    </w:p>
    <w:p w14:paraId="2B4408C2" w14:textId="77777777" w:rsidR="00B43213" w:rsidRPr="00547BBF" w:rsidRDefault="00B43213" w:rsidP="00547BBF">
      <w:pPr>
        <w:numPr>
          <w:ilvl w:val="0"/>
          <w:numId w:val="8"/>
        </w:numPr>
        <w:spacing w:line="360" w:lineRule="auto"/>
        <w:jc w:val="both"/>
        <w:rPr>
          <w:rFonts w:ascii="Rockwell" w:hAnsi="Rockwell"/>
          <w:sz w:val="28"/>
          <w:szCs w:val="28"/>
        </w:rPr>
      </w:pPr>
      <w:r w:rsidRPr="00547BBF">
        <w:rPr>
          <w:rFonts w:ascii="Rockwell" w:hAnsi="Rockwell"/>
          <w:b/>
          <w:bCs/>
          <w:sz w:val="28"/>
          <w:szCs w:val="28"/>
        </w:rPr>
        <w:t>Transmission-Based Precautions &amp; Isolation Monitoring Tool</w:t>
      </w:r>
      <w:r w:rsidRPr="00547BBF">
        <w:rPr>
          <w:rFonts w:ascii="Rockwell" w:hAnsi="Rockwell"/>
          <w:sz w:val="28"/>
          <w:szCs w:val="28"/>
        </w:rPr>
        <w:t xml:space="preserve"> – to evaluate implementation of contact, droplet, and airborne precautions.</w:t>
      </w:r>
    </w:p>
    <w:p w14:paraId="6C10B25F" w14:textId="77777777" w:rsidR="00B43213" w:rsidRPr="00547BBF" w:rsidRDefault="00B43213" w:rsidP="00547BBF">
      <w:pPr>
        <w:numPr>
          <w:ilvl w:val="0"/>
          <w:numId w:val="8"/>
        </w:numPr>
        <w:jc w:val="both"/>
        <w:rPr>
          <w:rFonts w:ascii="Rockwell" w:hAnsi="Rockwell"/>
          <w:sz w:val="28"/>
          <w:szCs w:val="28"/>
        </w:rPr>
      </w:pPr>
      <w:r w:rsidRPr="00547BBF">
        <w:rPr>
          <w:rFonts w:ascii="Rockwell" w:hAnsi="Rockwell"/>
          <w:b/>
          <w:bCs/>
          <w:sz w:val="28"/>
          <w:szCs w:val="28"/>
        </w:rPr>
        <w:t>Environmental Cleaning Monitoring Tool</w:t>
      </w:r>
      <w:r w:rsidRPr="00547BBF">
        <w:rPr>
          <w:rFonts w:ascii="Rockwell" w:hAnsi="Rockwell"/>
          <w:sz w:val="28"/>
          <w:szCs w:val="28"/>
        </w:rPr>
        <w:t xml:space="preserve"> – to assess routine cleaning practices, agent use, and equipment maintenance.</w:t>
      </w:r>
    </w:p>
    <w:p w14:paraId="76A0AD13" w14:textId="0A4350A4" w:rsidR="00B43213" w:rsidRPr="00547BBF" w:rsidRDefault="00B43213" w:rsidP="00547BBF">
      <w:pPr>
        <w:jc w:val="both"/>
        <w:rPr>
          <w:rFonts w:ascii="Rockwell" w:hAnsi="Rockwell"/>
          <w:b/>
          <w:bCs/>
          <w:sz w:val="28"/>
          <w:szCs w:val="28"/>
        </w:rPr>
      </w:pPr>
      <w:r w:rsidRPr="00547BBF">
        <w:rPr>
          <w:rFonts w:ascii="Rockwell" w:hAnsi="Rockwell"/>
          <w:b/>
          <w:bCs/>
          <w:sz w:val="28"/>
          <w:szCs w:val="28"/>
        </w:rPr>
        <w:t>3.3. Study Area</w:t>
      </w:r>
    </w:p>
    <w:p w14:paraId="0D1C9D34" w14:textId="77777777" w:rsidR="00B43213" w:rsidRPr="00547BBF" w:rsidRDefault="00B43213" w:rsidP="00547BBF">
      <w:pPr>
        <w:spacing w:line="360" w:lineRule="auto"/>
        <w:jc w:val="both"/>
        <w:rPr>
          <w:rFonts w:ascii="Rockwell" w:hAnsi="Rockwell"/>
          <w:sz w:val="28"/>
          <w:szCs w:val="28"/>
        </w:rPr>
      </w:pPr>
      <w:r w:rsidRPr="00547BBF">
        <w:rPr>
          <w:rFonts w:ascii="Rockwell" w:hAnsi="Rockwell"/>
          <w:sz w:val="28"/>
          <w:szCs w:val="28"/>
        </w:rPr>
        <w:t xml:space="preserve">The assessment was carried out in </w:t>
      </w:r>
      <w:r w:rsidRPr="00547BBF">
        <w:rPr>
          <w:rFonts w:ascii="Rockwell" w:hAnsi="Rockwell"/>
          <w:b/>
          <w:bCs/>
          <w:sz w:val="28"/>
          <w:szCs w:val="28"/>
        </w:rPr>
        <w:t>all service delivery areas</w:t>
      </w:r>
      <w:r w:rsidRPr="00547BBF">
        <w:rPr>
          <w:rFonts w:ascii="Rockwell" w:hAnsi="Rockwell"/>
          <w:sz w:val="28"/>
          <w:szCs w:val="28"/>
        </w:rPr>
        <w:t xml:space="preserve"> of Deder General Hospital, including outpatient departments (OPD), inpatient wards (pediatrics, medical, gynecology), emergency, maternity, minor procedure rooms, and waste handling units.</w:t>
      </w:r>
    </w:p>
    <w:p w14:paraId="0B41EB95" w14:textId="3391181F" w:rsidR="00B43213" w:rsidRPr="00547BBF" w:rsidRDefault="00B43213" w:rsidP="00547BBF">
      <w:pPr>
        <w:jc w:val="both"/>
        <w:rPr>
          <w:rFonts w:ascii="Rockwell" w:hAnsi="Rockwell"/>
          <w:b/>
          <w:bCs/>
          <w:sz w:val="28"/>
          <w:szCs w:val="28"/>
        </w:rPr>
      </w:pPr>
      <w:r w:rsidRPr="00547BBF">
        <w:rPr>
          <w:rFonts w:ascii="Rockwell" w:hAnsi="Rockwell"/>
          <w:b/>
          <w:bCs/>
          <w:sz w:val="28"/>
          <w:szCs w:val="28"/>
        </w:rPr>
        <w:t>3.4. Data Collection Process</w:t>
      </w:r>
    </w:p>
    <w:p w14:paraId="7AF7658D" w14:textId="3A25E69E"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Date of Assessment:</w:t>
      </w:r>
      <w:r w:rsidRPr="00547BBF">
        <w:rPr>
          <w:rFonts w:ascii="Rockwell" w:hAnsi="Rockwell"/>
          <w:sz w:val="28"/>
          <w:szCs w:val="28"/>
        </w:rPr>
        <w:t xml:space="preserve"> </w:t>
      </w:r>
      <w:r w:rsidR="008E75B0" w:rsidRPr="008E75B0">
        <w:rPr>
          <w:rFonts w:ascii="Rockwell" w:hAnsi="Rockwell"/>
          <w:b/>
          <w:bCs/>
          <w:i/>
          <w:iCs/>
          <w:sz w:val="28"/>
          <w:szCs w:val="28"/>
        </w:rPr>
        <w:t>December</w:t>
      </w:r>
      <w:r w:rsidRPr="008E75B0">
        <w:rPr>
          <w:rFonts w:ascii="Rockwell" w:hAnsi="Rockwell"/>
          <w:b/>
          <w:bCs/>
          <w:i/>
          <w:iCs/>
          <w:sz w:val="28"/>
          <w:szCs w:val="28"/>
        </w:rPr>
        <w:t xml:space="preserve"> 2</w:t>
      </w:r>
      <w:r w:rsidR="008E75B0" w:rsidRPr="008E75B0">
        <w:rPr>
          <w:rFonts w:ascii="Rockwell" w:hAnsi="Rockwell"/>
          <w:b/>
          <w:bCs/>
          <w:i/>
          <w:iCs/>
          <w:sz w:val="28"/>
          <w:szCs w:val="28"/>
        </w:rPr>
        <w:t>5</w:t>
      </w:r>
      <w:r w:rsidRPr="008E75B0">
        <w:rPr>
          <w:rFonts w:ascii="Rockwell" w:hAnsi="Rockwell"/>
          <w:b/>
          <w:bCs/>
          <w:i/>
          <w:iCs/>
          <w:sz w:val="28"/>
          <w:szCs w:val="28"/>
        </w:rPr>
        <w:t>, 2017</w:t>
      </w:r>
      <w:r w:rsidR="008E75B0" w:rsidRPr="008E75B0">
        <w:rPr>
          <w:rFonts w:ascii="Rockwell" w:hAnsi="Rockwell"/>
          <w:b/>
          <w:bCs/>
          <w:i/>
          <w:iCs/>
          <w:sz w:val="28"/>
          <w:szCs w:val="28"/>
        </w:rPr>
        <w:t>.C</w:t>
      </w:r>
    </w:p>
    <w:p w14:paraId="7FFFDBCA"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Observer:</w:t>
      </w:r>
      <w:r w:rsidRPr="00547BBF">
        <w:rPr>
          <w:rFonts w:ascii="Rockwell" w:hAnsi="Rockwell"/>
          <w:sz w:val="28"/>
          <w:szCs w:val="28"/>
        </w:rPr>
        <w:t xml:space="preserve"> Mr. Abrahim Tahir, IPC Focal Person</w:t>
      </w:r>
    </w:p>
    <w:p w14:paraId="159FC11B" w14:textId="77777777" w:rsidR="00B43213" w:rsidRPr="00547BBF" w:rsidRDefault="00B43213" w:rsidP="00547BBF">
      <w:pPr>
        <w:numPr>
          <w:ilvl w:val="0"/>
          <w:numId w:val="9"/>
        </w:numPr>
        <w:jc w:val="both"/>
        <w:rPr>
          <w:rFonts w:ascii="Rockwell" w:hAnsi="Rockwell"/>
          <w:sz w:val="28"/>
          <w:szCs w:val="28"/>
        </w:rPr>
      </w:pPr>
      <w:r w:rsidRPr="00547BBF">
        <w:rPr>
          <w:rFonts w:ascii="Rockwell" w:hAnsi="Rockwell"/>
          <w:b/>
          <w:bCs/>
          <w:sz w:val="28"/>
          <w:szCs w:val="28"/>
        </w:rPr>
        <w:t>Method:</w:t>
      </w:r>
      <w:r w:rsidRPr="00547BBF">
        <w:rPr>
          <w:rFonts w:ascii="Rockwell" w:hAnsi="Rockwell"/>
          <w:sz w:val="28"/>
          <w:szCs w:val="28"/>
        </w:rPr>
        <w:t xml:space="preserve"> Direct observation of clinical practices, infrastructure review, and staff interviews using pre-designed forms.</w:t>
      </w:r>
    </w:p>
    <w:p w14:paraId="5AAE88F2" w14:textId="0462225F" w:rsidR="00B43213" w:rsidRPr="00547BBF" w:rsidRDefault="00B43213" w:rsidP="00547BBF">
      <w:pPr>
        <w:jc w:val="both"/>
        <w:rPr>
          <w:rFonts w:ascii="Rockwell" w:hAnsi="Rockwell"/>
          <w:b/>
          <w:bCs/>
          <w:sz w:val="28"/>
          <w:szCs w:val="28"/>
        </w:rPr>
      </w:pPr>
      <w:r w:rsidRPr="00547BBF">
        <w:rPr>
          <w:rFonts w:ascii="Rockwell" w:hAnsi="Rockwell"/>
          <w:b/>
          <w:bCs/>
          <w:sz w:val="28"/>
          <w:szCs w:val="28"/>
        </w:rPr>
        <w:t>3.5. Scoring Criteria</w:t>
      </w:r>
    </w:p>
    <w:p w14:paraId="74C887B3" w14:textId="77777777" w:rsidR="00B43213" w:rsidRPr="00547BBF" w:rsidRDefault="00B43213" w:rsidP="00547BBF">
      <w:pPr>
        <w:jc w:val="both"/>
        <w:rPr>
          <w:rFonts w:ascii="Rockwell" w:hAnsi="Rockwell"/>
          <w:sz w:val="28"/>
          <w:szCs w:val="28"/>
        </w:rPr>
      </w:pPr>
      <w:r w:rsidRPr="00547BBF">
        <w:rPr>
          <w:rFonts w:ascii="Rockwell" w:hAnsi="Rockwell"/>
          <w:sz w:val="28"/>
          <w:szCs w:val="28"/>
        </w:rPr>
        <w:t>Each item was assessed and scored as:</w:t>
      </w:r>
    </w:p>
    <w:p w14:paraId="4C0ACB6C"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Yes</w:t>
      </w:r>
      <w:r w:rsidRPr="00547BBF">
        <w:rPr>
          <w:rFonts w:ascii="Rockwell" w:hAnsi="Rockwell"/>
          <w:sz w:val="28"/>
          <w:szCs w:val="28"/>
        </w:rPr>
        <w:t xml:space="preserve"> – Compliant or present</w:t>
      </w:r>
    </w:p>
    <w:p w14:paraId="552ACF91" w14:textId="77777777" w:rsidR="00B43213" w:rsidRPr="00547BBF" w:rsidRDefault="00B43213" w:rsidP="00547BBF">
      <w:pPr>
        <w:numPr>
          <w:ilvl w:val="0"/>
          <w:numId w:val="10"/>
        </w:numPr>
        <w:jc w:val="both"/>
        <w:rPr>
          <w:rFonts w:ascii="Rockwell" w:hAnsi="Rockwell"/>
          <w:sz w:val="28"/>
          <w:szCs w:val="28"/>
        </w:rPr>
      </w:pPr>
      <w:r w:rsidRPr="00547BBF">
        <w:rPr>
          <w:rFonts w:ascii="Segoe UI Emoji" w:hAnsi="Segoe UI Emoji" w:cs="Segoe UI Emoji"/>
          <w:sz w:val="28"/>
          <w:szCs w:val="28"/>
        </w:rPr>
        <w:t>❌</w:t>
      </w:r>
      <w:r w:rsidRPr="00547BBF">
        <w:rPr>
          <w:rFonts w:ascii="Rockwell" w:hAnsi="Rockwell"/>
          <w:sz w:val="28"/>
          <w:szCs w:val="28"/>
        </w:rPr>
        <w:t xml:space="preserve"> </w:t>
      </w:r>
      <w:r w:rsidRPr="00547BBF">
        <w:rPr>
          <w:rFonts w:ascii="Rockwell" w:hAnsi="Rockwell"/>
          <w:b/>
          <w:bCs/>
          <w:sz w:val="28"/>
          <w:szCs w:val="28"/>
        </w:rPr>
        <w:t>No</w:t>
      </w:r>
      <w:r w:rsidRPr="00547BBF">
        <w:rPr>
          <w:rFonts w:ascii="Rockwell" w:hAnsi="Rockwell"/>
          <w:sz w:val="28"/>
          <w:szCs w:val="28"/>
        </w:rPr>
        <w:t xml:space="preserve"> – Non-compliant or absent</w:t>
      </w:r>
    </w:p>
    <w:p w14:paraId="6669C5A4" w14:textId="77777777" w:rsidR="00B43213" w:rsidRPr="00547BBF" w:rsidRDefault="00B43213" w:rsidP="00547BBF">
      <w:pPr>
        <w:numPr>
          <w:ilvl w:val="0"/>
          <w:numId w:val="10"/>
        </w:numPr>
        <w:jc w:val="both"/>
        <w:rPr>
          <w:rFonts w:ascii="Rockwell" w:hAnsi="Rockwell"/>
          <w:sz w:val="28"/>
          <w:szCs w:val="28"/>
        </w:rPr>
      </w:pPr>
      <w:r w:rsidRPr="00547BBF">
        <w:rPr>
          <w:rFonts w:ascii="Rockwell" w:hAnsi="Rockwell"/>
          <w:b/>
          <w:bCs/>
          <w:sz w:val="28"/>
          <w:szCs w:val="28"/>
        </w:rPr>
        <w:t>Not Applicable (NA)</w:t>
      </w:r>
      <w:r w:rsidRPr="00547BBF">
        <w:rPr>
          <w:rFonts w:ascii="Rockwell" w:hAnsi="Rockwell"/>
          <w:sz w:val="28"/>
          <w:szCs w:val="28"/>
        </w:rPr>
        <w:t xml:space="preserve"> – When an item did not apply to the area or service assessed</w:t>
      </w:r>
    </w:p>
    <w:p w14:paraId="599F8C1B" w14:textId="77777777" w:rsidR="00547BBF" w:rsidRDefault="00B43213" w:rsidP="00547BBF">
      <w:pPr>
        <w:spacing w:after="0" w:line="360" w:lineRule="auto"/>
        <w:jc w:val="both"/>
        <w:rPr>
          <w:rFonts w:ascii="Rockwell" w:hAnsi="Rockwell"/>
          <w:sz w:val="28"/>
          <w:szCs w:val="28"/>
        </w:rPr>
      </w:pPr>
      <w:r w:rsidRPr="00547BBF">
        <w:rPr>
          <w:rFonts w:ascii="Rockwell" w:hAnsi="Rockwell"/>
          <w:sz w:val="28"/>
          <w:szCs w:val="28"/>
        </w:rPr>
        <w:t>Results were quantified into total “Yes” and “No” counts per component and summarized as percentages to evaluate overall compliance.</w:t>
      </w:r>
    </w:p>
    <w:p w14:paraId="49756C1C" w14:textId="3FC73DED" w:rsidR="00B43213" w:rsidRPr="00547BBF" w:rsidRDefault="00B43213" w:rsidP="00547BBF">
      <w:pPr>
        <w:spacing w:before="240" w:after="0" w:line="360" w:lineRule="auto"/>
        <w:jc w:val="both"/>
        <w:rPr>
          <w:rFonts w:ascii="Rockwell" w:hAnsi="Rockwell"/>
          <w:sz w:val="32"/>
          <w:szCs w:val="32"/>
        </w:rPr>
      </w:pPr>
      <w:r w:rsidRPr="00547BBF">
        <w:rPr>
          <w:rFonts w:ascii="Rockwell" w:hAnsi="Rockwell"/>
          <w:b/>
          <w:bCs/>
          <w:sz w:val="28"/>
          <w:szCs w:val="28"/>
        </w:rPr>
        <w:lastRenderedPageBreak/>
        <w:t>3.6. Quality Assurance</w:t>
      </w:r>
    </w:p>
    <w:p w14:paraId="38C15C3D"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Data collection tools were standardized and pre-tested in similar health facility settings.</w:t>
      </w:r>
    </w:p>
    <w:p w14:paraId="6CFC5BD6" w14:textId="77777777" w:rsidR="00B43213" w:rsidRPr="00547BBF" w:rsidRDefault="00B43213" w:rsidP="00547BBF">
      <w:pPr>
        <w:numPr>
          <w:ilvl w:val="0"/>
          <w:numId w:val="11"/>
        </w:numPr>
        <w:spacing w:after="0" w:line="360" w:lineRule="auto"/>
        <w:jc w:val="both"/>
        <w:rPr>
          <w:rFonts w:ascii="Rockwell" w:hAnsi="Rockwell"/>
          <w:sz w:val="28"/>
          <w:szCs w:val="28"/>
        </w:rPr>
      </w:pPr>
      <w:r w:rsidRPr="00547BBF">
        <w:rPr>
          <w:rFonts w:ascii="Rockwell" w:hAnsi="Rockwell"/>
          <w:sz w:val="28"/>
          <w:szCs w:val="28"/>
        </w:rPr>
        <w:t>The observer was trained on objective scoring and adherence to ethical assessment protocols.</w:t>
      </w:r>
    </w:p>
    <w:p w14:paraId="285C0C1E" w14:textId="77777777" w:rsidR="00B43213" w:rsidRPr="00547BBF" w:rsidRDefault="00B43213" w:rsidP="00547BBF">
      <w:pPr>
        <w:numPr>
          <w:ilvl w:val="0"/>
          <w:numId w:val="11"/>
        </w:numPr>
        <w:spacing w:line="360" w:lineRule="auto"/>
        <w:jc w:val="both"/>
        <w:rPr>
          <w:rFonts w:ascii="Rockwell" w:hAnsi="Rockwell"/>
          <w:sz w:val="28"/>
          <w:szCs w:val="28"/>
        </w:rPr>
      </w:pPr>
      <w:r w:rsidRPr="00547BBF">
        <w:rPr>
          <w:rFonts w:ascii="Rockwell" w:hAnsi="Rockwell"/>
          <w:sz w:val="28"/>
          <w:szCs w:val="28"/>
        </w:rPr>
        <w:t>Findings were validated through cross-checking with available hospital records and direct staff verification where necessary.</w:t>
      </w:r>
    </w:p>
    <w:p w14:paraId="1896F727" w14:textId="77777777" w:rsidR="00B43213" w:rsidRPr="00547BBF" w:rsidRDefault="00B43213" w:rsidP="00547BBF">
      <w:pPr>
        <w:spacing w:line="360" w:lineRule="auto"/>
        <w:jc w:val="both"/>
        <w:rPr>
          <w:rFonts w:ascii="Rockwell" w:hAnsi="Rockwell"/>
          <w:b/>
          <w:bCs/>
          <w:sz w:val="28"/>
          <w:szCs w:val="28"/>
        </w:rPr>
      </w:pPr>
      <w:r w:rsidRPr="00547BBF">
        <w:rPr>
          <w:rFonts w:ascii="Rockwell" w:hAnsi="Rockwell"/>
          <w:b/>
          <w:bCs/>
          <w:sz w:val="28"/>
          <w:szCs w:val="28"/>
        </w:rPr>
        <w:t>3.7. Data Analysis</w:t>
      </w:r>
    </w:p>
    <w:p w14:paraId="729441D8" w14:textId="77777777" w:rsidR="00B43213" w:rsidRPr="00547BBF" w:rsidRDefault="00B43213" w:rsidP="00547BBF">
      <w:pPr>
        <w:spacing w:line="360" w:lineRule="auto"/>
        <w:jc w:val="both"/>
        <w:rPr>
          <w:rFonts w:ascii="Rockwell" w:hAnsi="Rockwell"/>
          <w:sz w:val="32"/>
          <w:szCs w:val="32"/>
        </w:rPr>
      </w:pPr>
      <w:r w:rsidRPr="00547BBF">
        <w:rPr>
          <w:rFonts w:ascii="Rockwell" w:hAnsi="Rockwell"/>
          <w:sz w:val="32"/>
          <w:szCs w:val="32"/>
        </w:rPr>
        <w:t>Data were compiled manually and summarized into:</w:t>
      </w:r>
    </w:p>
    <w:p w14:paraId="3CAF01E4" w14:textId="77777777" w:rsidR="00B43213" w:rsidRPr="00547BBF" w:rsidRDefault="00B43213" w:rsidP="00547BBF">
      <w:pPr>
        <w:pStyle w:val="ListParagraph"/>
        <w:numPr>
          <w:ilvl w:val="0"/>
          <w:numId w:val="16"/>
        </w:numPr>
        <w:spacing w:after="0" w:line="360" w:lineRule="auto"/>
        <w:jc w:val="both"/>
        <w:rPr>
          <w:rFonts w:ascii="Rockwell" w:hAnsi="Rockwell"/>
          <w:sz w:val="32"/>
          <w:szCs w:val="32"/>
        </w:rPr>
      </w:pPr>
      <w:r w:rsidRPr="00547BBF">
        <w:rPr>
          <w:rFonts w:ascii="Rockwell" w:hAnsi="Rockwell"/>
          <w:sz w:val="32"/>
          <w:szCs w:val="32"/>
        </w:rPr>
        <w:t>Component-wise performance</w:t>
      </w:r>
    </w:p>
    <w:p w14:paraId="20E85C93" w14:textId="77777777" w:rsidR="00B43213" w:rsidRPr="00547BBF" w:rsidRDefault="00B43213" w:rsidP="00547BBF">
      <w:pPr>
        <w:numPr>
          <w:ilvl w:val="0"/>
          <w:numId w:val="16"/>
        </w:numPr>
        <w:spacing w:after="0" w:line="360" w:lineRule="auto"/>
        <w:jc w:val="both"/>
        <w:rPr>
          <w:rFonts w:ascii="Rockwell" w:hAnsi="Rockwell"/>
          <w:sz w:val="32"/>
          <w:szCs w:val="32"/>
        </w:rPr>
      </w:pPr>
      <w:r w:rsidRPr="00547BBF">
        <w:rPr>
          <w:rFonts w:ascii="Rockwell" w:hAnsi="Rockwell"/>
          <w:sz w:val="32"/>
          <w:szCs w:val="32"/>
        </w:rPr>
        <w:t>Total compliance rates (Yes/No counts)</w:t>
      </w:r>
    </w:p>
    <w:p w14:paraId="0D343797" w14:textId="77777777" w:rsidR="00B43213" w:rsidRDefault="00B43213" w:rsidP="00547BBF">
      <w:pPr>
        <w:numPr>
          <w:ilvl w:val="0"/>
          <w:numId w:val="16"/>
        </w:numPr>
        <w:spacing w:after="0" w:line="360" w:lineRule="auto"/>
        <w:jc w:val="both"/>
        <w:rPr>
          <w:rFonts w:ascii="Rockwell" w:hAnsi="Rockwell"/>
          <w:sz w:val="28"/>
          <w:szCs w:val="28"/>
        </w:rPr>
      </w:pPr>
      <w:r w:rsidRPr="00547BBF">
        <w:rPr>
          <w:rFonts w:ascii="Rockwell" w:hAnsi="Rockwell"/>
          <w:sz w:val="32"/>
          <w:szCs w:val="32"/>
        </w:rPr>
        <w:t>Percentages for comparative performance analysis</w:t>
      </w:r>
      <w:r w:rsidRPr="00547BBF">
        <w:rPr>
          <w:rFonts w:ascii="Rockwell" w:hAnsi="Rockwell"/>
          <w:sz w:val="32"/>
          <w:szCs w:val="32"/>
        </w:rPr>
        <w:br/>
        <w:t xml:space="preserve">These were used to identify high- and </w:t>
      </w:r>
      <w:r w:rsidRPr="00547BBF">
        <w:rPr>
          <w:rFonts w:ascii="Rockwell" w:hAnsi="Rockwell"/>
          <w:sz w:val="28"/>
          <w:szCs w:val="28"/>
        </w:rPr>
        <w:t>low-performing areas and guide the recommendation and action plan.</w:t>
      </w:r>
    </w:p>
    <w:p w14:paraId="3FA069BF" w14:textId="77777777" w:rsidR="00547BBF" w:rsidRDefault="00547BBF" w:rsidP="00547BBF">
      <w:pPr>
        <w:spacing w:after="0" w:line="360" w:lineRule="auto"/>
        <w:jc w:val="both"/>
        <w:rPr>
          <w:rFonts w:ascii="Rockwell" w:hAnsi="Rockwell"/>
          <w:sz w:val="28"/>
          <w:szCs w:val="28"/>
        </w:rPr>
      </w:pPr>
    </w:p>
    <w:p w14:paraId="1B2A398B" w14:textId="77777777" w:rsidR="00547BBF" w:rsidRDefault="00547BBF" w:rsidP="00547BBF">
      <w:pPr>
        <w:spacing w:after="0" w:line="360" w:lineRule="auto"/>
        <w:jc w:val="both"/>
        <w:rPr>
          <w:rFonts w:ascii="Rockwell" w:hAnsi="Rockwell"/>
          <w:sz w:val="28"/>
          <w:szCs w:val="28"/>
        </w:rPr>
      </w:pPr>
    </w:p>
    <w:p w14:paraId="4D928C75" w14:textId="77777777" w:rsidR="00547BBF" w:rsidRDefault="00547BBF" w:rsidP="00547BBF">
      <w:pPr>
        <w:spacing w:after="0" w:line="360" w:lineRule="auto"/>
        <w:jc w:val="both"/>
        <w:rPr>
          <w:rFonts w:ascii="Rockwell" w:hAnsi="Rockwell"/>
          <w:sz w:val="28"/>
          <w:szCs w:val="28"/>
        </w:rPr>
      </w:pPr>
    </w:p>
    <w:p w14:paraId="79CD7477" w14:textId="77777777" w:rsidR="00547BBF" w:rsidRDefault="00547BBF" w:rsidP="00547BBF">
      <w:pPr>
        <w:spacing w:after="0" w:line="360" w:lineRule="auto"/>
        <w:jc w:val="both"/>
        <w:rPr>
          <w:rFonts w:ascii="Rockwell" w:hAnsi="Rockwell"/>
          <w:sz w:val="28"/>
          <w:szCs w:val="28"/>
        </w:rPr>
      </w:pPr>
    </w:p>
    <w:p w14:paraId="3A76D71E" w14:textId="77777777" w:rsidR="00775419" w:rsidRDefault="00775419" w:rsidP="00547BBF">
      <w:pPr>
        <w:spacing w:after="0" w:line="360" w:lineRule="auto"/>
        <w:jc w:val="both"/>
        <w:rPr>
          <w:rFonts w:ascii="Rockwell" w:hAnsi="Rockwell"/>
          <w:sz w:val="28"/>
          <w:szCs w:val="28"/>
        </w:rPr>
      </w:pPr>
    </w:p>
    <w:p w14:paraId="0D17B34C" w14:textId="77777777" w:rsidR="00775419" w:rsidRDefault="00775419" w:rsidP="00547BBF">
      <w:pPr>
        <w:spacing w:after="0" w:line="360" w:lineRule="auto"/>
        <w:jc w:val="both"/>
        <w:rPr>
          <w:rFonts w:ascii="Rockwell" w:hAnsi="Rockwell"/>
          <w:sz w:val="28"/>
          <w:szCs w:val="28"/>
        </w:rPr>
      </w:pPr>
    </w:p>
    <w:p w14:paraId="18BAEDFC" w14:textId="77777777" w:rsidR="00775419" w:rsidRDefault="00775419" w:rsidP="00547BBF">
      <w:pPr>
        <w:spacing w:after="0" w:line="360" w:lineRule="auto"/>
        <w:jc w:val="both"/>
        <w:rPr>
          <w:rFonts w:ascii="Rockwell" w:hAnsi="Rockwell"/>
          <w:sz w:val="28"/>
          <w:szCs w:val="28"/>
        </w:rPr>
      </w:pPr>
    </w:p>
    <w:p w14:paraId="60A0F8AF" w14:textId="401C65CF" w:rsidR="008E75B0" w:rsidRDefault="008E75B0" w:rsidP="00547BBF">
      <w:pPr>
        <w:spacing w:after="0" w:line="360" w:lineRule="auto"/>
        <w:jc w:val="both"/>
        <w:rPr>
          <w:rFonts w:ascii="Rockwell" w:hAnsi="Rockwell"/>
          <w:sz w:val="28"/>
          <w:szCs w:val="28"/>
        </w:rPr>
      </w:pPr>
    </w:p>
    <w:p w14:paraId="1C7A89E6" w14:textId="45DB0AC7" w:rsidR="003A1BD5" w:rsidRDefault="008E75B0">
      <w:pPr>
        <w:rPr>
          <w:rFonts w:ascii="Rockwell" w:hAnsi="Rockwell"/>
          <w:sz w:val="28"/>
          <w:szCs w:val="28"/>
        </w:rPr>
      </w:pPr>
      <w:r>
        <w:rPr>
          <w:rFonts w:ascii="Rockwell" w:hAnsi="Rockwell"/>
          <w:sz w:val="28"/>
          <w:szCs w:val="28"/>
        </w:rPr>
        <w:br w:type="page"/>
      </w:r>
    </w:p>
    <w:p w14:paraId="5CDD60E3" w14:textId="606C8370" w:rsidR="003A1BD5" w:rsidRPr="003A1BD5" w:rsidRDefault="003A1BD5" w:rsidP="003A1BD5">
      <w:pPr>
        <w:pStyle w:val="Heading1"/>
        <w:spacing w:line="360" w:lineRule="auto"/>
        <w:rPr>
          <w:rFonts w:ascii="Rockwell" w:hAnsi="Rockwell"/>
          <w:b/>
          <w:bCs/>
          <w:sz w:val="32"/>
          <w:szCs w:val="32"/>
        </w:rPr>
      </w:pPr>
      <w:bookmarkStart w:id="5" w:name="_Toc204469333"/>
      <w:r w:rsidRPr="00211602">
        <w:rPr>
          <w:rFonts w:ascii="Rockwell" w:hAnsi="Rockwell"/>
          <w:b/>
          <w:bCs/>
          <w:sz w:val="32"/>
          <w:szCs w:val="32"/>
        </w:rPr>
        <w:lastRenderedPageBreak/>
        <w:t>4.  Results</w:t>
      </w:r>
      <w:bookmarkEnd w:id="5"/>
    </w:p>
    <w:p w14:paraId="5ABA381A" w14:textId="2E8FC74B" w:rsidR="003A1BD5" w:rsidRPr="003A1BD5" w:rsidRDefault="003A1BD5" w:rsidP="003A1BD5">
      <w:pPr>
        <w:spacing w:line="360" w:lineRule="auto"/>
        <w:jc w:val="both"/>
        <w:rPr>
          <w:rFonts w:ascii="Rockwell" w:hAnsi="Rockwell"/>
          <w:sz w:val="28"/>
          <w:szCs w:val="28"/>
        </w:rPr>
      </w:pPr>
      <w:r w:rsidRPr="003A1BD5">
        <w:rPr>
          <w:rFonts w:ascii="Rockwell" w:hAnsi="Rockwell"/>
          <w:b/>
          <w:bCs/>
          <w:sz w:val="28"/>
          <w:szCs w:val="28"/>
        </w:rPr>
        <w:t>Overall Compliance:</w:t>
      </w:r>
      <w:r w:rsidRPr="003A1BD5">
        <w:rPr>
          <w:rFonts w:ascii="Rockwell" w:hAnsi="Rockwell"/>
          <w:sz w:val="28"/>
          <w:szCs w:val="28"/>
        </w:rPr>
        <w:t> The hospital-wide assessment achieved an </w:t>
      </w:r>
      <w:r w:rsidRPr="003A1BD5">
        <w:rPr>
          <w:rFonts w:ascii="Rockwell" w:hAnsi="Rockwell"/>
          <w:b/>
          <w:bCs/>
          <w:sz w:val="28"/>
          <w:szCs w:val="28"/>
        </w:rPr>
        <w:t>81% overall compliance rate</w:t>
      </w:r>
      <w:r w:rsidRPr="003A1BD5">
        <w:rPr>
          <w:rFonts w:ascii="Rockwell" w:hAnsi="Rockwell"/>
          <w:sz w:val="28"/>
          <w:szCs w:val="28"/>
        </w:rPr>
        <w:t> with IPC standards (46 compliant items out of 57 assessed). Compliance varied across the seven core components, ranging from a high of 92% in IPC System/Capacity to a low of 73% in IPC Practice Observation. Key strengths included IPC governance (92%), adherence to Transmission-Based Precautions (81%), and Hand Hygiene (80%). However, 11 critical gaps were identified, indicating areas requiring urgent intervention.</w:t>
      </w:r>
    </w:p>
    <w:p w14:paraId="24A255C9" w14:textId="36944B8F" w:rsidR="003A1BD5" w:rsidRPr="00D90EA5" w:rsidRDefault="003A1BD5" w:rsidP="00D90EA5">
      <w:pPr>
        <w:pStyle w:val="NoSpacing"/>
        <w:spacing w:after="240" w:line="360" w:lineRule="auto"/>
        <w:jc w:val="both"/>
        <w:rPr>
          <w:rFonts w:ascii="Rockwell" w:hAnsi="Rockwell"/>
          <w:sz w:val="28"/>
          <w:szCs w:val="28"/>
        </w:rPr>
      </w:pPr>
      <w:bookmarkStart w:id="6" w:name="_Toc204469379"/>
      <w:r w:rsidRPr="00D90EA5">
        <w:rPr>
          <w:rFonts w:ascii="Rockwell" w:hAnsi="Rockwell"/>
          <w:sz w:val="28"/>
          <w:szCs w:val="28"/>
        </w:rPr>
        <w:t>The IPC System/Capacity component demonstrated robust compliance (92%), reflecting effective organizational structures, policy availability, and staff training. Transmission-Based Precautions (81%), Hand Hygiene (80%), and Environmental Cleaning (80%) also showed solid adherence. Waste Segregation and PPE Use both achieved 75% compliance, suggesting foundational processes were largely in place but required refinement for consistency</w:t>
      </w:r>
      <w:r w:rsidR="0066617F" w:rsidRPr="00D90EA5">
        <w:rPr>
          <w:rFonts w:ascii="Rockwell" w:hAnsi="Rockwell"/>
          <w:sz w:val="28"/>
          <w:szCs w:val="28"/>
        </w:rPr>
        <w:t xml:space="preserve"> </w:t>
      </w:r>
      <w:r w:rsidR="0066617F" w:rsidRPr="00D90EA5">
        <w:rPr>
          <w:rFonts w:ascii="Rockwell" w:hAnsi="Rockwell"/>
          <w:sz w:val="28"/>
          <w:szCs w:val="28"/>
        </w:rPr>
        <w:t>(</w:t>
      </w:r>
      <w:r w:rsidR="0066617F" w:rsidRPr="00D90EA5">
        <w:rPr>
          <w:rFonts w:ascii="Rockwell" w:hAnsi="Rockwell"/>
          <w:b/>
          <w:bCs/>
          <w:sz w:val="28"/>
          <w:szCs w:val="28"/>
        </w:rPr>
        <w:t xml:space="preserve">Table </w:t>
      </w:r>
      <w:r w:rsidR="0066617F" w:rsidRPr="00D90EA5">
        <w:rPr>
          <w:rFonts w:ascii="Rockwell" w:hAnsi="Rockwell"/>
          <w:b/>
          <w:bCs/>
          <w:sz w:val="28"/>
          <w:szCs w:val="28"/>
        </w:rPr>
        <w:fldChar w:fldCharType="begin"/>
      </w:r>
      <w:r w:rsidR="0066617F" w:rsidRPr="00D90EA5">
        <w:rPr>
          <w:rFonts w:ascii="Rockwell" w:hAnsi="Rockwell"/>
          <w:b/>
          <w:bCs/>
          <w:sz w:val="28"/>
          <w:szCs w:val="28"/>
        </w:rPr>
        <w:instrText xml:space="preserve"> SEQ Table \* ARABIC </w:instrText>
      </w:r>
      <w:r w:rsidR="0066617F" w:rsidRPr="00D90EA5">
        <w:rPr>
          <w:rFonts w:ascii="Rockwell" w:hAnsi="Rockwell"/>
          <w:b/>
          <w:bCs/>
          <w:sz w:val="28"/>
          <w:szCs w:val="28"/>
        </w:rPr>
        <w:fldChar w:fldCharType="separate"/>
      </w:r>
      <w:r w:rsidR="0066617F" w:rsidRPr="00D90EA5">
        <w:rPr>
          <w:rFonts w:ascii="Rockwell" w:hAnsi="Rockwell"/>
          <w:b/>
          <w:bCs/>
          <w:noProof/>
          <w:sz w:val="28"/>
          <w:szCs w:val="28"/>
        </w:rPr>
        <w:t>1</w:t>
      </w:r>
      <w:r w:rsidR="0066617F" w:rsidRPr="00D90EA5">
        <w:rPr>
          <w:rFonts w:ascii="Rockwell" w:hAnsi="Rockwell"/>
          <w:b/>
          <w:bCs/>
          <w:sz w:val="28"/>
          <w:szCs w:val="28"/>
        </w:rPr>
        <w:fldChar w:fldCharType="end"/>
      </w:r>
      <w:r w:rsidR="0066617F" w:rsidRPr="00D90EA5">
        <w:rPr>
          <w:rFonts w:ascii="Rockwell" w:hAnsi="Rockwell"/>
          <w:b/>
          <w:bCs/>
          <w:sz w:val="28"/>
          <w:szCs w:val="28"/>
        </w:rPr>
        <w:t>)</w:t>
      </w:r>
      <w:r w:rsidR="0066617F" w:rsidRPr="00D90EA5">
        <w:rPr>
          <w:rFonts w:ascii="Rockwell" w:hAnsi="Rockwell"/>
          <w:sz w:val="28"/>
          <w:szCs w:val="28"/>
        </w:rPr>
        <w:t>.</w:t>
      </w:r>
      <w:bookmarkEnd w:id="6"/>
    </w:p>
    <w:p w14:paraId="6E7F2162" w14:textId="3C182D55" w:rsidR="003A1BD5" w:rsidRPr="003A1BD5" w:rsidRDefault="003A1BD5" w:rsidP="003A1BD5">
      <w:pPr>
        <w:spacing w:after="0" w:line="360" w:lineRule="auto"/>
        <w:jc w:val="both"/>
        <w:rPr>
          <w:rFonts w:ascii="Rockwell" w:hAnsi="Rockwell"/>
          <w:sz w:val="28"/>
          <w:szCs w:val="28"/>
        </w:rPr>
      </w:pPr>
      <w:bookmarkStart w:id="7" w:name="_Toc204469380"/>
      <w:r w:rsidRPr="003A1BD5">
        <w:rPr>
          <w:rFonts w:ascii="Rockwell" w:hAnsi="Rockwell"/>
          <w:sz w:val="28"/>
          <w:szCs w:val="28"/>
        </w:rPr>
        <w:t>The most significant gap was observed in </w:t>
      </w:r>
      <w:r w:rsidRPr="003A1BD5">
        <w:rPr>
          <w:rFonts w:ascii="Rockwell" w:hAnsi="Rockwell"/>
          <w:b/>
          <w:bCs/>
          <w:sz w:val="28"/>
          <w:szCs w:val="28"/>
        </w:rPr>
        <w:t>IPC Practice Observation (73%)</w:t>
      </w:r>
      <w:r w:rsidRPr="003A1BD5">
        <w:rPr>
          <w:rFonts w:ascii="Rockwell" w:hAnsi="Rockwell"/>
          <w:sz w:val="28"/>
          <w:szCs w:val="28"/>
        </w:rPr>
        <w:t>, highlighting inconsistent application of core IPC behaviors in clinical settings. Specific deficiencies included: absence of alcohol hand rubs at points of care, improper PPE (especially gown) usage in OPD/Gynecology, overfilled sharps containers in high-traffic areas, lack of chemical waste bins, inadequate signage/controls for isolation protocols, and insufficient waste bin disinfection/maintenance in surgical units. These findings directly informed the subsequent recommendations and action plan</w:t>
      </w:r>
      <w:r w:rsidR="0066617F">
        <w:rPr>
          <w:rFonts w:ascii="Rockwell" w:hAnsi="Rockwell"/>
          <w:sz w:val="28"/>
          <w:szCs w:val="28"/>
        </w:rPr>
        <w:t xml:space="preserve"> (</w:t>
      </w:r>
      <w:r w:rsidR="0066617F" w:rsidRPr="00775419">
        <w:rPr>
          <w:rFonts w:ascii="Rockwell" w:hAnsi="Rockwell"/>
          <w:b/>
          <w:bCs/>
          <w:sz w:val="24"/>
          <w:szCs w:val="24"/>
        </w:rPr>
        <w:t xml:space="preserve">Table </w:t>
      </w:r>
      <w:r w:rsidR="0066617F" w:rsidRPr="00775419">
        <w:rPr>
          <w:rFonts w:ascii="Rockwell" w:hAnsi="Rockwell"/>
          <w:b/>
          <w:bCs/>
          <w:sz w:val="24"/>
          <w:szCs w:val="24"/>
        </w:rPr>
        <w:fldChar w:fldCharType="begin"/>
      </w:r>
      <w:r w:rsidR="0066617F" w:rsidRPr="00775419">
        <w:rPr>
          <w:rFonts w:ascii="Rockwell" w:hAnsi="Rockwell"/>
          <w:b/>
          <w:bCs/>
          <w:sz w:val="24"/>
          <w:szCs w:val="24"/>
        </w:rPr>
        <w:instrText xml:space="preserve"> SEQ Table \* ARABIC </w:instrText>
      </w:r>
      <w:r w:rsidR="0066617F" w:rsidRPr="00775419">
        <w:rPr>
          <w:rFonts w:ascii="Rockwell" w:hAnsi="Rockwell"/>
          <w:b/>
          <w:bCs/>
          <w:sz w:val="24"/>
          <w:szCs w:val="24"/>
        </w:rPr>
        <w:fldChar w:fldCharType="separate"/>
      </w:r>
      <w:r w:rsidR="0066617F" w:rsidRPr="00775419">
        <w:rPr>
          <w:rFonts w:ascii="Rockwell" w:hAnsi="Rockwell"/>
          <w:b/>
          <w:bCs/>
          <w:noProof/>
          <w:sz w:val="24"/>
          <w:szCs w:val="24"/>
        </w:rPr>
        <w:t>1</w:t>
      </w:r>
      <w:r w:rsidR="0066617F" w:rsidRPr="00775419">
        <w:rPr>
          <w:rFonts w:ascii="Rockwell" w:hAnsi="Rockwell"/>
          <w:b/>
          <w:bCs/>
          <w:sz w:val="24"/>
          <w:szCs w:val="24"/>
        </w:rPr>
        <w:fldChar w:fldCharType="end"/>
      </w:r>
      <w:r w:rsidR="0066617F">
        <w:rPr>
          <w:rFonts w:ascii="Rockwell" w:hAnsi="Rockwell"/>
          <w:b/>
          <w:bCs/>
          <w:sz w:val="24"/>
          <w:szCs w:val="24"/>
        </w:rPr>
        <w:t>)</w:t>
      </w:r>
      <w:r w:rsidRPr="003A1BD5">
        <w:rPr>
          <w:rFonts w:ascii="Rockwell" w:hAnsi="Rockwell"/>
          <w:sz w:val="28"/>
          <w:szCs w:val="28"/>
        </w:rPr>
        <w:t>.</w:t>
      </w:r>
      <w:bookmarkEnd w:id="7"/>
    </w:p>
    <w:p w14:paraId="7F395865" w14:textId="77777777" w:rsidR="003A1BD5" w:rsidRDefault="003A1BD5">
      <w:pPr>
        <w:rPr>
          <w:rFonts w:ascii="Rockwell" w:hAnsi="Rockwell"/>
          <w:sz w:val="28"/>
          <w:szCs w:val="28"/>
        </w:rPr>
      </w:pPr>
      <w:r>
        <w:rPr>
          <w:rFonts w:ascii="Rockwell" w:hAnsi="Rockwell"/>
          <w:sz w:val="28"/>
          <w:szCs w:val="28"/>
        </w:rPr>
        <w:br w:type="page"/>
      </w:r>
    </w:p>
    <w:p w14:paraId="4A5944BB" w14:textId="24FE9431" w:rsidR="008E75B0" w:rsidRPr="0066617F" w:rsidRDefault="003A1BD5" w:rsidP="0066617F">
      <w:pPr>
        <w:pStyle w:val="Caption"/>
        <w:rPr>
          <w:rFonts w:ascii="Rockwell" w:hAnsi="Rockwell"/>
          <w:sz w:val="28"/>
          <w:szCs w:val="28"/>
        </w:rPr>
      </w:pPr>
      <w:bookmarkStart w:id="8" w:name="_Toc204469339"/>
      <w:r w:rsidRPr="0066617F">
        <w:rPr>
          <w:rFonts w:ascii="Rockwell" w:hAnsi="Rockwell"/>
          <w:b/>
          <w:bCs/>
          <w:noProof/>
          <w:color w:val="FFFFFF" w:themeColor="background1"/>
          <w:sz w:val="28"/>
          <w:szCs w:val="28"/>
        </w:rPr>
        <w:lastRenderedPageBreak/>
        <w:drawing>
          <wp:anchor distT="0" distB="0" distL="114300" distR="114300" simplePos="0" relativeHeight="251661312" behindDoc="1" locked="0" layoutInCell="1" allowOverlap="1" wp14:anchorId="603EF84A" wp14:editId="15B5FAA0">
            <wp:simplePos x="0" y="0"/>
            <wp:positionH relativeFrom="margin">
              <wp:posOffset>38100</wp:posOffset>
            </wp:positionH>
            <wp:positionV relativeFrom="page">
              <wp:posOffset>920750</wp:posOffset>
            </wp:positionV>
            <wp:extent cx="6940550" cy="3663950"/>
            <wp:effectExtent l="0" t="0" r="12700" b="12700"/>
            <wp:wrapTight wrapText="bothSides">
              <wp:wrapPolygon edited="0">
                <wp:start x="0" y="0"/>
                <wp:lineTo x="0" y="21563"/>
                <wp:lineTo x="21580" y="21563"/>
                <wp:lineTo x="21580" y="0"/>
                <wp:lineTo x="0" y="0"/>
              </wp:wrapPolygon>
            </wp:wrapTight>
            <wp:docPr id="196834393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bookmarkStart w:id="9" w:name="_Toc204391571"/>
      <w:r w:rsidR="0066617F" w:rsidRPr="0066617F">
        <w:rPr>
          <w:rFonts w:ascii="Rockwell" w:hAnsi="Rockwell"/>
          <w:b/>
          <w:bCs/>
          <w:sz w:val="28"/>
          <w:szCs w:val="28"/>
        </w:rPr>
        <w:t xml:space="preserve">Figure </w:t>
      </w:r>
      <w:r w:rsidR="0066617F" w:rsidRPr="0066617F">
        <w:rPr>
          <w:rFonts w:ascii="Rockwell" w:hAnsi="Rockwell"/>
          <w:b/>
          <w:bCs/>
          <w:sz w:val="28"/>
          <w:szCs w:val="28"/>
        </w:rPr>
        <w:fldChar w:fldCharType="begin"/>
      </w:r>
      <w:r w:rsidR="0066617F" w:rsidRPr="0066617F">
        <w:rPr>
          <w:rFonts w:ascii="Rockwell" w:hAnsi="Rockwell"/>
          <w:b/>
          <w:bCs/>
          <w:sz w:val="28"/>
          <w:szCs w:val="28"/>
        </w:rPr>
        <w:instrText xml:space="preserve"> SEQ Figure \* ARABIC </w:instrText>
      </w:r>
      <w:r w:rsidR="0066617F" w:rsidRPr="0066617F">
        <w:rPr>
          <w:rFonts w:ascii="Rockwell" w:hAnsi="Rockwell"/>
          <w:b/>
          <w:bCs/>
          <w:sz w:val="28"/>
          <w:szCs w:val="28"/>
        </w:rPr>
        <w:fldChar w:fldCharType="separate"/>
      </w:r>
      <w:r w:rsidR="0066617F" w:rsidRPr="0066617F">
        <w:rPr>
          <w:rFonts w:ascii="Rockwell" w:hAnsi="Rockwell"/>
          <w:b/>
          <w:bCs/>
          <w:noProof/>
          <w:sz w:val="28"/>
          <w:szCs w:val="28"/>
        </w:rPr>
        <w:t>1</w:t>
      </w:r>
      <w:r w:rsidR="0066617F" w:rsidRPr="0066617F">
        <w:rPr>
          <w:rFonts w:ascii="Rockwell" w:hAnsi="Rockwell"/>
          <w:b/>
          <w:bCs/>
          <w:sz w:val="28"/>
          <w:szCs w:val="28"/>
        </w:rPr>
        <w:fldChar w:fldCharType="end"/>
      </w:r>
      <w:r w:rsidR="00775419" w:rsidRPr="0066617F">
        <w:rPr>
          <w:rFonts w:ascii="Rockwell" w:hAnsi="Rockwell"/>
          <w:b/>
          <w:bCs/>
          <w:color w:val="auto"/>
          <w:sz w:val="28"/>
          <w:szCs w:val="28"/>
        </w:rPr>
        <w:t>:</w:t>
      </w:r>
      <w:r w:rsidR="00775419" w:rsidRPr="0066617F">
        <w:rPr>
          <w:rFonts w:ascii="Rockwell" w:hAnsi="Rockwell"/>
          <w:color w:val="auto"/>
          <w:sz w:val="28"/>
          <w:szCs w:val="28"/>
        </w:rPr>
        <w:t xml:space="preserve"> </w:t>
      </w:r>
      <w:bookmarkStart w:id="10" w:name="_Hlk204364909"/>
      <w:bookmarkStart w:id="11" w:name="_Hlk204365444"/>
      <w:r w:rsidR="00775419" w:rsidRPr="0066617F">
        <w:rPr>
          <w:rFonts w:ascii="Rockwell" w:hAnsi="Rockwell"/>
          <w:color w:val="auto"/>
          <w:sz w:val="28"/>
          <w:szCs w:val="28"/>
        </w:rPr>
        <w:t>Deder General Hospital Overall IPC compliance</w:t>
      </w:r>
      <w:bookmarkEnd w:id="10"/>
      <w:r w:rsidR="00775419" w:rsidRPr="0066617F">
        <w:rPr>
          <w:rFonts w:ascii="Rockwell" w:hAnsi="Rockwell"/>
          <w:color w:val="auto"/>
          <w:sz w:val="28"/>
          <w:szCs w:val="28"/>
        </w:rPr>
        <w:t xml:space="preserve"> rate</w:t>
      </w:r>
      <w:bookmarkEnd w:id="11"/>
      <w:r w:rsidR="00775419" w:rsidRPr="0066617F">
        <w:rPr>
          <w:rFonts w:ascii="Rockwell" w:hAnsi="Rockwell"/>
          <w:color w:val="auto"/>
          <w:sz w:val="28"/>
          <w:szCs w:val="28"/>
        </w:rPr>
        <w:t xml:space="preserve">, </w:t>
      </w:r>
      <w:r w:rsidR="008E75B0" w:rsidRPr="0066617F">
        <w:rPr>
          <w:rFonts w:ascii="Rockwell" w:hAnsi="Rockwell"/>
          <w:color w:val="auto"/>
          <w:sz w:val="28"/>
          <w:szCs w:val="28"/>
        </w:rPr>
        <w:t>December</w:t>
      </w:r>
      <w:r w:rsidR="00775419" w:rsidRPr="0066617F">
        <w:rPr>
          <w:rFonts w:ascii="Rockwell" w:hAnsi="Rockwell"/>
          <w:color w:val="auto"/>
          <w:sz w:val="28"/>
          <w:szCs w:val="28"/>
        </w:rPr>
        <w:t xml:space="preserve"> 2017E.</w:t>
      </w:r>
      <w:r w:rsidR="00775419" w:rsidRPr="0066617F">
        <w:rPr>
          <w:rFonts w:ascii="Rockwell" w:hAnsi="Rockwell"/>
          <w:sz w:val="28"/>
          <w:szCs w:val="28"/>
        </w:rPr>
        <w:t>C</w:t>
      </w:r>
      <w:bookmarkEnd w:id="8"/>
      <w:bookmarkEnd w:id="9"/>
    </w:p>
    <w:p w14:paraId="4D2EA811" w14:textId="77777777" w:rsidR="003A1BD5" w:rsidRPr="008E75B0" w:rsidRDefault="003A1BD5" w:rsidP="003A1BD5">
      <w:pPr>
        <w:rPr>
          <w:rFonts w:ascii="Rockwell" w:hAnsi="Rockwell"/>
          <w:sz w:val="24"/>
          <w:szCs w:val="24"/>
          <w:lang w:eastAsia="en-US"/>
        </w:rPr>
      </w:pPr>
    </w:p>
    <w:p w14:paraId="72B0502F" w14:textId="216BB184" w:rsidR="00775419" w:rsidRPr="00775419" w:rsidRDefault="00775419" w:rsidP="008E75B0">
      <w:pPr>
        <w:pStyle w:val="Caption"/>
        <w:spacing w:before="240"/>
        <w:rPr>
          <w:rFonts w:ascii="Rockwell" w:hAnsi="Rockwell"/>
          <w:sz w:val="24"/>
          <w:szCs w:val="24"/>
        </w:rPr>
      </w:pPr>
      <w:bookmarkStart w:id="12" w:name="_Toc204469381"/>
      <w:r w:rsidRPr="00775419">
        <w:rPr>
          <w:rFonts w:ascii="Rockwell" w:hAnsi="Rockwell"/>
          <w:b/>
          <w:bCs/>
          <w:sz w:val="24"/>
          <w:szCs w:val="24"/>
        </w:rPr>
        <w:t xml:space="preserve">Table </w:t>
      </w:r>
      <w:r w:rsidRPr="00775419">
        <w:rPr>
          <w:rFonts w:ascii="Rockwell" w:hAnsi="Rockwell"/>
          <w:b/>
          <w:bCs/>
          <w:sz w:val="24"/>
          <w:szCs w:val="24"/>
        </w:rPr>
        <w:fldChar w:fldCharType="begin"/>
      </w:r>
      <w:r w:rsidRPr="00775419">
        <w:rPr>
          <w:rFonts w:ascii="Rockwell" w:hAnsi="Rockwell"/>
          <w:b/>
          <w:bCs/>
          <w:sz w:val="24"/>
          <w:szCs w:val="24"/>
        </w:rPr>
        <w:instrText xml:space="preserve"> SEQ Table \* ARABIC </w:instrText>
      </w:r>
      <w:r w:rsidRPr="00775419">
        <w:rPr>
          <w:rFonts w:ascii="Rockwell" w:hAnsi="Rockwell"/>
          <w:b/>
          <w:bCs/>
          <w:sz w:val="24"/>
          <w:szCs w:val="24"/>
        </w:rPr>
        <w:fldChar w:fldCharType="separate"/>
      </w:r>
      <w:r w:rsidRPr="00775419">
        <w:rPr>
          <w:rFonts w:ascii="Rockwell" w:hAnsi="Rockwell"/>
          <w:b/>
          <w:bCs/>
          <w:noProof/>
          <w:sz w:val="24"/>
          <w:szCs w:val="24"/>
        </w:rPr>
        <w:t>1</w:t>
      </w:r>
      <w:r w:rsidRPr="00775419">
        <w:rPr>
          <w:rFonts w:ascii="Rockwell" w:hAnsi="Rockwell"/>
          <w:b/>
          <w:bCs/>
          <w:sz w:val="24"/>
          <w:szCs w:val="24"/>
        </w:rPr>
        <w:fldChar w:fldCharType="end"/>
      </w:r>
      <w:r w:rsidRPr="00775419">
        <w:rPr>
          <w:rFonts w:ascii="Rockwell" w:hAnsi="Rockwell"/>
          <w:sz w:val="24"/>
          <w:szCs w:val="24"/>
        </w:rPr>
        <w:t xml:space="preserve">: Deder General Hospital Overall IPC compliance rate, </w:t>
      </w:r>
      <w:r w:rsidR="008E75B0">
        <w:rPr>
          <w:rFonts w:ascii="Rockwell" w:hAnsi="Rockwell"/>
          <w:sz w:val="24"/>
          <w:szCs w:val="24"/>
        </w:rPr>
        <w:t>December</w:t>
      </w:r>
      <w:r w:rsidRPr="00775419">
        <w:rPr>
          <w:rFonts w:ascii="Rockwell" w:hAnsi="Rockwell"/>
          <w:sz w:val="24"/>
          <w:szCs w:val="24"/>
        </w:rPr>
        <w:t xml:space="preserve"> 2017E.C</w:t>
      </w:r>
      <w:bookmarkEnd w:id="12"/>
    </w:p>
    <w:tbl>
      <w:tblPr>
        <w:tblStyle w:val="TableGrid"/>
        <w:tblW w:w="11162" w:type="dxa"/>
        <w:tblLook w:val="04A0" w:firstRow="1" w:lastRow="0" w:firstColumn="1" w:lastColumn="0" w:noHBand="0" w:noVBand="1"/>
      </w:tblPr>
      <w:tblGrid>
        <w:gridCol w:w="5215"/>
        <w:gridCol w:w="1350"/>
        <w:gridCol w:w="1530"/>
        <w:gridCol w:w="1260"/>
        <w:gridCol w:w="1807"/>
      </w:tblGrid>
      <w:tr w:rsidR="008E75B0" w:rsidRPr="008E75B0" w14:paraId="7EAE6DAD" w14:textId="77777777" w:rsidTr="008E75B0">
        <w:trPr>
          <w:trHeight w:val="406"/>
        </w:trPr>
        <w:tc>
          <w:tcPr>
            <w:tcW w:w="5215" w:type="dxa"/>
            <w:hideMark/>
          </w:tcPr>
          <w:p w14:paraId="6B8ED23E" w14:textId="77777777" w:rsidR="008E75B0" w:rsidRPr="008E75B0" w:rsidRDefault="008E75B0" w:rsidP="008E75B0">
            <w:pPr>
              <w:spacing w:line="360" w:lineRule="auto"/>
              <w:jc w:val="both"/>
              <w:rPr>
                <w:rFonts w:ascii="Rockwell" w:hAnsi="Rockwell"/>
                <w:b/>
                <w:bCs/>
                <w:sz w:val="28"/>
                <w:szCs w:val="28"/>
              </w:rPr>
            </w:pPr>
            <w:r w:rsidRPr="008E75B0">
              <w:rPr>
                <w:rFonts w:ascii="Rockwell" w:hAnsi="Rockwell"/>
                <w:b/>
                <w:bCs/>
                <w:sz w:val="28"/>
                <w:szCs w:val="28"/>
              </w:rPr>
              <w:t>Component</w:t>
            </w:r>
          </w:p>
        </w:tc>
        <w:tc>
          <w:tcPr>
            <w:tcW w:w="1350" w:type="dxa"/>
            <w:hideMark/>
          </w:tcPr>
          <w:p w14:paraId="61247A80" w14:textId="77777777" w:rsidR="008E75B0" w:rsidRPr="008E75B0" w:rsidRDefault="008E75B0" w:rsidP="008E75B0">
            <w:pPr>
              <w:spacing w:line="360" w:lineRule="auto"/>
              <w:jc w:val="both"/>
              <w:rPr>
                <w:rFonts w:ascii="Rockwell" w:hAnsi="Rockwell"/>
                <w:b/>
                <w:bCs/>
                <w:sz w:val="28"/>
                <w:szCs w:val="28"/>
              </w:rPr>
            </w:pPr>
            <w:r w:rsidRPr="008E75B0">
              <w:rPr>
                <w:rFonts w:ascii="Rockwell" w:hAnsi="Rockwell"/>
                <w:b/>
                <w:bCs/>
                <w:sz w:val="28"/>
                <w:szCs w:val="28"/>
              </w:rPr>
              <w:t>Items</w:t>
            </w:r>
          </w:p>
        </w:tc>
        <w:tc>
          <w:tcPr>
            <w:tcW w:w="1530" w:type="dxa"/>
            <w:hideMark/>
          </w:tcPr>
          <w:p w14:paraId="4F7C6295" w14:textId="7CA46D01" w:rsidR="008E75B0" w:rsidRPr="008E75B0" w:rsidRDefault="008E75B0" w:rsidP="008E75B0">
            <w:pPr>
              <w:spacing w:line="360" w:lineRule="auto"/>
              <w:jc w:val="both"/>
              <w:rPr>
                <w:rFonts w:ascii="Rockwell" w:hAnsi="Rockwell"/>
                <w:b/>
                <w:bCs/>
                <w:sz w:val="28"/>
                <w:szCs w:val="28"/>
              </w:rPr>
            </w:pPr>
            <w:r w:rsidRPr="008E75B0">
              <w:rPr>
                <w:rFonts w:ascii="Segoe UI Emoji" w:hAnsi="Segoe UI Emoji" w:cs="Segoe UI Emoji"/>
                <w:b/>
                <w:bCs/>
                <w:sz w:val="28"/>
                <w:szCs w:val="28"/>
                <w:shd w:val="clear" w:color="auto" w:fill="FFFFFF" w:themeFill="background1"/>
              </w:rPr>
              <w:t>✅</w:t>
            </w:r>
            <w:r w:rsidRPr="008E75B0">
              <w:rPr>
                <w:rFonts w:ascii="Rockwell" w:hAnsi="Rockwell"/>
                <w:b/>
                <w:bCs/>
                <w:sz w:val="28"/>
                <w:szCs w:val="28"/>
              </w:rPr>
              <w:t xml:space="preserve"> Yes</w:t>
            </w:r>
            <w:r>
              <w:rPr>
                <w:rFonts w:ascii="Rockwell" w:hAnsi="Rockwell"/>
                <w:b/>
                <w:bCs/>
                <w:sz w:val="28"/>
                <w:szCs w:val="28"/>
              </w:rPr>
              <w:t xml:space="preserve"> </w:t>
            </w:r>
          </w:p>
        </w:tc>
        <w:tc>
          <w:tcPr>
            <w:tcW w:w="1260" w:type="dxa"/>
            <w:hideMark/>
          </w:tcPr>
          <w:p w14:paraId="71DEBF0C" w14:textId="77777777" w:rsidR="008E75B0" w:rsidRPr="008E75B0" w:rsidRDefault="008E75B0" w:rsidP="008E75B0">
            <w:pPr>
              <w:spacing w:line="360" w:lineRule="auto"/>
              <w:jc w:val="both"/>
              <w:rPr>
                <w:rFonts w:ascii="Rockwell" w:hAnsi="Rockwell"/>
                <w:b/>
                <w:bCs/>
                <w:sz w:val="28"/>
                <w:szCs w:val="28"/>
              </w:rPr>
            </w:pPr>
            <w:r w:rsidRPr="008E75B0">
              <w:rPr>
                <w:rFonts w:ascii="Segoe UI Emoji" w:hAnsi="Segoe UI Emoji" w:cs="Segoe UI Emoji"/>
                <w:b/>
                <w:bCs/>
                <w:sz w:val="28"/>
                <w:szCs w:val="28"/>
              </w:rPr>
              <w:t>❌</w:t>
            </w:r>
            <w:r w:rsidRPr="008E75B0">
              <w:rPr>
                <w:rFonts w:ascii="Rockwell" w:hAnsi="Rockwell"/>
                <w:b/>
                <w:bCs/>
                <w:sz w:val="28"/>
                <w:szCs w:val="28"/>
              </w:rPr>
              <w:t xml:space="preserve"> No</w:t>
            </w:r>
          </w:p>
        </w:tc>
        <w:tc>
          <w:tcPr>
            <w:tcW w:w="1807" w:type="dxa"/>
            <w:hideMark/>
          </w:tcPr>
          <w:p w14:paraId="09543629" w14:textId="1EF88772" w:rsidR="008E75B0" w:rsidRPr="008E75B0" w:rsidRDefault="008E75B0" w:rsidP="008E75B0">
            <w:pPr>
              <w:spacing w:line="360" w:lineRule="auto"/>
              <w:jc w:val="both"/>
              <w:rPr>
                <w:rFonts w:ascii="Rockwell" w:hAnsi="Rockwell"/>
                <w:b/>
                <w:bCs/>
                <w:sz w:val="28"/>
                <w:szCs w:val="28"/>
              </w:rPr>
            </w:pPr>
            <w:r w:rsidRPr="008E75B0">
              <w:rPr>
                <w:rFonts w:ascii="Rockwell" w:hAnsi="Rockwell"/>
                <w:b/>
                <w:bCs/>
                <w:sz w:val="28"/>
                <w:szCs w:val="28"/>
              </w:rPr>
              <w:t xml:space="preserve"> Yes</w:t>
            </w:r>
          </w:p>
        </w:tc>
      </w:tr>
      <w:tr w:rsidR="008E75B0" w:rsidRPr="008E75B0" w14:paraId="463F6458" w14:textId="77777777" w:rsidTr="008E75B0">
        <w:trPr>
          <w:trHeight w:val="381"/>
        </w:trPr>
        <w:tc>
          <w:tcPr>
            <w:tcW w:w="5215" w:type="dxa"/>
            <w:hideMark/>
          </w:tcPr>
          <w:p w14:paraId="04B27B30"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 IPC System/Capacity</w:t>
            </w:r>
          </w:p>
        </w:tc>
        <w:tc>
          <w:tcPr>
            <w:tcW w:w="1350" w:type="dxa"/>
            <w:hideMark/>
          </w:tcPr>
          <w:p w14:paraId="4E2CA54C"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12</w:t>
            </w:r>
          </w:p>
        </w:tc>
        <w:tc>
          <w:tcPr>
            <w:tcW w:w="1530" w:type="dxa"/>
            <w:hideMark/>
          </w:tcPr>
          <w:p w14:paraId="21CE2BAE"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11</w:t>
            </w:r>
          </w:p>
        </w:tc>
        <w:tc>
          <w:tcPr>
            <w:tcW w:w="1260" w:type="dxa"/>
            <w:hideMark/>
          </w:tcPr>
          <w:p w14:paraId="7D6E683B"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w:t>
            </w:r>
          </w:p>
        </w:tc>
        <w:tc>
          <w:tcPr>
            <w:tcW w:w="1807" w:type="dxa"/>
            <w:hideMark/>
          </w:tcPr>
          <w:p w14:paraId="0FA19E37" w14:textId="66C86023"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9</w:t>
            </w:r>
            <w:r>
              <w:rPr>
                <w:rFonts w:ascii="Rockwell" w:hAnsi="Rockwell"/>
                <w:sz w:val="28"/>
                <w:szCs w:val="28"/>
              </w:rPr>
              <w:t>2</w:t>
            </w:r>
          </w:p>
        </w:tc>
      </w:tr>
      <w:tr w:rsidR="008E75B0" w:rsidRPr="008E75B0" w14:paraId="5CCE9D1B" w14:textId="77777777" w:rsidTr="008E75B0">
        <w:trPr>
          <w:trHeight w:val="373"/>
        </w:trPr>
        <w:tc>
          <w:tcPr>
            <w:tcW w:w="5215" w:type="dxa"/>
            <w:hideMark/>
          </w:tcPr>
          <w:p w14:paraId="08F95EEF"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2. IPC Practice Observation</w:t>
            </w:r>
          </w:p>
        </w:tc>
        <w:tc>
          <w:tcPr>
            <w:tcW w:w="1350" w:type="dxa"/>
            <w:hideMark/>
          </w:tcPr>
          <w:p w14:paraId="61BBBDEE"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11</w:t>
            </w:r>
          </w:p>
        </w:tc>
        <w:tc>
          <w:tcPr>
            <w:tcW w:w="1530" w:type="dxa"/>
            <w:hideMark/>
          </w:tcPr>
          <w:p w14:paraId="7A723BC2"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8</w:t>
            </w:r>
          </w:p>
        </w:tc>
        <w:tc>
          <w:tcPr>
            <w:tcW w:w="1260" w:type="dxa"/>
            <w:hideMark/>
          </w:tcPr>
          <w:p w14:paraId="0B6B7BB0"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3</w:t>
            </w:r>
          </w:p>
        </w:tc>
        <w:tc>
          <w:tcPr>
            <w:tcW w:w="1807" w:type="dxa"/>
            <w:hideMark/>
          </w:tcPr>
          <w:p w14:paraId="3574CC4E" w14:textId="6397A453"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7</w:t>
            </w:r>
            <w:r>
              <w:rPr>
                <w:rFonts w:ascii="Rockwell" w:hAnsi="Rockwell"/>
                <w:sz w:val="28"/>
                <w:szCs w:val="28"/>
              </w:rPr>
              <w:t>3</w:t>
            </w:r>
          </w:p>
        </w:tc>
      </w:tr>
      <w:tr w:rsidR="008E75B0" w:rsidRPr="008E75B0" w14:paraId="2B0A7840" w14:textId="77777777" w:rsidTr="008E75B0">
        <w:trPr>
          <w:trHeight w:val="381"/>
        </w:trPr>
        <w:tc>
          <w:tcPr>
            <w:tcW w:w="5215" w:type="dxa"/>
            <w:hideMark/>
          </w:tcPr>
          <w:p w14:paraId="7D6E0DAA"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3. Hand Hygiene Audit</w:t>
            </w:r>
          </w:p>
        </w:tc>
        <w:tc>
          <w:tcPr>
            <w:tcW w:w="1350" w:type="dxa"/>
            <w:hideMark/>
          </w:tcPr>
          <w:p w14:paraId="020F3271"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5</w:t>
            </w:r>
          </w:p>
        </w:tc>
        <w:tc>
          <w:tcPr>
            <w:tcW w:w="1530" w:type="dxa"/>
            <w:hideMark/>
          </w:tcPr>
          <w:p w14:paraId="1C0EB9F2"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4</w:t>
            </w:r>
          </w:p>
        </w:tc>
        <w:tc>
          <w:tcPr>
            <w:tcW w:w="1260" w:type="dxa"/>
            <w:hideMark/>
          </w:tcPr>
          <w:p w14:paraId="7C0048C9"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w:t>
            </w:r>
          </w:p>
        </w:tc>
        <w:tc>
          <w:tcPr>
            <w:tcW w:w="1807" w:type="dxa"/>
            <w:hideMark/>
          </w:tcPr>
          <w:p w14:paraId="31F54FFD" w14:textId="1D1B876B"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80</w:t>
            </w:r>
          </w:p>
        </w:tc>
      </w:tr>
      <w:tr w:rsidR="008E75B0" w:rsidRPr="008E75B0" w14:paraId="2FB683F5" w14:textId="77777777" w:rsidTr="008E75B0">
        <w:trPr>
          <w:trHeight w:val="373"/>
        </w:trPr>
        <w:tc>
          <w:tcPr>
            <w:tcW w:w="5215" w:type="dxa"/>
            <w:hideMark/>
          </w:tcPr>
          <w:p w14:paraId="4BB3F2D6"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4. PPE Use Monitoring</w:t>
            </w:r>
          </w:p>
        </w:tc>
        <w:tc>
          <w:tcPr>
            <w:tcW w:w="1350" w:type="dxa"/>
            <w:hideMark/>
          </w:tcPr>
          <w:p w14:paraId="5177CF70"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4</w:t>
            </w:r>
          </w:p>
        </w:tc>
        <w:tc>
          <w:tcPr>
            <w:tcW w:w="1530" w:type="dxa"/>
            <w:hideMark/>
          </w:tcPr>
          <w:p w14:paraId="7C5DD167"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3</w:t>
            </w:r>
          </w:p>
        </w:tc>
        <w:tc>
          <w:tcPr>
            <w:tcW w:w="1260" w:type="dxa"/>
            <w:hideMark/>
          </w:tcPr>
          <w:p w14:paraId="363754D4"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w:t>
            </w:r>
          </w:p>
        </w:tc>
        <w:tc>
          <w:tcPr>
            <w:tcW w:w="1807" w:type="dxa"/>
            <w:hideMark/>
          </w:tcPr>
          <w:p w14:paraId="03BE1EF6" w14:textId="4426E791"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75</w:t>
            </w:r>
          </w:p>
        </w:tc>
      </w:tr>
      <w:tr w:rsidR="008E75B0" w:rsidRPr="008E75B0" w14:paraId="169B7E5F" w14:textId="77777777" w:rsidTr="008E75B0">
        <w:trPr>
          <w:trHeight w:val="50"/>
        </w:trPr>
        <w:tc>
          <w:tcPr>
            <w:tcW w:w="5215" w:type="dxa"/>
            <w:hideMark/>
          </w:tcPr>
          <w:p w14:paraId="07F11783"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5. Waste Segregation</w:t>
            </w:r>
          </w:p>
        </w:tc>
        <w:tc>
          <w:tcPr>
            <w:tcW w:w="1350" w:type="dxa"/>
            <w:hideMark/>
          </w:tcPr>
          <w:p w14:paraId="471FB755"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4</w:t>
            </w:r>
          </w:p>
        </w:tc>
        <w:tc>
          <w:tcPr>
            <w:tcW w:w="1530" w:type="dxa"/>
            <w:hideMark/>
          </w:tcPr>
          <w:p w14:paraId="26C9214E"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3</w:t>
            </w:r>
          </w:p>
        </w:tc>
        <w:tc>
          <w:tcPr>
            <w:tcW w:w="1260" w:type="dxa"/>
            <w:hideMark/>
          </w:tcPr>
          <w:p w14:paraId="0D0F769F"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w:t>
            </w:r>
          </w:p>
        </w:tc>
        <w:tc>
          <w:tcPr>
            <w:tcW w:w="1807" w:type="dxa"/>
            <w:hideMark/>
          </w:tcPr>
          <w:p w14:paraId="2546579A" w14:textId="238E7B65"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75</w:t>
            </w:r>
          </w:p>
        </w:tc>
      </w:tr>
      <w:tr w:rsidR="008E75B0" w:rsidRPr="008E75B0" w14:paraId="284F5E68" w14:textId="77777777" w:rsidTr="008E75B0">
        <w:trPr>
          <w:trHeight w:val="373"/>
        </w:trPr>
        <w:tc>
          <w:tcPr>
            <w:tcW w:w="5215" w:type="dxa"/>
            <w:hideMark/>
          </w:tcPr>
          <w:p w14:paraId="664BCAAA"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6. Transmission-Based Precautions</w:t>
            </w:r>
          </w:p>
        </w:tc>
        <w:tc>
          <w:tcPr>
            <w:tcW w:w="1350" w:type="dxa"/>
            <w:hideMark/>
          </w:tcPr>
          <w:p w14:paraId="04AAD8E4"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16</w:t>
            </w:r>
          </w:p>
        </w:tc>
        <w:tc>
          <w:tcPr>
            <w:tcW w:w="1530" w:type="dxa"/>
            <w:hideMark/>
          </w:tcPr>
          <w:p w14:paraId="294F6358"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13</w:t>
            </w:r>
          </w:p>
        </w:tc>
        <w:tc>
          <w:tcPr>
            <w:tcW w:w="1260" w:type="dxa"/>
            <w:hideMark/>
          </w:tcPr>
          <w:p w14:paraId="65A2E981"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3</w:t>
            </w:r>
          </w:p>
        </w:tc>
        <w:tc>
          <w:tcPr>
            <w:tcW w:w="1807" w:type="dxa"/>
            <w:hideMark/>
          </w:tcPr>
          <w:p w14:paraId="35E4DF18" w14:textId="4B87E76F"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81</w:t>
            </w:r>
          </w:p>
        </w:tc>
      </w:tr>
      <w:tr w:rsidR="008E75B0" w:rsidRPr="008E75B0" w14:paraId="2258C37C" w14:textId="77777777" w:rsidTr="008E75B0">
        <w:trPr>
          <w:trHeight w:val="373"/>
        </w:trPr>
        <w:tc>
          <w:tcPr>
            <w:tcW w:w="5215" w:type="dxa"/>
            <w:hideMark/>
          </w:tcPr>
          <w:p w14:paraId="07E58896"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7. Environmental Cleaning</w:t>
            </w:r>
          </w:p>
        </w:tc>
        <w:tc>
          <w:tcPr>
            <w:tcW w:w="1350" w:type="dxa"/>
            <w:hideMark/>
          </w:tcPr>
          <w:p w14:paraId="0BB59CF1"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5</w:t>
            </w:r>
          </w:p>
        </w:tc>
        <w:tc>
          <w:tcPr>
            <w:tcW w:w="1530" w:type="dxa"/>
            <w:hideMark/>
          </w:tcPr>
          <w:p w14:paraId="515270BD"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4</w:t>
            </w:r>
          </w:p>
        </w:tc>
        <w:tc>
          <w:tcPr>
            <w:tcW w:w="1260" w:type="dxa"/>
            <w:hideMark/>
          </w:tcPr>
          <w:p w14:paraId="62BBDC6C" w14:textId="77777777"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1</w:t>
            </w:r>
          </w:p>
        </w:tc>
        <w:tc>
          <w:tcPr>
            <w:tcW w:w="1807" w:type="dxa"/>
            <w:hideMark/>
          </w:tcPr>
          <w:p w14:paraId="5C040C4D" w14:textId="7B365F86" w:rsidR="008E75B0" w:rsidRPr="008E75B0" w:rsidRDefault="008E75B0" w:rsidP="008E75B0">
            <w:pPr>
              <w:spacing w:line="360" w:lineRule="auto"/>
              <w:jc w:val="both"/>
              <w:rPr>
                <w:rFonts w:ascii="Rockwell" w:hAnsi="Rockwell"/>
                <w:sz w:val="28"/>
                <w:szCs w:val="28"/>
              </w:rPr>
            </w:pPr>
            <w:r w:rsidRPr="008E75B0">
              <w:rPr>
                <w:rFonts w:ascii="Rockwell" w:hAnsi="Rockwell"/>
                <w:sz w:val="28"/>
                <w:szCs w:val="28"/>
              </w:rPr>
              <w:t>80</w:t>
            </w:r>
          </w:p>
        </w:tc>
      </w:tr>
      <w:tr w:rsidR="008E75B0" w:rsidRPr="008E75B0" w14:paraId="185F8B21" w14:textId="77777777" w:rsidTr="008E75B0">
        <w:trPr>
          <w:trHeight w:val="233"/>
        </w:trPr>
        <w:tc>
          <w:tcPr>
            <w:tcW w:w="5215" w:type="dxa"/>
            <w:hideMark/>
          </w:tcPr>
          <w:p w14:paraId="425039E6" w14:textId="77777777" w:rsidR="008E75B0" w:rsidRPr="008E75B0" w:rsidRDefault="008E75B0" w:rsidP="008E75B0">
            <w:pPr>
              <w:spacing w:line="360" w:lineRule="auto"/>
              <w:rPr>
                <w:rFonts w:ascii="Rockwell" w:hAnsi="Rockwell"/>
                <w:sz w:val="28"/>
                <w:szCs w:val="28"/>
              </w:rPr>
            </w:pPr>
            <w:r w:rsidRPr="008E75B0">
              <w:rPr>
                <w:rFonts w:ascii="Rockwell" w:hAnsi="Rockwell"/>
                <w:b/>
                <w:bCs/>
                <w:sz w:val="28"/>
                <w:szCs w:val="28"/>
              </w:rPr>
              <w:t>Total</w:t>
            </w:r>
          </w:p>
        </w:tc>
        <w:tc>
          <w:tcPr>
            <w:tcW w:w="1350" w:type="dxa"/>
            <w:hideMark/>
          </w:tcPr>
          <w:p w14:paraId="1AC9FBD5" w14:textId="77777777" w:rsidR="008E75B0" w:rsidRPr="008E75B0" w:rsidRDefault="008E75B0" w:rsidP="008E75B0">
            <w:pPr>
              <w:spacing w:line="360" w:lineRule="auto"/>
              <w:rPr>
                <w:rFonts w:ascii="Rockwell" w:hAnsi="Rockwell"/>
                <w:sz w:val="28"/>
                <w:szCs w:val="28"/>
              </w:rPr>
            </w:pPr>
            <w:r w:rsidRPr="008E75B0">
              <w:rPr>
                <w:rFonts w:ascii="Rockwell" w:hAnsi="Rockwell"/>
                <w:b/>
                <w:bCs/>
                <w:sz w:val="28"/>
                <w:szCs w:val="28"/>
              </w:rPr>
              <w:t>57</w:t>
            </w:r>
          </w:p>
        </w:tc>
        <w:tc>
          <w:tcPr>
            <w:tcW w:w="1530" w:type="dxa"/>
            <w:hideMark/>
          </w:tcPr>
          <w:p w14:paraId="51CED499" w14:textId="77777777" w:rsidR="008E75B0" w:rsidRPr="008E75B0" w:rsidRDefault="008E75B0" w:rsidP="008E75B0">
            <w:pPr>
              <w:spacing w:line="360" w:lineRule="auto"/>
              <w:rPr>
                <w:rFonts w:ascii="Rockwell" w:hAnsi="Rockwell"/>
                <w:sz w:val="28"/>
                <w:szCs w:val="28"/>
              </w:rPr>
            </w:pPr>
            <w:r w:rsidRPr="008E75B0">
              <w:rPr>
                <w:rFonts w:ascii="Rockwell" w:hAnsi="Rockwell"/>
                <w:b/>
                <w:bCs/>
                <w:sz w:val="28"/>
                <w:szCs w:val="28"/>
              </w:rPr>
              <w:t>46</w:t>
            </w:r>
          </w:p>
        </w:tc>
        <w:tc>
          <w:tcPr>
            <w:tcW w:w="1260" w:type="dxa"/>
            <w:hideMark/>
          </w:tcPr>
          <w:p w14:paraId="06BED098" w14:textId="77777777" w:rsidR="008E75B0" w:rsidRPr="008E75B0" w:rsidRDefault="008E75B0" w:rsidP="008E75B0">
            <w:pPr>
              <w:spacing w:line="360" w:lineRule="auto"/>
              <w:rPr>
                <w:rFonts w:ascii="Rockwell" w:hAnsi="Rockwell"/>
                <w:sz w:val="28"/>
                <w:szCs w:val="28"/>
              </w:rPr>
            </w:pPr>
            <w:r w:rsidRPr="008E75B0">
              <w:rPr>
                <w:rFonts w:ascii="Rockwell" w:hAnsi="Rockwell"/>
                <w:b/>
                <w:bCs/>
                <w:sz w:val="28"/>
                <w:szCs w:val="28"/>
              </w:rPr>
              <w:t>11</w:t>
            </w:r>
          </w:p>
        </w:tc>
        <w:tc>
          <w:tcPr>
            <w:tcW w:w="1807" w:type="dxa"/>
            <w:hideMark/>
          </w:tcPr>
          <w:p w14:paraId="615516FB" w14:textId="4F907D87" w:rsidR="008E75B0" w:rsidRPr="008E75B0" w:rsidRDefault="008E75B0" w:rsidP="008E75B0">
            <w:pPr>
              <w:spacing w:line="360" w:lineRule="auto"/>
              <w:rPr>
                <w:rFonts w:ascii="Rockwell" w:hAnsi="Rockwell"/>
                <w:sz w:val="28"/>
                <w:szCs w:val="28"/>
              </w:rPr>
            </w:pPr>
            <w:r w:rsidRPr="008E75B0">
              <w:rPr>
                <w:rFonts w:ascii="Rockwell" w:hAnsi="Rockwell"/>
                <w:b/>
                <w:bCs/>
                <w:sz w:val="28"/>
                <w:szCs w:val="28"/>
              </w:rPr>
              <w:t>8</w:t>
            </w:r>
            <w:r>
              <w:rPr>
                <w:rFonts w:ascii="Rockwell" w:hAnsi="Rockwell"/>
                <w:b/>
                <w:bCs/>
                <w:sz w:val="28"/>
                <w:szCs w:val="28"/>
              </w:rPr>
              <w:t>1</w:t>
            </w:r>
          </w:p>
        </w:tc>
      </w:tr>
    </w:tbl>
    <w:p w14:paraId="40FBD8AA" w14:textId="77777777" w:rsidR="00B43213" w:rsidRDefault="00B43213" w:rsidP="00211602">
      <w:pPr>
        <w:pStyle w:val="NoSpacing"/>
      </w:pPr>
    </w:p>
    <w:p w14:paraId="48BE8752" w14:textId="750A038A" w:rsidR="00B43213" w:rsidRDefault="00B43213" w:rsidP="0066617F">
      <w:pPr>
        <w:pStyle w:val="Heading1"/>
        <w:spacing w:line="360" w:lineRule="auto"/>
        <w:rPr>
          <w:rFonts w:ascii="Rockwell" w:hAnsi="Rockwell"/>
          <w:b/>
          <w:bCs/>
          <w:sz w:val="32"/>
          <w:szCs w:val="32"/>
        </w:rPr>
      </w:pPr>
      <w:bookmarkStart w:id="13" w:name="_Toc204469334"/>
      <w:r w:rsidRPr="00211602">
        <w:rPr>
          <w:rFonts w:ascii="Rockwell" w:hAnsi="Rockwell"/>
          <w:b/>
          <w:bCs/>
          <w:sz w:val="32"/>
          <w:szCs w:val="32"/>
        </w:rPr>
        <w:lastRenderedPageBreak/>
        <w:t>5. Discussion</w:t>
      </w:r>
      <w:bookmarkEnd w:id="13"/>
      <w:r w:rsidRPr="00211602">
        <w:rPr>
          <w:rFonts w:ascii="Rockwell" w:hAnsi="Rockwell"/>
          <w:b/>
          <w:bCs/>
          <w:sz w:val="32"/>
          <w:szCs w:val="32"/>
        </w:rPr>
        <w:t xml:space="preserve"> </w:t>
      </w:r>
    </w:p>
    <w:p w14:paraId="3CEDDB57" w14:textId="77777777" w:rsidR="0066617F" w:rsidRPr="0066617F" w:rsidRDefault="0066617F" w:rsidP="0066617F">
      <w:pPr>
        <w:spacing w:line="360" w:lineRule="auto"/>
        <w:jc w:val="both"/>
        <w:rPr>
          <w:rFonts w:ascii="Rockwell" w:hAnsi="Rockwell"/>
          <w:sz w:val="28"/>
          <w:szCs w:val="28"/>
        </w:rPr>
      </w:pPr>
      <w:r w:rsidRPr="0066617F">
        <w:rPr>
          <w:rFonts w:ascii="Rockwell" w:hAnsi="Rockwell"/>
          <w:sz w:val="28"/>
          <w:szCs w:val="28"/>
        </w:rPr>
        <w:t xml:space="preserve">Deder General Hospital’s overall IPC compliance rate of 81% reflects moderate alignment with national and global standards but reveals critical gaps requiring intervention. While the hospital’s IPC governance (92%) exceeds Ethiopia’s typical health facility performance—where studies like </w:t>
      </w:r>
      <w:proofErr w:type="spellStart"/>
      <w:r w:rsidRPr="0066617F">
        <w:rPr>
          <w:rFonts w:ascii="Rockwell" w:hAnsi="Rockwell"/>
          <w:b/>
          <w:bCs/>
          <w:i/>
          <w:iCs/>
          <w:color w:val="00B0F0"/>
          <w:sz w:val="28"/>
          <w:szCs w:val="28"/>
        </w:rPr>
        <w:t>Debere</w:t>
      </w:r>
      <w:proofErr w:type="spellEnd"/>
      <w:r w:rsidRPr="0066617F">
        <w:rPr>
          <w:rFonts w:ascii="Rockwell" w:hAnsi="Rockwell"/>
          <w:b/>
          <w:bCs/>
          <w:i/>
          <w:iCs/>
          <w:color w:val="00B0F0"/>
          <w:sz w:val="28"/>
          <w:szCs w:val="28"/>
        </w:rPr>
        <w:t xml:space="preserve"> et al. (2018)</w:t>
      </w:r>
      <w:r w:rsidRPr="0066617F">
        <w:rPr>
          <w:rFonts w:ascii="Rockwell" w:hAnsi="Rockwell"/>
          <w:sz w:val="28"/>
          <w:szCs w:val="28"/>
        </w:rPr>
        <w:t xml:space="preserve"> note systemic under-resourcing—its practice-based components (e.g., PPE use at 75%) lag behind WHO targets. This disparity between structural preparedness and frontline implementation mirrors patterns observed across resource-limited settings, where policies often outpace practical adherence due to training deficits or supply chain issues </w:t>
      </w:r>
      <w:r w:rsidRPr="0066617F">
        <w:rPr>
          <w:rFonts w:ascii="Rockwell" w:hAnsi="Rockwell"/>
          <w:b/>
          <w:bCs/>
          <w:i/>
          <w:iCs/>
          <w:color w:val="00B0F0"/>
          <w:sz w:val="28"/>
          <w:szCs w:val="28"/>
        </w:rPr>
        <w:t>(WHO, 2022</w:t>
      </w:r>
      <w:r w:rsidRPr="0066617F">
        <w:rPr>
          <w:rFonts w:ascii="Rockwell" w:hAnsi="Rockwell"/>
          <w:sz w:val="28"/>
          <w:szCs w:val="28"/>
        </w:rPr>
        <w:t xml:space="preserve">). The hand hygiene compliance rate (80%) is notably higher than Ethiopia’s national average of ~40% (FMOH, 2016) but falls short of the WHO’s ≥90% benchmark for effective HAI reduction, highlighting persistent challenges in behavioral sustainability despite available infrastructure </w:t>
      </w:r>
      <w:r w:rsidRPr="0066617F">
        <w:rPr>
          <w:rFonts w:ascii="Rockwell" w:hAnsi="Rockwell"/>
          <w:b/>
          <w:bCs/>
          <w:i/>
          <w:iCs/>
          <w:color w:val="00B0F0"/>
          <w:sz w:val="28"/>
          <w:szCs w:val="28"/>
        </w:rPr>
        <w:t>(Pittet et al., 2022).</w:t>
      </w:r>
    </w:p>
    <w:p w14:paraId="0C0464E3" w14:textId="77777777" w:rsidR="0066617F" w:rsidRPr="0066617F" w:rsidRDefault="0066617F" w:rsidP="0066617F">
      <w:pPr>
        <w:spacing w:after="0" w:line="360" w:lineRule="auto"/>
        <w:jc w:val="both"/>
        <w:rPr>
          <w:rFonts w:ascii="Rockwell" w:hAnsi="Rockwell"/>
          <w:sz w:val="28"/>
          <w:szCs w:val="28"/>
        </w:rPr>
      </w:pPr>
      <w:r w:rsidRPr="0066617F">
        <w:rPr>
          <w:rFonts w:ascii="Rockwell" w:hAnsi="Rockwell"/>
          <w:sz w:val="28"/>
          <w:szCs w:val="28"/>
        </w:rPr>
        <w:t xml:space="preserve">The deficiencies in waste segregation (75%) and PPE utilization align with broader regional trends. Inadequate sharps container management and absent chemical waste bins correlate with </w:t>
      </w:r>
      <w:proofErr w:type="spellStart"/>
      <w:r w:rsidRPr="0066617F">
        <w:rPr>
          <w:rFonts w:ascii="Rockwell" w:hAnsi="Rockwell"/>
          <w:b/>
          <w:bCs/>
          <w:i/>
          <w:iCs/>
          <w:color w:val="00B0F0"/>
          <w:sz w:val="28"/>
          <w:szCs w:val="28"/>
        </w:rPr>
        <w:t>Debere</w:t>
      </w:r>
      <w:proofErr w:type="spellEnd"/>
      <w:r w:rsidRPr="0066617F">
        <w:rPr>
          <w:rFonts w:ascii="Rockwell" w:hAnsi="Rockwell"/>
          <w:b/>
          <w:bCs/>
          <w:i/>
          <w:iCs/>
          <w:color w:val="00B0F0"/>
          <w:sz w:val="28"/>
          <w:szCs w:val="28"/>
        </w:rPr>
        <w:t xml:space="preserve"> et al.’s (2018)</w:t>
      </w:r>
      <w:r w:rsidRPr="0066617F">
        <w:rPr>
          <w:rFonts w:ascii="Rockwell" w:hAnsi="Rockwell"/>
          <w:color w:val="00B0F0"/>
          <w:sz w:val="28"/>
          <w:szCs w:val="28"/>
        </w:rPr>
        <w:t xml:space="preserve"> </w:t>
      </w:r>
      <w:r w:rsidRPr="0066617F">
        <w:rPr>
          <w:rFonts w:ascii="Rockwell" w:hAnsi="Rockwell"/>
          <w:sz w:val="28"/>
          <w:szCs w:val="28"/>
        </w:rPr>
        <w:t xml:space="preserve">findings in Ethiopian public facilities, where 68% of sites exhibited hazardous waste mismanagement. Similarly, inconsistent gown use in OPD/gynecology reflects </w:t>
      </w:r>
      <w:r w:rsidRPr="0066617F">
        <w:rPr>
          <w:rFonts w:ascii="Rockwell" w:hAnsi="Rockwell"/>
          <w:b/>
          <w:bCs/>
          <w:i/>
          <w:iCs/>
          <w:color w:val="00B0F0"/>
          <w:sz w:val="28"/>
          <w:szCs w:val="28"/>
        </w:rPr>
        <w:t>Chughtai et al.’s (2020)</w:t>
      </w:r>
      <w:r w:rsidRPr="0066617F">
        <w:rPr>
          <w:rFonts w:ascii="Rockwell" w:hAnsi="Rockwell"/>
          <w:color w:val="00B0F0"/>
          <w:sz w:val="28"/>
          <w:szCs w:val="28"/>
        </w:rPr>
        <w:t xml:space="preserve"> </w:t>
      </w:r>
      <w:r w:rsidRPr="0066617F">
        <w:rPr>
          <w:rFonts w:ascii="Rockwell" w:hAnsi="Rockwell"/>
          <w:sz w:val="28"/>
          <w:szCs w:val="28"/>
        </w:rPr>
        <w:t xml:space="preserve">observation that PPE compliance drops during high-patient-volume scenarios. The hospital’s struggles with transmission-based precautions (81%), particularly isolation protocols and patient movement control, resonate with </w:t>
      </w:r>
      <w:r w:rsidRPr="0066617F">
        <w:rPr>
          <w:rFonts w:ascii="Rockwell" w:hAnsi="Rockwell"/>
          <w:b/>
          <w:bCs/>
          <w:i/>
          <w:iCs/>
          <w:color w:val="00B0F0"/>
          <w:sz w:val="28"/>
          <w:szCs w:val="28"/>
        </w:rPr>
        <w:t>Otter et al.’s (2020)</w:t>
      </w:r>
      <w:r w:rsidRPr="0066617F">
        <w:rPr>
          <w:rFonts w:ascii="Rockwell" w:hAnsi="Rockwell"/>
          <w:color w:val="00B0F0"/>
          <w:sz w:val="28"/>
          <w:szCs w:val="28"/>
        </w:rPr>
        <w:t xml:space="preserve"> </w:t>
      </w:r>
      <w:r w:rsidRPr="0066617F">
        <w:rPr>
          <w:rFonts w:ascii="Rockwell" w:hAnsi="Rockwell"/>
          <w:sz w:val="28"/>
          <w:szCs w:val="28"/>
        </w:rPr>
        <w:t>global analysis: failure to enforce droplet/contact precautions remains a primary driver of pathogen transmission in LMICs, exacerbated by spatial constraints like the lack of designated isolation rooms—a gap noted in 90% of Ethiopian hospitals per WHO</w:t>
      </w:r>
      <w:r w:rsidRPr="0066617F">
        <w:rPr>
          <w:rFonts w:ascii="Rockwell" w:hAnsi="Rockwell"/>
          <w:b/>
          <w:bCs/>
          <w:i/>
          <w:iCs/>
          <w:color w:val="00B0F0"/>
          <w:sz w:val="28"/>
          <w:szCs w:val="28"/>
        </w:rPr>
        <w:t xml:space="preserve"> (2022).</w:t>
      </w:r>
    </w:p>
    <w:p w14:paraId="1F9F087F" w14:textId="77777777" w:rsidR="0066617F" w:rsidRPr="0066617F" w:rsidRDefault="0066617F" w:rsidP="0066617F">
      <w:pPr>
        <w:spacing w:after="0" w:line="360" w:lineRule="auto"/>
        <w:jc w:val="both"/>
        <w:rPr>
          <w:rFonts w:ascii="Rockwell" w:hAnsi="Rockwell"/>
          <w:sz w:val="28"/>
          <w:szCs w:val="28"/>
        </w:rPr>
      </w:pPr>
      <w:r w:rsidRPr="0066617F">
        <w:rPr>
          <w:rFonts w:ascii="Rockwell" w:hAnsi="Rockwell"/>
          <w:sz w:val="28"/>
          <w:szCs w:val="28"/>
        </w:rPr>
        <w:lastRenderedPageBreak/>
        <w:t xml:space="preserve">Environmental cleaning (80%) demonstrated strengths in routine practice but faltered in waste bin disinfection and storage, echoing CDC (2020) warnings that bin contamination significantly elevates surgical site infection risks. The action plan’s focus on alcohol rub accessibility and staff retraining aligns with evidence from </w:t>
      </w:r>
      <w:r w:rsidRPr="0066617F">
        <w:rPr>
          <w:rFonts w:ascii="Rockwell" w:hAnsi="Rockwell"/>
          <w:b/>
          <w:bCs/>
          <w:i/>
          <w:iCs/>
          <w:color w:val="00B0F0"/>
          <w:sz w:val="28"/>
          <w:szCs w:val="28"/>
        </w:rPr>
        <w:t>Pittet et al. (2022</w:t>
      </w:r>
      <w:r w:rsidRPr="0066617F">
        <w:rPr>
          <w:rFonts w:ascii="Rockwell" w:hAnsi="Rockwell"/>
          <w:sz w:val="28"/>
          <w:szCs w:val="28"/>
        </w:rPr>
        <w:t>), confirming that multimodal interventions (supply + education) yield higher compliance than isolated measures. However, sustained improvement requires addressing systemic root causes—procurement delays, understaffing, and infrastructure gaps—consistent with Weber et al.’s (2019) emphasis on institutional support as the cornerstone of IPC success.</w:t>
      </w:r>
    </w:p>
    <w:p w14:paraId="37D47486" w14:textId="0CFD9DB0" w:rsidR="00B43213" w:rsidRPr="00211602" w:rsidRDefault="00B43213" w:rsidP="00211602">
      <w:pPr>
        <w:pStyle w:val="Heading1"/>
        <w:spacing w:line="360" w:lineRule="auto"/>
        <w:rPr>
          <w:rFonts w:ascii="Rockwell" w:hAnsi="Rockwell"/>
          <w:b/>
          <w:bCs/>
          <w:sz w:val="32"/>
          <w:szCs w:val="32"/>
        </w:rPr>
      </w:pPr>
      <w:bookmarkStart w:id="14" w:name="_Toc204469335"/>
      <w:r w:rsidRPr="00211602">
        <w:rPr>
          <w:rFonts w:ascii="Rockwell" w:hAnsi="Rockwell"/>
          <w:b/>
          <w:bCs/>
          <w:sz w:val="32"/>
          <w:szCs w:val="32"/>
        </w:rPr>
        <w:t>6. Recommendations</w:t>
      </w:r>
      <w:bookmarkEnd w:id="14"/>
    </w:p>
    <w:p w14:paraId="178A1BB0"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Ensure </w:t>
      </w:r>
      <w:r w:rsidRPr="004D0E2A">
        <w:rPr>
          <w:rFonts w:ascii="Rockwell" w:hAnsi="Rockwell"/>
          <w:b/>
          <w:bCs/>
          <w:sz w:val="24"/>
          <w:szCs w:val="24"/>
        </w:rPr>
        <w:t>alcohol hand rubs</w:t>
      </w:r>
      <w:r w:rsidRPr="004D0E2A">
        <w:rPr>
          <w:rFonts w:ascii="Rockwell" w:hAnsi="Rockwell"/>
          <w:sz w:val="24"/>
          <w:szCs w:val="24"/>
        </w:rPr>
        <w:t xml:space="preserve"> are available at every point of care</w:t>
      </w:r>
    </w:p>
    <w:p w14:paraId="2854F299"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Train and monitor staff to ensure </w:t>
      </w:r>
      <w:r w:rsidRPr="004D0E2A">
        <w:rPr>
          <w:rFonts w:ascii="Rockwell" w:hAnsi="Rockwell"/>
          <w:b/>
          <w:bCs/>
          <w:sz w:val="24"/>
          <w:szCs w:val="24"/>
        </w:rPr>
        <w:t>correct PPE use</w:t>
      </w:r>
      <w:r w:rsidRPr="004D0E2A">
        <w:rPr>
          <w:rFonts w:ascii="Rockwell" w:hAnsi="Rockwell"/>
          <w:sz w:val="24"/>
          <w:szCs w:val="24"/>
        </w:rPr>
        <w:t>, especially gowns in OPD and gynecology</w:t>
      </w:r>
    </w:p>
    <w:p w14:paraId="5DEBB23E"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Provide </w:t>
      </w:r>
      <w:r w:rsidRPr="004D0E2A">
        <w:rPr>
          <w:rFonts w:ascii="Rockwell" w:hAnsi="Rockwell"/>
          <w:b/>
          <w:bCs/>
          <w:sz w:val="24"/>
          <w:szCs w:val="24"/>
        </w:rPr>
        <w:t>additional and regularly emptied sharps containers</w:t>
      </w:r>
      <w:r w:rsidRPr="004D0E2A">
        <w:rPr>
          <w:rFonts w:ascii="Rockwell" w:hAnsi="Rockwell"/>
          <w:sz w:val="24"/>
          <w:szCs w:val="24"/>
        </w:rPr>
        <w:t xml:space="preserve"> in busy units like EOPD</w:t>
      </w:r>
    </w:p>
    <w:p w14:paraId="3621EC7C"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Procure and place </w:t>
      </w:r>
      <w:r w:rsidRPr="004D0E2A">
        <w:rPr>
          <w:rFonts w:ascii="Rockwell" w:hAnsi="Rockwell"/>
          <w:b/>
          <w:bCs/>
          <w:sz w:val="24"/>
          <w:szCs w:val="24"/>
        </w:rPr>
        <w:t>chemical waste bins</w:t>
      </w:r>
      <w:r w:rsidRPr="004D0E2A">
        <w:rPr>
          <w:rFonts w:ascii="Rockwell" w:hAnsi="Rockwell"/>
          <w:sz w:val="24"/>
          <w:szCs w:val="24"/>
        </w:rPr>
        <w:t xml:space="preserve"> in all relevant service areas</w:t>
      </w:r>
    </w:p>
    <w:p w14:paraId="4E7A2378"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Improve </w:t>
      </w:r>
      <w:r w:rsidRPr="004D0E2A">
        <w:rPr>
          <w:rFonts w:ascii="Rockwell" w:hAnsi="Rockwell"/>
          <w:b/>
          <w:bCs/>
          <w:sz w:val="24"/>
          <w:szCs w:val="24"/>
        </w:rPr>
        <w:t>signage and control protocols</w:t>
      </w:r>
      <w:r w:rsidRPr="004D0E2A">
        <w:rPr>
          <w:rFonts w:ascii="Rockwell" w:hAnsi="Rockwell"/>
          <w:sz w:val="24"/>
          <w:szCs w:val="24"/>
        </w:rPr>
        <w:t xml:space="preserve"> for droplet/contact isolation</w:t>
      </w:r>
    </w:p>
    <w:p w14:paraId="3EAF84F1"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Regularly disinfect and maintain </w:t>
      </w:r>
      <w:r w:rsidRPr="004D0E2A">
        <w:rPr>
          <w:rFonts w:ascii="Rockwell" w:hAnsi="Rockwell"/>
          <w:b/>
          <w:bCs/>
          <w:sz w:val="24"/>
          <w:szCs w:val="24"/>
        </w:rPr>
        <w:t>waste bins</w:t>
      </w:r>
      <w:r w:rsidRPr="004D0E2A">
        <w:rPr>
          <w:rFonts w:ascii="Rockwell" w:hAnsi="Rockwell"/>
          <w:sz w:val="24"/>
          <w:szCs w:val="24"/>
        </w:rPr>
        <w:t>, especially in surgical areas</w:t>
      </w:r>
    </w:p>
    <w:p w14:paraId="6E8BDCED" w14:textId="77777777" w:rsidR="008E75B0" w:rsidRPr="004D0E2A" w:rsidRDefault="008E75B0" w:rsidP="008E75B0">
      <w:pPr>
        <w:numPr>
          <w:ilvl w:val="0"/>
          <w:numId w:val="19"/>
        </w:numPr>
        <w:rPr>
          <w:rFonts w:ascii="Rockwell" w:hAnsi="Rockwell"/>
          <w:sz w:val="24"/>
          <w:szCs w:val="24"/>
        </w:rPr>
      </w:pPr>
      <w:r w:rsidRPr="004D0E2A">
        <w:rPr>
          <w:rFonts w:ascii="Rockwell" w:hAnsi="Rockwell"/>
          <w:sz w:val="24"/>
          <w:szCs w:val="24"/>
        </w:rPr>
        <w:t xml:space="preserve">Enhance </w:t>
      </w:r>
      <w:r w:rsidRPr="004D0E2A">
        <w:rPr>
          <w:rFonts w:ascii="Rockwell" w:hAnsi="Rockwell"/>
          <w:b/>
          <w:bCs/>
          <w:sz w:val="24"/>
          <w:szCs w:val="24"/>
        </w:rPr>
        <w:t>storage practices</w:t>
      </w:r>
      <w:r w:rsidRPr="004D0E2A">
        <w:rPr>
          <w:rFonts w:ascii="Rockwell" w:hAnsi="Rockwell"/>
          <w:sz w:val="24"/>
          <w:szCs w:val="24"/>
        </w:rPr>
        <w:t xml:space="preserve"> for cleaning and sterilization equipment</w:t>
      </w:r>
    </w:p>
    <w:p w14:paraId="06A765F7" w14:textId="77777777" w:rsidR="008E75B0" w:rsidRDefault="008E75B0" w:rsidP="008E75B0">
      <w:pPr>
        <w:numPr>
          <w:ilvl w:val="0"/>
          <w:numId w:val="19"/>
        </w:numPr>
        <w:rPr>
          <w:rFonts w:ascii="Rockwell" w:hAnsi="Rockwell"/>
          <w:sz w:val="24"/>
          <w:szCs w:val="24"/>
        </w:rPr>
      </w:pPr>
      <w:r w:rsidRPr="004D0E2A">
        <w:rPr>
          <w:rFonts w:ascii="Rockwell" w:hAnsi="Rockwell"/>
          <w:sz w:val="24"/>
          <w:szCs w:val="24"/>
        </w:rPr>
        <w:t xml:space="preserve">Advocate for establishment of </w:t>
      </w:r>
      <w:r w:rsidRPr="004D0E2A">
        <w:rPr>
          <w:rFonts w:ascii="Rockwell" w:hAnsi="Rockwell"/>
          <w:b/>
          <w:bCs/>
          <w:sz w:val="24"/>
          <w:szCs w:val="24"/>
        </w:rPr>
        <w:t>designated isolation rooms</w:t>
      </w:r>
      <w:r w:rsidRPr="004D0E2A">
        <w:rPr>
          <w:rFonts w:ascii="Rockwell" w:hAnsi="Rockwell"/>
          <w:sz w:val="24"/>
          <w:szCs w:val="24"/>
        </w:rPr>
        <w:t xml:space="preserve"> for contact/airborne cases</w:t>
      </w:r>
    </w:p>
    <w:p w14:paraId="255A3060" w14:textId="77777777" w:rsidR="008E75B0" w:rsidRDefault="008E75B0" w:rsidP="008E75B0">
      <w:pPr>
        <w:rPr>
          <w:rFonts w:ascii="Rockwell" w:hAnsi="Rockwell"/>
          <w:sz w:val="24"/>
          <w:szCs w:val="24"/>
        </w:rPr>
      </w:pPr>
    </w:p>
    <w:p w14:paraId="360CD2FC" w14:textId="77777777" w:rsidR="008E75B0" w:rsidRDefault="008E75B0" w:rsidP="008E75B0">
      <w:pPr>
        <w:rPr>
          <w:rFonts w:ascii="Rockwell" w:hAnsi="Rockwell"/>
          <w:sz w:val="24"/>
          <w:szCs w:val="24"/>
        </w:rPr>
      </w:pPr>
    </w:p>
    <w:p w14:paraId="12AE6C3F" w14:textId="77777777" w:rsidR="008E75B0" w:rsidRDefault="008E75B0" w:rsidP="008E75B0">
      <w:pPr>
        <w:rPr>
          <w:rFonts w:ascii="Rockwell" w:hAnsi="Rockwell"/>
          <w:sz w:val="24"/>
          <w:szCs w:val="24"/>
        </w:rPr>
      </w:pPr>
    </w:p>
    <w:p w14:paraId="41A81063" w14:textId="77777777" w:rsidR="008E75B0" w:rsidRDefault="008E75B0" w:rsidP="008E75B0">
      <w:pPr>
        <w:rPr>
          <w:rFonts w:ascii="Rockwell" w:hAnsi="Rockwell"/>
          <w:sz w:val="24"/>
          <w:szCs w:val="24"/>
        </w:rPr>
      </w:pPr>
    </w:p>
    <w:p w14:paraId="0010ED41" w14:textId="77777777" w:rsidR="006B7001" w:rsidRDefault="006B7001" w:rsidP="008E75B0">
      <w:pPr>
        <w:rPr>
          <w:rFonts w:ascii="Rockwell" w:hAnsi="Rockwell"/>
          <w:sz w:val="24"/>
          <w:szCs w:val="24"/>
        </w:rPr>
      </w:pPr>
    </w:p>
    <w:p w14:paraId="1FDF202F" w14:textId="77777777" w:rsidR="008E75B0" w:rsidRDefault="008E75B0" w:rsidP="008E75B0">
      <w:pPr>
        <w:rPr>
          <w:rFonts w:ascii="Rockwell" w:hAnsi="Rockwell"/>
          <w:sz w:val="24"/>
          <w:szCs w:val="24"/>
        </w:rPr>
      </w:pPr>
    </w:p>
    <w:p w14:paraId="0348F6C2" w14:textId="77777777" w:rsidR="008E75B0" w:rsidRPr="004D0E2A" w:rsidRDefault="008E75B0" w:rsidP="008E75B0">
      <w:pPr>
        <w:rPr>
          <w:rFonts w:ascii="Rockwell" w:hAnsi="Rockwell"/>
          <w:sz w:val="24"/>
          <w:szCs w:val="24"/>
        </w:rPr>
      </w:pPr>
    </w:p>
    <w:p w14:paraId="08EDC07E" w14:textId="66ACB98F" w:rsidR="00B43213" w:rsidRPr="00211602" w:rsidRDefault="00211602" w:rsidP="006B7001">
      <w:pPr>
        <w:pStyle w:val="Heading1"/>
        <w:spacing w:line="360" w:lineRule="auto"/>
        <w:ind w:left="360"/>
        <w:rPr>
          <w:rFonts w:ascii="Rockwell" w:hAnsi="Rockwell"/>
          <w:b/>
          <w:bCs/>
          <w:sz w:val="32"/>
          <w:szCs w:val="32"/>
        </w:rPr>
      </w:pPr>
      <w:bookmarkStart w:id="15" w:name="_Toc204469336"/>
      <w:r>
        <w:rPr>
          <w:rFonts w:ascii="Rockwell" w:hAnsi="Rockwell"/>
          <w:b/>
          <w:bCs/>
          <w:sz w:val="32"/>
          <w:szCs w:val="32"/>
        </w:rPr>
        <w:lastRenderedPageBreak/>
        <w:t>7</w:t>
      </w:r>
      <w:r w:rsidR="00B43213" w:rsidRPr="00211602">
        <w:rPr>
          <w:rFonts w:ascii="Rockwell" w:hAnsi="Rockwell"/>
          <w:b/>
          <w:bCs/>
          <w:sz w:val="32"/>
          <w:szCs w:val="32"/>
        </w:rPr>
        <w:t>. Action Plan</w:t>
      </w:r>
      <w:bookmarkEnd w:id="15"/>
    </w:p>
    <w:tbl>
      <w:tblPr>
        <w:tblStyle w:val="TableGrid"/>
        <w:tblW w:w="11425" w:type="dxa"/>
        <w:tblLook w:val="04A0" w:firstRow="1" w:lastRow="0" w:firstColumn="1" w:lastColumn="0" w:noHBand="0" w:noVBand="1"/>
      </w:tblPr>
      <w:tblGrid>
        <w:gridCol w:w="2762"/>
        <w:gridCol w:w="1913"/>
        <w:gridCol w:w="2430"/>
        <w:gridCol w:w="2720"/>
        <w:gridCol w:w="1600"/>
      </w:tblGrid>
      <w:tr w:rsidR="006B7001" w:rsidRPr="006B7001" w14:paraId="690B5B8E" w14:textId="77777777" w:rsidTr="006B7001">
        <w:tc>
          <w:tcPr>
            <w:tcW w:w="0" w:type="auto"/>
            <w:hideMark/>
          </w:tcPr>
          <w:p w14:paraId="1D6BF178" w14:textId="77777777" w:rsidR="006B7001" w:rsidRPr="006B7001" w:rsidRDefault="006B7001" w:rsidP="006B7001">
            <w:pPr>
              <w:spacing w:after="160" w:line="360" w:lineRule="auto"/>
              <w:rPr>
                <w:rFonts w:ascii="Rockwell" w:hAnsi="Rockwell"/>
                <w:b/>
                <w:bCs/>
                <w:sz w:val="24"/>
                <w:szCs w:val="24"/>
              </w:rPr>
            </w:pPr>
            <w:r w:rsidRPr="006B7001">
              <w:rPr>
                <w:rFonts w:ascii="Rockwell" w:hAnsi="Rockwell"/>
                <w:b/>
                <w:bCs/>
                <w:sz w:val="24"/>
                <w:szCs w:val="24"/>
              </w:rPr>
              <w:t>Gap Identified</w:t>
            </w:r>
          </w:p>
        </w:tc>
        <w:tc>
          <w:tcPr>
            <w:tcW w:w="1913" w:type="dxa"/>
            <w:hideMark/>
          </w:tcPr>
          <w:p w14:paraId="511B516C" w14:textId="77777777" w:rsidR="006B7001" w:rsidRPr="006B7001" w:rsidRDefault="006B7001" w:rsidP="006B7001">
            <w:pPr>
              <w:spacing w:after="160" w:line="360" w:lineRule="auto"/>
              <w:rPr>
                <w:rFonts w:ascii="Rockwell" w:hAnsi="Rockwell"/>
                <w:b/>
                <w:bCs/>
                <w:sz w:val="24"/>
                <w:szCs w:val="24"/>
              </w:rPr>
            </w:pPr>
            <w:r w:rsidRPr="006B7001">
              <w:rPr>
                <w:rFonts w:ascii="Rockwell" w:hAnsi="Rockwell"/>
                <w:b/>
                <w:bCs/>
                <w:sz w:val="24"/>
                <w:szCs w:val="24"/>
              </w:rPr>
              <w:t>Root Cause</w:t>
            </w:r>
          </w:p>
        </w:tc>
        <w:tc>
          <w:tcPr>
            <w:tcW w:w="2430" w:type="dxa"/>
            <w:hideMark/>
          </w:tcPr>
          <w:p w14:paraId="200F8B5B" w14:textId="77777777" w:rsidR="006B7001" w:rsidRPr="006B7001" w:rsidRDefault="006B7001" w:rsidP="006B7001">
            <w:pPr>
              <w:spacing w:after="160" w:line="360" w:lineRule="auto"/>
              <w:rPr>
                <w:rFonts w:ascii="Rockwell" w:hAnsi="Rockwell"/>
                <w:b/>
                <w:bCs/>
                <w:sz w:val="24"/>
                <w:szCs w:val="24"/>
              </w:rPr>
            </w:pPr>
            <w:r w:rsidRPr="006B7001">
              <w:rPr>
                <w:rFonts w:ascii="Rockwell" w:hAnsi="Rockwell"/>
                <w:b/>
                <w:bCs/>
                <w:sz w:val="24"/>
                <w:szCs w:val="24"/>
              </w:rPr>
              <w:t>Action to Be Taken</w:t>
            </w:r>
          </w:p>
        </w:tc>
        <w:tc>
          <w:tcPr>
            <w:tcW w:w="2720" w:type="dxa"/>
            <w:hideMark/>
          </w:tcPr>
          <w:p w14:paraId="0F61E3D9" w14:textId="77777777" w:rsidR="006B7001" w:rsidRPr="006B7001" w:rsidRDefault="006B7001" w:rsidP="006B7001">
            <w:pPr>
              <w:spacing w:after="160" w:line="360" w:lineRule="auto"/>
              <w:rPr>
                <w:rFonts w:ascii="Rockwell" w:hAnsi="Rockwell"/>
                <w:b/>
                <w:bCs/>
                <w:sz w:val="24"/>
                <w:szCs w:val="24"/>
              </w:rPr>
            </w:pPr>
            <w:r w:rsidRPr="006B7001">
              <w:rPr>
                <w:rFonts w:ascii="Rockwell" w:hAnsi="Rockwell"/>
                <w:b/>
                <w:bCs/>
                <w:sz w:val="24"/>
                <w:szCs w:val="24"/>
              </w:rPr>
              <w:t>Responsible Body</w:t>
            </w:r>
          </w:p>
        </w:tc>
        <w:tc>
          <w:tcPr>
            <w:tcW w:w="1600" w:type="dxa"/>
            <w:hideMark/>
          </w:tcPr>
          <w:p w14:paraId="396EC1BE" w14:textId="77777777" w:rsidR="006B7001" w:rsidRPr="006B7001" w:rsidRDefault="006B7001" w:rsidP="006B7001">
            <w:pPr>
              <w:spacing w:after="160" w:line="360" w:lineRule="auto"/>
              <w:rPr>
                <w:rFonts w:ascii="Rockwell" w:hAnsi="Rockwell"/>
                <w:b/>
                <w:bCs/>
                <w:sz w:val="24"/>
                <w:szCs w:val="24"/>
              </w:rPr>
            </w:pPr>
            <w:r w:rsidRPr="006B7001">
              <w:rPr>
                <w:rFonts w:ascii="Rockwell" w:hAnsi="Rockwell"/>
                <w:b/>
                <w:bCs/>
                <w:sz w:val="24"/>
                <w:szCs w:val="24"/>
              </w:rPr>
              <w:t>Timeline</w:t>
            </w:r>
          </w:p>
        </w:tc>
      </w:tr>
      <w:tr w:rsidR="006B7001" w:rsidRPr="006B7001" w14:paraId="2E46BB60" w14:textId="77777777" w:rsidTr="006B7001">
        <w:tc>
          <w:tcPr>
            <w:tcW w:w="0" w:type="auto"/>
            <w:hideMark/>
          </w:tcPr>
          <w:p w14:paraId="73C44600"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Lack of alcohol rub at point of care</w:t>
            </w:r>
          </w:p>
        </w:tc>
        <w:tc>
          <w:tcPr>
            <w:tcW w:w="1913" w:type="dxa"/>
            <w:hideMark/>
          </w:tcPr>
          <w:p w14:paraId="4BBE7206"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Inadequate distribution</w:t>
            </w:r>
          </w:p>
        </w:tc>
        <w:tc>
          <w:tcPr>
            <w:tcW w:w="2430" w:type="dxa"/>
            <w:hideMark/>
          </w:tcPr>
          <w:p w14:paraId="64292C1D"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Provide rub dispensers to all service points</w:t>
            </w:r>
          </w:p>
        </w:tc>
        <w:tc>
          <w:tcPr>
            <w:tcW w:w="2720" w:type="dxa"/>
            <w:hideMark/>
          </w:tcPr>
          <w:p w14:paraId="1A8E4FDF"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Pharmacy &amp; IPC</w:t>
            </w:r>
          </w:p>
        </w:tc>
        <w:tc>
          <w:tcPr>
            <w:tcW w:w="1600" w:type="dxa"/>
            <w:hideMark/>
          </w:tcPr>
          <w:p w14:paraId="609AD0BD"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Within 2 weeks</w:t>
            </w:r>
          </w:p>
        </w:tc>
      </w:tr>
      <w:tr w:rsidR="006B7001" w:rsidRPr="006B7001" w14:paraId="622C2E6D" w14:textId="77777777" w:rsidTr="006B7001">
        <w:tc>
          <w:tcPr>
            <w:tcW w:w="0" w:type="auto"/>
            <w:hideMark/>
          </w:tcPr>
          <w:p w14:paraId="6A8F2E1C"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PPE gown use non-compliant</w:t>
            </w:r>
          </w:p>
        </w:tc>
        <w:tc>
          <w:tcPr>
            <w:tcW w:w="1913" w:type="dxa"/>
            <w:hideMark/>
          </w:tcPr>
          <w:p w14:paraId="11E8D904"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Poor adherence</w:t>
            </w:r>
          </w:p>
        </w:tc>
        <w:tc>
          <w:tcPr>
            <w:tcW w:w="2430" w:type="dxa"/>
            <w:hideMark/>
          </w:tcPr>
          <w:p w14:paraId="2CDA370F"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Refresher training for OPD &amp; gynecology staff</w:t>
            </w:r>
          </w:p>
        </w:tc>
        <w:tc>
          <w:tcPr>
            <w:tcW w:w="2720" w:type="dxa"/>
            <w:hideMark/>
          </w:tcPr>
          <w:p w14:paraId="4A7F14AA"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IPC Committee</w:t>
            </w:r>
          </w:p>
        </w:tc>
        <w:tc>
          <w:tcPr>
            <w:tcW w:w="1600" w:type="dxa"/>
            <w:hideMark/>
          </w:tcPr>
          <w:p w14:paraId="08488BE9"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Week 1</w:t>
            </w:r>
          </w:p>
        </w:tc>
      </w:tr>
      <w:tr w:rsidR="006B7001" w:rsidRPr="006B7001" w14:paraId="7E9F73F3" w14:textId="77777777" w:rsidTr="006B7001">
        <w:tc>
          <w:tcPr>
            <w:tcW w:w="0" w:type="auto"/>
            <w:hideMark/>
          </w:tcPr>
          <w:p w14:paraId="53FE020F"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Overfilled sharps containers</w:t>
            </w:r>
          </w:p>
        </w:tc>
        <w:tc>
          <w:tcPr>
            <w:tcW w:w="1913" w:type="dxa"/>
            <w:hideMark/>
          </w:tcPr>
          <w:p w14:paraId="52A1D9F5"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Poor disposal practice</w:t>
            </w:r>
          </w:p>
        </w:tc>
        <w:tc>
          <w:tcPr>
            <w:tcW w:w="2430" w:type="dxa"/>
            <w:hideMark/>
          </w:tcPr>
          <w:p w14:paraId="2633640C"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Increase container availability and monitor use</w:t>
            </w:r>
          </w:p>
        </w:tc>
        <w:tc>
          <w:tcPr>
            <w:tcW w:w="2720" w:type="dxa"/>
            <w:hideMark/>
          </w:tcPr>
          <w:p w14:paraId="1C91E43F"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Nursing Units</w:t>
            </w:r>
          </w:p>
        </w:tc>
        <w:tc>
          <w:tcPr>
            <w:tcW w:w="1600" w:type="dxa"/>
            <w:hideMark/>
          </w:tcPr>
          <w:p w14:paraId="23EE0E18"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Immediate</w:t>
            </w:r>
          </w:p>
        </w:tc>
      </w:tr>
      <w:tr w:rsidR="006B7001" w:rsidRPr="006B7001" w14:paraId="5DFCFB1A" w14:textId="77777777" w:rsidTr="006B7001">
        <w:tc>
          <w:tcPr>
            <w:tcW w:w="0" w:type="auto"/>
            <w:hideMark/>
          </w:tcPr>
          <w:p w14:paraId="46302B30"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Absence of chemical waste bins</w:t>
            </w:r>
          </w:p>
        </w:tc>
        <w:tc>
          <w:tcPr>
            <w:tcW w:w="1913" w:type="dxa"/>
            <w:hideMark/>
          </w:tcPr>
          <w:p w14:paraId="40F5984B"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Procurement gap</w:t>
            </w:r>
          </w:p>
        </w:tc>
        <w:tc>
          <w:tcPr>
            <w:tcW w:w="2430" w:type="dxa"/>
            <w:hideMark/>
          </w:tcPr>
          <w:p w14:paraId="28E05681"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Procure and distribute chemical bins</w:t>
            </w:r>
          </w:p>
        </w:tc>
        <w:tc>
          <w:tcPr>
            <w:tcW w:w="2720" w:type="dxa"/>
            <w:hideMark/>
          </w:tcPr>
          <w:p w14:paraId="416363DC"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Procurement Office</w:t>
            </w:r>
          </w:p>
        </w:tc>
        <w:tc>
          <w:tcPr>
            <w:tcW w:w="1600" w:type="dxa"/>
            <w:hideMark/>
          </w:tcPr>
          <w:p w14:paraId="1CFAD653"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Within 2 weeks</w:t>
            </w:r>
          </w:p>
        </w:tc>
      </w:tr>
      <w:tr w:rsidR="006B7001" w:rsidRPr="006B7001" w14:paraId="4D0C157C" w14:textId="77777777" w:rsidTr="006B7001">
        <w:tc>
          <w:tcPr>
            <w:tcW w:w="0" w:type="auto"/>
            <w:hideMark/>
          </w:tcPr>
          <w:p w14:paraId="4D3A0330"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Patient movement under droplet/contact precautions</w:t>
            </w:r>
          </w:p>
        </w:tc>
        <w:tc>
          <w:tcPr>
            <w:tcW w:w="1913" w:type="dxa"/>
            <w:hideMark/>
          </w:tcPr>
          <w:p w14:paraId="4599341C"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Lack of protocol awareness</w:t>
            </w:r>
          </w:p>
        </w:tc>
        <w:tc>
          <w:tcPr>
            <w:tcW w:w="2430" w:type="dxa"/>
            <w:hideMark/>
          </w:tcPr>
          <w:p w14:paraId="2170F0B0"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Add transport restriction protocols to training</w:t>
            </w:r>
          </w:p>
        </w:tc>
        <w:tc>
          <w:tcPr>
            <w:tcW w:w="2720" w:type="dxa"/>
            <w:hideMark/>
          </w:tcPr>
          <w:p w14:paraId="04CE539A"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IPC Committee</w:t>
            </w:r>
          </w:p>
        </w:tc>
        <w:tc>
          <w:tcPr>
            <w:tcW w:w="1600" w:type="dxa"/>
            <w:hideMark/>
          </w:tcPr>
          <w:p w14:paraId="7A69EF3E"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Week 2</w:t>
            </w:r>
          </w:p>
        </w:tc>
      </w:tr>
      <w:tr w:rsidR="006B7001" w:rsidRPr="006B7001" w14:paraId="1946C154" w14:textId="77777777" w:rsidTr="006B7001">
        <w:tc>
          <w:tcPr>
            <w:tcW w:w="0" w:type="auto"/>
            <w:hideMark/>
          </w:tcPr>
          <w:p w14:paraId="63A1088B"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Waste bin disinfection lacking</w:t>
            </w:r>
          </w:p>
        </w:tc>
        <w:tc>
          <w:tcPr>
            <w:tcW w:w="1913" w:type="dxa"/>
            <w:hideMark/>
          </w:tcPr>
          <w:p w14:paraId="33D195D0"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Poor scheduling</w:t>
            </w:r>
          </w:p>
        </w:tc>
        <w:tc>
          <w:tcPr>
            <w:tcW w:w="2430" w:type="dxa"/>
            <w:hideMark/>
          </w:tcPr>
          <w:p w14:paraId="0A6D13D3"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Establish bin cleaning schedule in surgical wards</w:t>
            </w:r>
          </w:p>
        </w:tc>
        <w:tc>
          <w:tcPr>
            <w:tcW w:w="2720" w:type="dxa"/>
            <w:hideMark/>
          </w:tcPr>
          <w:p w14:paraId="159E2F2A"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Housekeeping</w:t>
            </w:r>
          </w:p>
        </w:tc>
        <w:tc>
          <w:tcPr>
            <w:tcW w:w="1600" w:type="dxa"/>
            <w:hideMark/>
          </w:tcPr>
          <w:p w14:paraId="708429DC" w14:textId="77777777" w:rsidR="006B7001" w:rsidRPr="006B7001" w:rsidRDefault="006B7001" w:rsidP="006B7001">
            <w:pPr>
              <w:spacing w:after="160" w:line="360" w:lineRule="auto"/>
              <w:rPr>
                <w:rFonts w:ascii="Rockwell" w:hAnsi="Rockwell"/>
                <w:sz w:val="24"/>
                <w:szCs w:val="24"/>
              </w:rPr>
            </w:pPr>
            <w:r w:rsidRPr="006B7001">
              <w:rPr>
                <w:rFonts w:ascii="Rockwell" w:hAnsi="Rockwell"/>
                <w:sz w:val="24"/>
                <w:szCs w:val="24"/>
              </w:rPr>
              <w:t>Ongoing</w:t>
            </w:r>
          </w:p>
        </w:tc>
      </w:tr>
    </w:tbl>
    <w:p w14:paraId="3B6A0586" w14:textId="77777777" w:rsidR="006B7001" w:rsidRDefault="006B7001" w:rsidP="00B43213">
      <w:pPr>
        <w:rPr>
          <w:rFonts w:ascii="Rockwell" w:hAnsi="Rockwell"/>
          <w:sz w:val="24"/>
          <w:szCs w:val="24"/>
        </w:rPr>
      </w:pPr>
    </w:p>
    <w:p w14:paraId="1F2642D9" w14:textId="77777777" w:rsidR="006B7001" w:rsidRDefault="006B7001" w:rsidP="00B43213">
      <w:pPr>
        <w:rPr>
          <w:rFonts w:ascii="Rockwell" w:hAnsi="Rockwell"/>
          <w:sz w:val="24"/>
          <w:szCs w:val="24"/>
        </w:rPr>
      </w:pPr>
    </w:p>
    <w:p w14:paraId="06FC7C61" w14:textId="28DD3B7C" w:rsidR="00B43213" w:rsidRPr="00211602" w:rsidRDefault="00B229EF" w:rsidP="00211602">
      <w:pPr>
        <w:pStyle w:val="Heading1"/>
        <w:spacing w:line="360" w:lineRule="auto"/>
        <w:rPr>
          <w:rFonts w:ascii="Rockwell" w:hAnsi="Rockwell"/>
          <w:b/>
          <w:bCs/>
          <w:sz w:val="32"/>
          <w:szCs w:val="32"/>
        </w:rPr>
      </w:pPr>
      <w:bookmarkStart w:id="16" w:name="_Toc204469337"/>
      <w:r>
        <w:rPr>
          <w:rFonts w:ascii="Rockwell" w:hAnsi="Rockwell"/>
          <w:b/>
          <w:bCs/>
          <w:sz w:val="32"/>
          <w:szCs w:val="32"/>
        </w:rPr>
        <w:lastRenderedPageBreak/>
        <w:t>8</w:t>
      </w:r>
      <w:r w:rsidR="00B43213" w:rsidRPr="00211602">
        <w:rPr>
          <w:rFonts w:ascii="Rockwell" w:hAnsi="Rockwell"/>
          <w:b/>
          <w:bCs/>
          <w:sz w:val="32"/>
          <w:szCs w:val="32"/>
        </w:rPr>
        <w:t>. References</w:t>
      </w:r>
      <w:bookmarkEnd w:id="16"/>
    </w:p>
    <w:p w14:paraId="1F3C48F1"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(2021). </w:t>
      </w:r>
      <w:r w:rsidRPr="00B229EF">
        <w:rPr>
          <w:rFonts w:ascii="Rockwell" w:hAnsi="Rockwell"/>
          <w:i/>
          <w:iCs/>
          <w:sz w:val="24"/>
          <w:szCs w:val="24"/>
        </w:rPr>
        <w:t>Infection prevention and control during health care when coronavirus disease (COVID-19) is suspected or confirmed</w:t>
      </w:r>
      <w:r w:rsidRPr="00B229EF">
        <w:rPr>
          <w:rFonts w:ascii="Rockwell" w:hAnsi="Rockwell"/>
          <w:sz w:val="24"/>
          <w:szCs w:val="24"/>
        </w:rPr>
        <w:t xml:space="preserve">. Interim guidance. </w:t>
      </w:r>
      <w:hyperlink r:id="rId12" w:tgtFrame="_new" w:history="1">
        <w:r w:rsidRPr="00B229EF">
          <w:rPr>
            <w:rStyle w:val="Hyperlink"/>
            <w:rFonts w:ascii="Rockwell" w:hAnsi="Rockwell"/>
            <w:sz w:val="24"/>
            <w:szCs w:val="24"/>
          </w:rPr>
          <w:t>https://www.who.int/publications/i/item/WHO-2019-nCoV-IPC-2021.1</w:t>
        </w:r>
      </w:hyperlink>
    </w:p>
    <w:p w14:paraId="66C705C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World Health Organization (WHO). (2022). </w:t>
      </w:r>
      <w:r w:rsidRPr="00B229EF">
        <w:rPr>
          <w:rFonts w:ascii="Rockwell" w:hAnsi="Rockwell"/>
          <w:i/>
          <w:iCs/>
          <w:sz w:val="24"/>
          <w:szCs w:val="24"/>
        </w:rPr>
        <w:t>Global Report on Infection Prevention and Control</w:t>
      </w:r>
      <w:r w:rsidRPr="00B229EF">
        <w:rPr>
          <w:rFonts w:ascii="Rockwell" w:hAnsi="Rockwell"/>
          <w:sz w:val="24"/>
          <w:szCs w:val="24"/>
        </w:rPr>
        <w:t xml:space="preserve">. Geneva: WHO. </w:t>
      </w:r>
      <w:hyperlink r:id="rId13" w:tgtFrame="_new" w:history="1">
        <w:r w:rsidRPr="00B229EF">
          <w:rPr>
            <w:rStyle w:val="Hyperlink"/>
            <w:rFonts w:ascii="Rockwell" w:hAnsi="Rockwell"/>
            <w:sz w:val="24"/>
            <w:szCs w:val="24"/>
          </w:rPr>
          <w:t>https://www.who.int/publications/i/item/9789240051164</w:t>
        </w:r>
      </w:hyperlink>
    </w:p>
    <w:p w14:paraId="7C34FD3A"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Pittet, D., et al. (2022). </w:t>
      </w:r>
      <w:r w:rsidRPr="00B229EF">
        <w:rPr>
          <w:rFonts w:ascii="Rockwell" w:hAnsi="Rockwell"/>
          <w:i/>
          <w:iCs/>
          <w:sz w:val="24"/>
          <w:szCs w:val="24"/>
        </w:rPr>
        <w:t>Hand hygiene and infection control: Past, present, and future</w:t>
      </w:r>
      <w:r w:rsidRPr="00B229EF">
        <w:rPr>
          <w:rFonts w:ascii="Rockwell" w:hAnsi="Rockwell"/>
          <w:sz w:val="24"/>
          <w:szCs w:val="24"/>
        </w:rPr>
        <w:t xml:space="preserve">. </w:t>
      </w:r>
      <w:r w:rsidRPr="00B229EF">
        <w:rPr>
          <w:rFonts w:ascii="Rockwell" w:hAnsi="Rockwell"/>
          <w:i/>
          <w:iCs/>
          <w:sz w:val="24"/>
          <w:szCs w:val="24"/>
        </w:rPr>
        <w:t>Lancet Infectious Diseases</w:t>
      </w:r>
      <w:r w:rsidRPr="00B229EF">
        <w:rPr>
          <w:rFonts w:ascii="Rockwell" w:hAnsi="Rockwell"/>
          <w:sz w:val="24"/>
          <w:szCs w:val="24"/>
        </w:rPr>
        <w:t>, 22(5), e138–e148. doi:10.1016/S1473-3099(21)00780-6</w:t>
      </w:r>
    </w:p>
    <w:p w14:paraId="17E38FC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Chughtai, A. A., et al. </w:t>
      </w:r>
      <w:r w:rsidRPr="00B229EF">
        <w:rPr>
          <w:rFonts w:ascii="Rockwell" w:hAnsi="Rockwell"/>
          <w:sz w:val="24"/>
          <w:szCs w:val="24"/>
        </w:rPr>
        <w:t xml:space="preserve">(2020). </w:t>
      </w:r>
      <w:r w:rsidRPr="00B229EF">
        <w:rPr>
          <w:rFonts w:ascii="Rockwell" w:hAnsi="Rockwell"/>
          <w:i/>
          <w:iCs/>
          <w:sz w:val="24"/>
          <w:szCs w:val="24"/>
        </w:rPr>
        <w:t>Contamination by respiratory viruses on outer surface of medical masks used by hospital healthcare workers</w:t>
      </w:r>
      <w:r w:rsidRPr="00B229EF">
        <w:rPr>
          <w:rFonts w:ascii="Rockwell" w:hAnsi="Rockwell"/>
          <w:sz w:val="24"/>
          <w:szCs w:val="24"/>
        </w:rPr>
        <w:t xml:space="preserve">. </w:t>
      </w:r>
      <w:r w:rsidRPr="00B229EF">
        <w:rPr>
          <w:rFonts w:ascii="Rockwell" w:hAnsi="Rockwell"/>
          <w:i/>
          <w:iCs/>
          <w:sz w:val="24"/>
          <w:szCs w:val="24"/>
        </w:rPr>
        <w:t>BMC Infectious Diseases</w:t>
      </w:r>
      <w:r w:rsidRPr="00B229EF">
        <w:rPr>
          <w:rFonts w:ascii="Rockwell" w:hAnsi="Rockwell"/>
          <w:sz w:val="24"/>
          <w:szCs w:val="24"/>
        </w:rPr>
        <w:t>, 20(1), 202. doi:10.1186/s12879-020-4894-4</w:t>
      </w:r>
    </w:p>
    <w:p w14:paraId="100FD34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lang w:val="fi-FI"/>
        </w:rPr>
        <w:t xml:space="preserve">Otter, J. A., et al. </w:t>
      </w:r>
      <w:r w:rsidRPr="00B229EF">
        <w:rPr>
          <w:rFonts w:ascii="Rockwell" w:hAnsi="Rockwell"/>
          <w:sz w:val="24"/>
          <w:szCs w:val="24"/>
        </w:rPr>
        <w:t xml:space="preserve">(2020). </w:t>
      </w:r>
      <w:r w:rsidRPr="00B229EF">
        <w:rPr>
          <w:rFonts w:ascii="Rockwell" w:hAnsi="Rockwell"/>
          <w:i/>
          <w:iCs/>
          <w:sz w:val="24"/>
          <w:szCs w:val="24"/>
        </w:rPr>
        <w:t>Transmission of SARS and MERS coronaviruses and influenza virus in healthcare settings: the possible role of dry surface contamination</w:t>
      </w:r>
      <w:r w:rsidRPr="00B229EF">
        <w:rPr>
          <w:rFonts w:ascii="Rockwell" w:hAnsi="Rockwell"/>
          <w:sz w:val="24"/>
          <w:szCs w:val="24"/>
        </w:rPr>
        <w:t xml:space="preserve">. </w:t>
      </w:r>
      <w:r w:rsidRPr="00B229EF">
        <w:rPr>
          <w:rFonts w:ascii="Rockwell" w:hAnsi="Rockwell"/>
          <w:i/>
          <w:iCs/>
          <w:sz w:val="24"/>
          <w:szCs w:val="24"/>
        </w:rPr>
        <w:t>Clinical Infectious Diseases</w:t>
      </w:r>
      <w:r w:rsidRPr="00B229EF">
        <w:rPr>
          <w:rFonts w:ascii="Rockwell" w:hAnsi="Rockwell"/>
          <w:sz w:val="24"/>
          <w:szCs w:val="24"/>
        </w:rPr>
        <w:t>, 71(4), 857–864. doi:10.1093/</w:t>
      </w:r>
      <w:proofErr w:type="spellStart"/>
      <w:r w:rsidRPr="00B229EF">
        <w:rPr>
          <w:rFonts w:ascii="Rockwell" w:hAnsi="Rockwell"/>
          <w:sz w:val="24"/>
          <w:szCs w:val="24"/>
        </w:rPr>
        <w:t>cid</w:t>
      </w:r>
      <w:proofErr w:type="spellEnd"/>
      <w:r w:rsidRPr="00B229EF">
        <w:rPr>
          <w:rFonts w:ascii="Rockwell" w:hAnsi="Rockwell"/>
          <w:sz w:val="24"/>
          <w:szCs w:val="24"/>
        </w:rPr>
        <w:t>/ciz686</w:t>
      </w:r>
    </w:p>
    <w:p w14:paraId="4A295303"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r w:rsidRPr="00B229EF">
        <w:rPr>
          <w:rFonts w:ascii="Rockwell" w:hAnsi="Rockwell"/>
          <w:sz w:val="24"/>
          <w:szCs w:val="24"/>
        </w:rPr>
        <w:t xml:space="preserve">Centers for Disease Control and Prevention (CDC). (2020). </w:t>
      </w:r>
      <w:r w:rsidRPr="00B229EF">
        <w:rPr>
          <w:rFonts w:ascii="Rockwell" w:hAnsi="Rockwell"/>
          <w:i/>
          <w:iCs/>
          <w:sz w:val="24"/>
          <w:szCs w:val="24"/>
        </w:rPr>
        <w:t>Guidelines for Environmental Infection Control in Health-Care Facilities</w:t>
      </w:r>
      <w:r w:rsidRPr="00B229EF">
        <w:rPr>
          <w:rFonts w:ascii="Rockwell" w:hAnsi="Rockwell"/>
          <w:sz w:val="24"/>
          <w:szCs w:val="24"/>
        </w:rPr>
        <w:t xml:space="preserve">. </w:t>
      </w:r>
      <w:hyperlink r:id="rId14" w:tgtFrame="_new" w:history="1">
        <w:r w:rsidRPr="00B229EF">
          <w:rPr>
            <w:rStyle w:val="Hyperlink"/>
            <w:rFonts w:ascii="Rockwell" w:hAnsi="Rockwell"/>
            <w:sz w:val="24"/>
            <w:szCs w:val="24"/>
          </w:rPr>
          <w:t>https://www.cdc.gov/infectioncontrol/guidelines/environmental/index.html</w:t>
        </w:r>
      </w:hyperlink>
    </w:p>
    <w:p w14:paraId="2E627C79" w14:textId="77777777" w:rsidR="00B43213" w:rsidRPr="00B229EF" w:rsidRDefault="00B43213" w:rsidP="00B229EF">
      <w:pPr>
        <w:pStyle w:val="ListParagraph"/>
        <w:numPr>
          <w:ilvl w:val="0"/>
          <w:numId w:val="18"/>
        </w:numPr>
        <w:spacing w:line="360" w:lineRule="auto"/>
        <w:jc w:val="both"/>
        <w:rPr>
          <w:rFonts w:ascii="Rockwell" w:hAnsi="Rockwell"/>
          <w:sz w:val="24"/>
          <w:szCs w:val="24"/>
        </w:rPr>
      </w:pPr>
      <w:proofErr w:type="spellStart"/>
      <w:r w:rsidRPr="00B229EF">
        <w:rPr>
          <w:rFonts w:ascii="Rockwell" w:hAnsi="Rockwell"/>
          <w:sz w:val="24"/>
          <w:szCs w:val="24"/>
        </w:rPr>
        <w:t>Debere</w:t>
      </w:r>
      <w:proofErr w:type="spellEnd"/>
      <w:r w:rsidRPr="00B229EF">
        <w:rPr>
          <w:rFonts w:ascii="Rockwell" w:hAnsi="Rockwell"/>
          <w:sz w:val="24"/>
          <w:szCs w:val="24"/>
        </w:rPr>
        <w:t xml:space="preserve">, M. K., et al. (2018). </w:t>
      </w:r>
      <w:r w:rsidRPr="00B229EF">
        <w:rPr>
          <w:rFonts w:ascii="Rockwell" w:hAnsi="Rockwell"/>
          <w:i/>
          <w:iCs/>
          <w:sz w:val="24"/>
          <w:szCs w:val="24"/>
        </w:rPr>
        <w:t>Assessment of health care waste management practices and associated factors among health workers in Addis Ababa public health facilities, Ethiopia</w:t>
      </w:r>
      <w:r w:rsidRPr="00B229EF">
        <w:rPr>
          <w:rFonts w:ascii="Rockwell" w:hAnsi="Rockwell"/>
          <w:sz w:val="24"/>
          <w:szCs w:val="24"/>
        </w:rPr>
        <w:t xml:space="preserve">. </w:t>
      </w:r>
      <w:r w:rsidRPr="00B229EF">
        <w:rPr>
          <w:rFonts w:ascii="Rockwell" w:hAnsi="Rockwell"/>
          <w:i/>
          <w:iCs/>
          <w:sz w:val="24"/>
          <w:szCs w:val="24"/>
        </w:rPr>
        <w:t>Waste Management &amp; Research</w:t>
      </w:r>
      <w:r w:rsidRPr="00B229EF">
        <w:rPr>
          <w:rFonts w:ascii="Rockwell" w:hAnsi="Rockwell"/>
          <w:sz w:val="24"/>
          <w:szCs w:val="24"/>
        </w:rPr>
        <w:t>, 36(11), 1051–1061. doi:10.1177/0734242X18793984</w:t>
      </w:r>
    </w:p>
    <w:p w14:paraId="134DF465" w14:textId="77777777" w:rsidR="00B43213" w:rsidRPr="00B229EF" w:rsidRDefault="00B43213" w:rsidP="00B229EF">
      <w:pPr>
        <w:pStyle w:val="ListParagraph"/>
        <w:numPr>
          <w:ilvl w:val="0"/>
          <w:numId w:val="18"/>
        </w:numPr>
        <w:spacing w:line="360" w:lineRule="auto"/>
        <w:jc w:val="both"/>
        <w:rPr>
          <w:rFonts w:ascii="Rockwell" w:hAnsi="Rockwell"/>
          <w:b/>
          <w:bCs/>
          <w:sz w:val="24"/>
          <w:szCs w:val="24"/>
        </w:rPr>
      </w:pPr>
      <w:r w:rsidRPr="00B229EF">
        <w:rPr>
          <w:rFonts w:ascii="Rockwell" w:hAnsi="Rockwell"/>
          <w:sz w:val="24"/>
          <w:szCs w:val="24"/>
        </w:rPr>
        <w:t xml:space="preserve">Weber, D. J., et al. (2019). </w:t>
      </w:r>
      <w:r w:rsidRPr="00B229EF">
        <w:rPr>
          <w:rFonts w:ascii="Rockwell" w:hAnsi="Rockwell"/>
          <w:i/>
          <w:iCs/>
          <w:sz w:val="24"/>
          <w:szCs w:val="24"/>
        </w:rPr>
        <w:t>The role of the environment in transmission of Clostridium difficile infection in healthcare facilities</w:t>
      </w:r>
      <w:r w:rsidRPr="00B229EF">
        <w:rPr>
          <w:rFonts w:ascii="Rockwell" w:hAnsi="Rockwell"/>
          <w:sz w:val="24"/>
          <w:szCs w:val="24"/>
        </w:rPr>
        <w:t xml:space="preserve">. </w:t>
      </w:r>
      <w:r w:rsidRPr="00B229EF">
        <w:rPr>
          <w:rFonts w:ascii="Rockwell" w:hAnsi="Rockwell"/>
          <w:i/>
          <w:iCs/>
          <w:sz w:val="24"/>
          <w:szCs w:val="24"/>
        </w:rPr>
        <w:t>American Journal of Infection Control</w:t>
      </w:r>
      <w:r w:rsidRPr="00B229EF">
        <w:rPr>
          <w:rFonts w:ascii="Rockwell" w:hAnsi="Rockwell"/>
          <w:sz w:val="24"/>
          <w:szCs w:val="24"/>
        </w:rPr>
        <w:t xml:space="preserve">, </w:t>
      </w:r>
      <w:r w:rsidRPr="00B229EF">
        <w:rPr>
          <w:rFonts w:ascii="Rockwell" w:hAnsi="Rockwell"/>
          <w:b/>
          <w:bCs/>
          <w:sz w:val="24"/>
          <w:szCs w:val="24"/>
        </w:rPr>
        <w:t>47(6), 756–759. doi:10.1016/j.ajic.2019.01.015</w:t>
      </w:r>
    </w:p>
    <w:p w14:paraId="7F085889" w14:textId="77777777" w:rsidR="00B43213" w:rsidRDefault="00B43213" w:rsidP="00B43213">
      <w:pPr>
        <w:rPr>
          <w:rFonts w:ascii="Rockwell" w:hAnsi="Rockwell"/>
          <w:b/>
          <w:bCs/>
          <w:sz w:val="24"/>
          <w:szCs w:val="24"/>
        </w:rPr>
      </w:pPr>
    </w:p>
    <w:p w14:paraId="009B91DD" w14:textId="77777777" w:rsidR="00B43213" w:rsidRDefault="00B43213" w:rsidP="00B43213">
      <w:pPr>
        <w:rPr>
          <w:rFonts w:ascii="Rockwell" w:hAnsi="Rockwell"/>
          <w:b/>
          <w:bCs/>
          <w:sz w:val="24"/>
          <w:szCs w:val="24"/>
        </w:rPr>
      </w:pPr>
    </w:p>
    <w:p w14:paraId="4AEFD18C" w14:textId="77777777" w:rsidR="00B43213" w:rsidRDefault="00B43213" w:rsidP="00B43213">
      <w:pPr>
        <w:rPr>
          <w:rFonts w:ascii="Rockwell" w:hAnsi="Rockwell"/>
          <w:b/>
          <w:bCs/>
          <w:sz w:val="24"/>
          <w:szCs w:val="24"/>
        </w:rPr>
      </w:pPr>
    </w:p>
    <w:p w14:paraId="0C3F0106" w14:textId="77777777" w:rsidR="00B229EF" w:rsidRDefault="00B229EF" w:rsidP="00B43213">
      <w:pPr>
        <w:rPr>
          <w:rFonts w:ascii="Rockwell" w:hAnsi="Rockwell"/>
          <w:b/>
          <w:bCs/>
          <w:sz w:val="24"/>
          <w:szCs w:val="24"/>
        </w:rPr>
      </w:pPr>
    </w:p>
    <w:p w14:paraId="3B54A646" w14:textId="77777777" w:rsidR="00B14378" w:rsidRPr="00B43213" w:rsidRDefault="00B14378">
      <w:pPr>
        <w:rPr>
          <w:rFonts w:ascii="Rockwell" w:hAnsi="Rockwell"/>
          <w:sz w:val="24"/>
          <w:szCs w:val="24"/>
        </w:rPr>
      </w:pPr>
    </w:p>
    <w:p w14:paraId="23C600D7" w14:textId="77777777" w:rsidR="00B43213" w:rsidRPr="00B43213" w:rsidRDefault="00B43213">
      <w:pPr>
        <w:rPr>
          <w:rFonts w:ascii="Rockwell" w:hAnsi="Rockwell"/>
          <w:sz w:val="24"/>
          <w:szCs w:val="24"/>
        </w:rPr>
      </w:pPr>
    </w:p>
    <w:sectPr w:rsidR="00B43213" w:rsidRPr="00B43213" w:rsidSect="00092D3F">
      <w:footerReference w:type="default" r:id="rId15"/>
      <w:pgSz w:w="12240" w:h="15840"/>
      <w:pgMar w:top="1440" w:right="630" w:bottom="1440" w:left="45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CCD56" w14:textId="77777777" w:rsidR="0011729E" w:rsidRDefault="0011729E" w:rsidP="00211602">
      <w:pPr>
        <w:spacing w:after="0" w:line="240" w:lineRule="auto"/>
      </w:pPr>
      <w:r>
        <w:separator/>
      </w:r>
    </w:p>
  </w:endnote>
  <w:endnote w:type="continuationSeparator" w:id="0">
    <w:p w14:paraId="6244CA2D" w14:textId="77777777" w:rsidR="0011729E" w:rsidRDefault="0011729E" w:rsidP="002116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Rockwell">
    <w:panose1 w:val="02060603020205020403"/>
    <w:charset w:val="00"/>
    <w:family w:val="roman"/>
    <w:pitch w:val="variable"/>
    <w:sig w:usb0="00000007" w:usb1="00000000" w:usb2="0000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906599"/>
      <w:docPartObj>
        <w:docPartGallery w:val="Page Numbers (Bottom of Page)"/>
        <w:docPartUnique/>
      </w:docPartObj>
    </w:sdtPr>
    <w:sdtContent>
      <w:p w14:paraId="51EBD65E" w14:textId="285FEECF" w:rsidR="000E15B6" w:rsidRDefault="00000000">
        <w:pPr>
          <w:pStyle w:val="Footer"/>
        </w:pPr>
        <w:r>
          <w:rPr>
            <w:noProof/>
          </w:rPr>
          <w:drawing>
            <wp:anchor distT="0" distB="0" distL="114300" distR="114300" simplePos="0" relativeHeight="251659264" behindDoc="0" locked="0" layoutInCell="1" allowOverlap="1" wp14:anchorId="104D6A2B" wp14:editId="04EE9DA9">
              <wp:simplePos x="0" y="0"/>
              <wp:positionH relativeFrom="column">
                <wp:posOffset>-2551790</wp:posOffset>
              </wp:positionH>
              <wp:positionV relativeFrom="paragraph">
                <wp:posOffset>85030</wp:posOffset>
              </wp:positionV>
              <wp:extent cx="934483" cy="227457"/>
              <wp:effectExtent l="0" t="0" r="0" b="1270"/>
              <wp:wrapNone/>
              <wp:docPr id="524588279"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0847765"/>
      <w:docPartObj>
        <w:docPartGallery w:val="Page Numbers (Bottom of Page)"/>
        <w:docPartUnique/>
      </w:docPartObj>
    </w:sdtPr>
    <w:sdtContent>
      <w:p w14:paraId="1A7DAF9C" w14:textId="0232B36C" w:rsidR="00211602" w:rsidRDefault="00B229EF">
        <w:pPr>
          <w:pStyle w:val="Footer"/>
        </w:pPr>
        <w:r>
          <w:rPr>
            <w:noProof/>
          </w:rPr>
          <mc:AlternateContent>
            <mc:Choice Requires="wps">
              <w:drawing>
                <wp:anchor distT="0" distB="0" distL="114300" distR="114300" simplePos="0" relativeHeight="251665408" behindDoc="0" locked="0" layoutInCell="1" allowOverlap="1" wp14:anchorId="2160713A" wp14:editId="408C4187">
                  <wp:simplePos x="0" y="0"/>
                  <wp:positionH relativeFrom="page">
                    <wp:align>left</wp:align>
                  </wp:positionH>
                  <wp:positionV relativeFrom="page">
                    <wp:posOffset>8394700</wp:posOffset>
                  </wp:positionV>
                  <wp:extent cx="1276350" cy="1616710"/>
                  <wp:effectExtent l="0" t="19050" r="38100" b="21590"/>
                  <wp:wrapNone/>
                  <wp:docPr id="1005241760"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60713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0;margin-top:661pt;width:100.5pt;height:127.3pt;flip:x;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o5VAIAAN0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" adj="21600" fillcolor="#4ea72e [3209]" strokecolor="#0b1807 [489]" strokeweight="1.5pt">
                  <v:textbox>
                    <w:txbxContent>
                      <w:p w14:paraId="027B40B1" w14:textId="77777777" w:rsidR="00211602" w:rsidRDefault="00211602">
                        <w:pPr>
                          <w:jc w:val="center"/>
                          <w:rPr>
                            <w:rFonts w:ascii="Rockwell" w:hAnsi="Rockwell"/>
                            <w:b/>
                            <w:bCs/>
                            <w:sz w:val="18"/>
                            <w:szCs w:val="18"/>
                          </w:rPr>
                        </w:pPr>
                      </w:p>
                      <w:p w14:paraId="4D6D7B80" w14:textId="77777777" w:rsidR="00211602" w:rsidRPr="0078721D" w:rsidRDefault="00211602">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sidR="00211602">
          <w:rPr>
            <w:noProof/>
          </w:rPr>
          <w:drawing>
            <wp:anchor distT="0" distB="0" distL="114300" distR="114300" simplePos="0" relativeHeight="251663360" behindDoc="0" locked="0" layoutInCell="1" allowOverlap="1" wp14:anchorId="62C6C185" wp14:editId="0B0268F3">
              <wp:simplePos x="0" y="0"/>
              <wp:positionH relativeFrom="column">
                <wp:posOffset>-2551790</wp:posOffset>
              </wp:positionH>
              <wp:positionV relativeFrom="paragraph">
                <wp:posOffset>85030</wp:posOffset>
              </wp:positionV>
              <wp:extent cx="934483" cy="227457"/>
              <wp:effectExtent l="0" t="0" r="0" b="1270"/>
              <wp:wrapNone/>
              <wp:docPr id="1839925596"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sidR="00211602">
          <w:rPr>
            <w:noProof/>
          </w:rPr>
          <mc:AlternateContent>
            <mc:Choice Requires="wps">
              <w:drawing>
                <wp:anchor distT="0" distB="0" distL="114300" distR="114300" simplePos="0" relativeHeight="251664384" behindDoc="0" locked="0" layoutInCell="1" allowOverlap="1" wp14:anchorId="56AE107A" wp14:editId="6EBB0424">
                  <wp:simplePos x="0" y="0"/>
                  <wp:positionH relativeFrom="page">
                    <wp:align>right</wp:align>
                  </wp:positionH>
                  <wp:positionV relativeFrom="paragraph">
                    <wp:posOffset>-19685</wp:posOffset>
                  </wp:positionV>
                  <wp:extent cx="10011962" cy="50800"/>
                  <wp:effectExtent l="19050" t="19050" r="27940" b="25400"/>
                  <wp:wrapNone/>
                  <wp:docPr id="478727050"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723FF2" id="Straight Connector 2" o:spid="_x0000_s1026" style="position:absolute;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002330"/>
      <w:docPartObj>
        <w:docPartGallery w:val="Page Numbers (Bottom of Page)"/>
        <w:docPartUnique/>
      </w:docPartObj>
    </w:sdtPr>
    <w:sdtContent>
      <w:p w14:paraId="1926DB47" w14:textId="77777777" w:rsidR="00092D3F" w:rsidRDefault="00092D3F">
        <w:pPr>
          <w:pStyle w:val="Footer"/>
        </w:pPr>
        <w:r>
          <w:rPr>
            <w:noProof/>
          </w:rPr>
          <mc:AlternateContent>
            <mc:Choice Requires="wps">
              <w:drawing>
                <wp:anchor distT="0" distB="0" distL="114300" distR="114300" simplePos="0" relativeHeight="251669504" behindDoc="0" locked="0" layoutInCell="1" allowOverlap="1" wp14:anchorId="02B70298" wp14:editId="41EB45DA">
                  <wp:simplePos x="0" y="0"/>
                  <wp:positionH relativeFrom="page">
                    <wp:align>left</wp:align>
                  </wp:positionH>
                  <wp:positionV relativeFrom="page">
                    <wp:posOffset>8394700</wp:posOffset>
                  </wp:positionV>
                  <wp:extent cx="1276350" cy="1616710"/>
                  <wp:effectExtent l="0" t="19050" r="38100" b="21590"/>
                  <wp:wrapNone/>
                  <wp:docPr id="349985743"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1276350" cy="1616710"/>
                          </a:xfrm>
                          <a:prstGeom prst="triangle">
                            <a:avLst>
                              <a:gd name="adj" fmla="val 100000"/>
                            </a:avLst>
                          </a:prstGeom>
                          <a:ln/>
                        </wps:spPr>
                        <wps:style>
                          <a:lnRef idx="2">
                            <a:schemeClr val="accent6">
                              <a:shade val="15000"/>
                            </a:schemeClr>
                          </a:lnRef>
                          <a:fillRef idx="1">
                            <a:schemeClr val="accent6"/>
                          </a:fillRef>
                          <a:effectRef idx="0">
                            <a:schemeClr val="accent6"/>
                          </a:effectRef>
                          <a:fontRef idx="minor">
                            <a:schemeClr val="lt1"/>
                          </a:fontRef>
                        </wps:style>
                        <wps:txb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B7029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1027" type="#_x0000_t5" style="position:absolute;margin-left:0;margin-top:661pt;width:100.5pt;height:127.3pt;flip:x;z-index:25166950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" adj="21600" fillcolor="#4ea72e [3209]" strokecolor="#0b1807 [489]" strokeweight="1.5pt">
                  <v:textbox>
                    <w:txbxContent>
                      <w:p w14:paraId="39CE9D62" w14:textId="77777777" w:rsidR="00092D3F" w:rsidRDefault="00092D3F">
                        <w:pPr>
                          <w:jc w:val="center"/>
                          <w:rPr>
                            <w:rFonts w:ascii="Rockwell" w:hAnsi="Rockwell"/>
                            <w:b/>
                            <w:bCs/>
                            <w:sz w:val="18"/>
                            <w:szCs w:val="18"/>
                          </w:rPr>
                        </w:pPr>
                      </w:p>
                      <w:p w14:paraId="467888DA" w14:textId="77777777" w:rsidR="00092D3F" w:rsidRPr="0078721D" w:rsidRDefault="00092D3F">
                        <w:pPr>
                          <w:jc w:val="center"/>
                          <w:rPr>
                            <w:rFonts w:ascii="Rockwell" w:hAnsi="Rockwell"/>
                            <w:b/>
                            <w:bCs/>
                            <w:szCs w:val="72"/>
                          </w:rPr>
                        </w:pPr>
                        <w:r w:rsidRPr="0078721D">
                          <w:rPr>
                            <w:rFonts w:ascii="Rockwell" w:hAnsi="Rockwell" w:cs="Times New Roman"/>
                            <w:b/>
                            <w:bCs/>
                          </w:rPr>
                          <w:fldChar w:fldCharType="begin"/>
                        </w:r>
                        <w:r w:rsidRPr="0078721D">
                          <w:rPr>
                            <w:rFonts w:ascii="Rockwell" w:hAnsi="Rockwell"/>
                            <w:b/>
                            <w:bCs/>
                          </w:rPr>
                          <w:instrText xml:space="preserve"> PAGE    \* MERGEFORMAT </w:instrText>
                        </w:r>
                        <w:r w:rsidRPr="0078721D">
                          <w:rPr>
                            <w:rFonts w:ascii="Rockwell" w:hAnsi="Rockwell" w:cs="Times New Roman"/>
                            <w:b/>
                            <w:bCs/>
                          </w:rPr>
                          <w:fldChar w:fldCharType="separate"/>
                        </w:r>
                        <w:r w:rsidRPr="0078721D">
                          <w:rPr>
                            <w:rFonts w:ascii="Rockwell" w:eastAsiaTheme="majorEastAsia" w:hAnsi="Rockwell" w:cstheme="majorBidi"/>
                            <w:b/>
                            <w:bCs/>
                            <w:noProof/>
                            <w:sz w:val="72"/>
                            <w:szCs w:val="72"/>
                          </w:rPr>
                          <w:t>2</w:t>
                        </w:r>
                        <w:r w:rsidRPr="0078721D">
                          <w:rPr>
                            <w:rFonts w:ascii="Rockwell" w:eastAsiaTheme="majorEastAsia" w:hAnsi="Rockwell" w:cstheme="majorBidi"/>
                            <w:b/>
                            <w:bCs/>
                            <w:noProof/>
                            <w:sz w:val="72"/>
                            <w:szCs w:val="72"/>
                          </w:rPr>
                          <w:fldChar w:fldCharType="end"/>
                        </w:r>
                      </w:p>
                    </w:txbxContent>
                  </v:textbox>
                  <w10:wrap anchorx="page" anchory="page"/>
                </v:shape>
              </w:pict>
            </mc:Fallback>
          </mc:AlternateContent>
        </w:r>
        <w:r>
          <w:rPr>
            <w:noProof/>
          </w:rPr>
          <w:drawing>
            <wp:anchor distT="0" distB="0" distL="114300" distR="114300" simplePos="0" relativeHeight="251667456" behindDoc="0" locked="0" layoutInCell="1" allowOverlap="1" wp14:anchorId="79E3A4B8" wp14:editId="2D332699">
              <wp:simplePos x="0" y="0"/>
              <wp:positionH relativeFrom="column">
                <wp:posOffset>-2551790</wp:posOffset>
              </wp:positionH>
              <wp:positionV relativeFrom="paragraph">
                <wp:posOffset>85030</wp:posOffset>
              </wp:positionV>
              <wp:extent cx="934483" cy="227457"/>
              <wp:effectExtent l="0" t="0" r="0" b="1270"/>
              <wp:wrapNone/>
              <wp:docPr id="693172625" name="Picture 844023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88279" name="Picture 844023034"/>
                      <pic:cNvPicPr>
                        <a:picLocks noChangeAspect="1"/>
                      </pic:cNvPicPr>
                    </pic:nvPicPr>
                    <pic:blipFill>
                      <a:blip r:embed="rId1"/>
                      <a:stretch>
                        <a:fillRect/>
                      </a:stretch>
                    </pic:blipFill>
                    <pic:spPr>
                      <a:xfrm>
                        <a:off x="0" y="0"/>
                        <a:ext cx="934483" cy="227457"/>
                      </a:xfrm>
                      <a:prstGeom prst="rect">
                        <a:avLst/>
                      </a:prstGeom>
                    </pic:spPr>
                  </pic:pic>
                </a:graphicData>
              </a:graphic>
            </wp:anchor>
          </w:drawing>
        </w:r>
        <w:r>
          <w:rPr>
            <w:noProof/>
          </w:rPr>
          <mc:AlternateContent>
            <mc:Choice Requires="wps">
              <w:drawing>
                <wp:anchor distT="0" distB="0" distL="114300" distR="114300" simplePos="0" relativeHeight="251668480" behindDoc="0" locked="0" layoutInCell="1" allowOverlap="1" wp14:anchorId="1E5C89E2" wp14:editId="5F2275D2">
                  <wp:simplePos x="0" y="0"/>
                  <wp:positionH relativeFrom="page">
                    <wp:align>right</wp:align>
                  </wp:positionH>
                  <wp:positionV relativeFrom="paragraph">
                    <wp:posOffset>-19685</wp:posOffset>
                  </wp:positionV>
                  <wp:extent cx="10011962" cy="50800"/>
                  <wp:effectExtent l="19050" t="19050" r="27940" b="25400"/>
                  <wp:wrapNone/>
                  <wp:docPr id="2010427349" name="Straight Connector 2"/>
                  <wp:cNvGraphicFramePr/>
                  <a:graphic xmlns:a="http://schemas.openxmlformats.org/drawingml/2006/main">
                    <a:graphicData uri="http://schemas.microsoft.com/office/word/2010/wordprocessingShape">
                      <wps:wsp>
                        <wps:cNvCnPr/>
                        <wps:spPr>
                          <a:xfrm>
                            <a:off x="0" y="0"/>
                            <a:ext cx="10011962" cy="50800"/>
                          </a:xfrm>
                          <a:prstGeom prst="line">
                            <a:avLst/>
                          </a:prstGeom>
                          <a:ln w="38100"/>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EB4B7" id="Straight Connector 2" o:spid="_x0000_s1026" style="position:absolute;z-index:25166848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737.15pt,-1.55pt" to="152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" strokecolor="#e97132 [3205]" strokeweight="3pt">
                  <v:stroke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11AC" w14:textId="77777777" w:rsidR="0011729E" w:rsidRDefault="0011729E" w:rsidP="00211602">
      <w:pPr>
        <w:spacing w:after="0" w:line="240" w:lineRule="auto"/>
      </w:pPr>
      <w:r>
        <w:separator/>
      </w:r>
    </w:p>
  </w:footnote>
  <w:footnote w:type="continuationSeparator" w:id="0">
    <w:p w14:paraId="4C276C15" w14:textId="77777777" w:rsidR="0011729E" w:rsidRDefault="0011729E" w:rsidP="002116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B96"/>
    <w:multiLevelType w:val="multilevel"/>
    <w:tmpl w:val="E726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43F60"/>
    <w:multiLevelType w:val="hybridMultilevel"/>
    <w:tmpl w:val="0CBA9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284345"/>
    <w:multiLevelType w:val="multilevel"/>
    <w:tmpl w:val="9B10612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957E4"/>
    <w:multiLevelType w:val="multilevel"/>
    <w:tmpl w:val="6AB2D05C"/>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B1E07"/>
    <w:multiLevelType w:val="multilevel"/>
    <w:tmpl w:val="3684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F57CE"/>
    <w:multiLevelType w:val="multilevel"/>
    <w:tmpl w:val="24AC3004"/>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961B9"/>
    <w:multiLevelType w:val="multilevel"/>
    <w:tmpl w:val="618CA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0D0D72"/>
    <w:multiLevelType w:val="multilevel"/>
    <w:tmpl w:val="11AE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C06993"/>
    <w:multiLevelType w:val="multilevel"/>
    <w:tmpl w:val="E7C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A853FB"/>
    <w:multiLevelType w:val="multilevel"/>
    <w:tmpl w:val="033ED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110FEE"/>
    <w:multiLevelType w:val="hybridMultilevel"/>
    <w:tmpl w:val="8BE42C08"/>
    <w:lvl w:ilvl="0" w:tplc="981AA828">
      <w:start w:val="1"/>
      <w:numFmt w:val="bullet"/>
      <w:lvlText w:val=""/>
      <w:lvlJc w:val="left"/>
      <w:pPr>
        <w:ind w:left="1080" w:hanging="360"/>
      </w:pPr>
      <w:rPr>
        <w:rFonts w:ascii="Wingdings" w:hAnsi="Wingdings" w:hint="default"/>
        <w:color w:val="33CCFF"/>
        <w:w w:val="86"/>
        <w:sz w:val="36"/>
        <w:szCs w:val="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A4647A5"/>
    <w:multiLevelType w:val="hybridMultilevel"/>
    <w:tmpl w:val="9536BE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A521DCA"/>
    <w:multiLevelType w:val="multilevel"/>
    <w:tmpl w:val="E942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C376B7"/>
    <w:multiLevelType w:val="multilevel"/>
    <w:tmpl w:val="8742850A"/>
    <w:lvl w:ilvl="0">
      <w:start w:val="1"/>
      <w:numFmt w:val="bullet"/>
      <w:lvlText w:val=""/>
      <w:lvlJc w:val="left"/>
      <w:pPr>
        <w:tabs>
          <w:tab w:val="num" w:pos="720"/>
        </w:tabs>
        <w:ind w:left="720" w:hanging="360"/>
      </w:pPr>
      <w:rPr>
        <w:rFonts w:ascii="Wingdings" w:hAnsi="Wingdings" w:hint="default"/>
        <w:color w:val="33CCFF"/>
        <w:w w:val="86"/>
        <w:sz w:val="36"/>
        <w:szCs w:val="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A3980"/>
    <w:multiLevelType w:val="multilevel"/>
    <w:tmpl w:val="682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2674EE"/>
    <w:multiLevelType w:val="multilevel"/>
    <w:tmpl w:val="44E21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62731"/>
    <w:multiLevelType w:val="hybridMultilevel"/>
    <w:tmpl w:val="6BB0D95A"/>
    <w:lvl w:ilvl="0" w:tplc="981AA828">
      <w:start w:val="1"/>
      <w:numFmt w:val="bullet"/>
      <w:lvlText w:val=""/>
      <w:lvlJc w:val="left"/>
      <w:pPr>
        <w:ind w:left="360" w:hanging="360"/>
      </w:pPr>
      <w:rPr>
        <w:rFonts w:ascii="Wingdings" w:hAnsi="Wingdings" w:hint="default"/>
        <w:color w:val="33CCFF"/>
        <w:w w:val="86"/>
        <w:sz w:val="36"/>
        <w:szCs w:val="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07204AD"/>
    <w:multiLevelType w:val="hybridMultilevel"/>
    <w:tmpl w:val="67162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2D8117E"/>
    <w:multiLevelType w:val="multilevel"/>
    <w:tmpl w:val="7EF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545750">
    <w:abstractNumId w:val="9"/>
  </w:num>
  <w:num w:numId="2" w16cid:durableId="249855216">
    <w:abstractNumId w:val="18"/>
  </w:num>
  <w:num w:numId="3" w16cid:durableId="1359896050">
    <w:abstractNumId w:val="8"/>
  </w:num>
  <w:num w:numId="4" w16cid:durableId="1173882656">
    <w:abstractNumId w:val="14"/>
  </w:num>
  <w:num w:numId="5" w16cid:durableId="2129100">
    <w:abstractNumId w:val="15"/>
  </w:num>
  <w:num w:numId="6" w16cid:durableId="149491610">
    <w:abstractNumId w:val="6"/>
  </w:num>
  <w:num w:numId="7" w16cid:durableId="2004314613">
    <w:abstractNumId w:val="12"/>
  </w:num>
  <w:num w:numId="8" w16cid:durableId="606472324">
    <w:abstractNumId w:val="7"/>
  </w:num>
  <w:num w:numId="9" w16cid:durableId="561215302">
    <w:abstractNumId w:val="13"/>
  </w:num>
  <w:num w:numId="10" w16cid:durableId="1974480862">
    <w:abstractNumId w:val="2"/>
  </w:num>
  <w:num w:numId="11" w16cid:durableId="1089497632">
    <w:abstractNumId w:val="5"/>
  </w:num>
  <w:num w:numId="12" w16cid:durableId="1594821485">
    <w:abstractNumId w:val="4"/>
  </w:num>
  <w:num w:numId="13" w16cid:durableId="377242607">
    <w:abstractNumId w:val="16"/>
  </w:num>
  <w:num w:numId="14" w16cid:durableId="1155103805">
    <w:abstractNumId w:val="1"/>
  </w:num>
  <w:num w:numId="15" w16cid:durableId="45297000">
    <w:abstractNumId w:val="10"/>
  </w:num>
  <w:num w:numId="16" w16cid:durableId="372971709">
    <w:abstractNumId w:val="3"/>
  </w:num>
  <w:num w:numId="17" w16cid:durableId="239949035">
    <w:abstractNumId w:val="17"/>
  </w:num>
  <w:num w:numId="18" w16cid:durableId="1851066689">
    <w:abstractNumId w:val="11"/>
  </w:num>
  <w:num w:numId="19" w16cid:durableId="996424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213"/>
    <w:rsid w:val="00092D3F"/>
    <w:rsid w:val="000E15B6"/>
    <w:rsid w:val="0011729E"/>
    <w:rsid w:val="001951DB"/>
    <w:rsid w:val="00211602"/>
    <w:rsid w:val="002B1FCC"/>
    <w:rsid w:val="003418CB"/>
    <w:rsid w:val="003A1BD5"/>
    <w:rsid w:val="003E384C"/>
    <w:rsid w:val="00547BBF"/>
    <w:rsid w:val="0066617F"/>
    <w:rsid w:val="006B7001"/>
    <w:rsid w:val="006C541D"/>
    <w:rsid w:val="0077445B"/>
    <w:rsid w:val="00775419"/>
    <w:rsid w:val="007C3EF4"/>
    <w:rsid w:val="008E75B0"/>
    <w:rsid w:val="00B14378"/>
    <w:rsid w:val="00B229EF"/>
    <w:rsid w:val="00B43213"/>
    <w:rsid w:val="00CE43BF"/>
    <w:rsid w:val="00D90EA5"/>
    <w:rsid w:val="00E028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DDF49E"/>
  <w15:chartTrackingRefBased/>
  <w15:docId w15:val="{02F902C7-E4E1-40AE-9A81-2E4610CAE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213"/>
    <w:rPr>
      <w:rFonts w:eastAsiaTheme="majorEastAsia" w:cstheme="majorBidi"/>
      <w:color w:val="272727" w:themeColor="text1" w:themeTint="D8"/>
    </w:rPr>
  </w:style>
  <w:style w:type="paragraph" w:styleId="Title">
    <w:name w:val="Title"/>
    <w:basedOn w:val="Normal"/>
    <w:next w:val="Normal"/>
    <w:link w:val="TitleChar"/>
    <w:uiPriority w:val="10"/>
    <w:qFormat/>
    <w:rsid w:val="00B43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213"/>
    <w:pPr>
      <w:spacing w:before="160"/>
      <w:jc w:val="center"/>
    </w:pPr>
    <w:rPr>
      <w:i/>
      <w:iCs/>
      <w:color w:val="404040" w:themeColor="text1" w:themeTint="BF"/>
    </w:rPr>
  </w:style>
  <w:style w:type="character" w:customStyle="1" w:styleId="QuoteChar">
    <w:name w:val="Quote Char"/>
    <w:basedOn w:val="DefaultParagraphFont"/>
    <w:link w:val="Quote"/>
    <w:uiPriority w:val="29"/>
    <w:rsid w:val="00B43213"/>
    <w:rPr>
      <w:i/>
      <w:iCs/>
      <w:color w:val="404040" w:themeColor="text1" w:themeTint="BF"/>
    </w:rPr>
  </w:style>
  <w:style w:type="paragraph" w:styleId="ListParagraph">
    <w:name w:val="List Paragraph"/>
    <w:basedOn w:val="Normal"/>
    <w:uiPriority w:val="34"/>
    <w:qFormat/>
    <w:rsid w:val="00B43213"/>
    <w:pPr>
      <w:ind w:left="720"/>
      <w:contextualSpacing/>
    </w:pPr>
  </w:style>
  <w:style w:type="character" w:styleId="IntenseEmphasis">
    <w:name w:val="Intense Emphasis"/>
    <w:basedOn w:val="DefaultParagraphFont"/>
    <w:uiPriority w:val="21"/>
    <w:qFormat/>
    <w:rsid w:val="00B43213"/>
    <w:rPr>
      <w:i/>
      <w:iCs/>
      <w:color w:val="0F4761" w:themeColor="accent1" w:themeShade="BF"/>
    </w:rPr>
  </w:style>
  <w:style w:type="paragraph" w:styleId="IntenseQuote">
    <w:name w:val="Intense Quote"/>
    <w:basedOn w:val="Normal"/>
    <w:next w:val="Normal"/>
    <w:link w:val="IntenseQuoteChar"/>
    <w:uiPriority w:val="30"/>
    <w:qFormat/>
    <w:rsid w:val="00B43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213"/>
    <w:rPr>
      <w:i/>
      <w:iCs/>
      <w:color w:val="0F4761" w:themeColor="accent1" w:themeShade="BF"/>
    </w:rPr>
  </w:style>
  <w:style w:type="character" w:styleId="IntenseReference">
    <w:name w:val="Intense Reference"/>
    <w:basedOn w:val="DefaultParagraphFont"/>
    <w:uiPriority w:val="32"/>
    <w:qFormat/>
    <w:rsid w:val="00B43213"/>
    <w:rPr>
      <w:b/>
      <w:bCs/>
      <w:smallCaps/>
      <w:color w:val="0F4761" w:themeColor="accent1" w:themeShade="BF"/>
      <w:spacing w:val="5"/>
    </w:rPr>
  </w:style>
  <w:style w:type="table" w:styleId="TableGrid">
    <w:name w:val="Table Grid"/>
    <w:basedOn w:val="TableNormal"/>
    <w:uiPriority w:val="39"/>
    <w:rsid w:val="00B43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43213"/>
    <w:rPr>
      <w:color w:val="467886" w:themeColor="hyperlink"/>
      <w:u w:val="single"/>
    </w:rPr>
  </w:style>
  <w:style w:type="character" w:styleId="UnresolvedMention">
    <w:name w:val="Unresolved Mention"/>
    <w:basedOn w:val="DefaultParagraphFont"/>
    <w:uiPriority w:val="99"/>
    <w:semiHidden/>
    <w:unhideWhenUsed/>
    <w:rsid w:val="00B43213"/>
    <w:rPr>
      <w:color w:val="605E5C"/>
      <w:shd w:val="clear" w:color="auto" w:fill="E1DFDD"/>
    </w:rPr>
  </w:style>
  <w:style w:type="paragraph" w:styleId="NoSpacing">
    <w:name w:val="No Spacing"/>
    <w:uiPriority w:val="1"/>
    <w:qFormat/>
    <w:rsid w:val="00211602"/>
    <w:pPr>
      <w:spacing w:after="0" w:line="240" w:lineRule="auto"/>
    </w:pPr>
    <w:rPr>
      <w:rFonts w:eastAsiaTheme="minorHAnsi"/>
      <w:sz w:val="24"/>
      <w:szCs w:val="24"/>
      <w:lang w:eastAsia="en-US"/>
    </w:rPr>
  </w:style>
  <w:style w:type="paragraph" w:styleId="Footer">
    <w:name w:val="footer"/>
    <w:basedOn w:val="Normal"/>
    <w:link w:val="FooterChar"/>
    <w:uiPriority w:val="99"/>
    <w:unhideWhenUsed/>
    <w:rsid w:val="00211602"/>
    <w:pPr>
      <w:tabs>
        <w:tab w:val="center" w:pos="4680"/>
        <w:tab w:val="right" w:pos="9360"/>
      </w:tabs>
      <w:spacing w:after="0" w:line="240" w:lineRule="auto"/>
    </w:pPr>
    <w:rPr>
      <w:rFonts w:ascii="Times New Roman" w:eastAsia="Times New Roman" w:hAnsi="Times New Roman" w:cs="Times New Roman"/>
      <w:kern w:val="0"/>
      <w:sz w:val="24"/>
      <w:szCs w:val="24"/>
      <w:lang w:eastAsia="en-US"/>
      <w14:ligatures w14:val="none"/>
    </w:rPr>
  </w:style>
  <w:style w:type="character" w:customStyle="1" w:styleId="FooterChar">
    <w:name w:val="Footer Char"/>
    <w:basedOn w:val="DefaultParagraphFont"/>
    <w:link w:val="Footer"/>
    <w:uiPriority w:val="99"/>
    <w:rsid w:val="00211602"/>
    <w:rPr>
      <w:rFonts w:ascii="Times New Roman" w:eastAsia="Times New Roman" w:hAnsi="Times New Roman" w:cs="Times New Roman"/>
      <w:kern w:val="0"/>
      <w:sz w:val="24"/>
      <w:szCs w:val="24"/>
      <w:lang w:eastAsia="en-US"/>
      <w14:ligatures w14:val="none"/>
    </w:rPr>
  </w:style>
  <w:style w:type="paragraph" w:styleId="TOC1">
    <w:name w:val="toc 1"/>
    <w:basedOn w:val="Normal"/>
    <w:next w:val="Normal"/>
    <w:autoRedefine/>
    <w:uiPriority w:val="39"/>
    <w:unhideWhenUsed/>
    <w:rsid w:val="00211602"/>
    <w:pPr>
      <w:spacing w:after="100"/>
    </w:pPr>
    <w:rPr>
      <w:rFonts w:eastAsiaTheme="minorHAnsi"/>
      <w:lang w:eastAsia="en-US"/>
    </w:rPr>
  </w:style>
  <w:style w:type="paragraph" w:styleId="TOC2">
    <w:name w:val="toc 2"/>
    <w:basedOn w:val="Normal"/>
    <w:next w:val="Normal"/>
    <w:autoRedefine/>
    <w:uiPriority w:val="39"/>
    <w:unhideWhenUsed/>
    <w:rsid w:val="00211602"/>
    <w:pPr>
      <w:spacing w:after="100" w:line="240" w:lineRule="auto"/>
      <w:ind w:left="240"/>
    </w:pPr>
    <w:rPr>
      <w:rFonts w:ascii="Times New Roman" w:eastAsia="Times New Roman" w:hAnsi="Times New Roman" w:cs="Times New Roman"/>
      <w:kern w:val="0"/>
      <w:sz w:val="24"/>
      <w:szCs w:val="24"/>
      <w:lang w:eastAsia="en-US"/>
      <w14:ligatures w14:val="none"/>
    </w:rPr>
  </w:style>
  <w:style w:type="paragraph" w:styleId="TableofFigures">
    <w:name w:val="table of figures"/>
    <w:basedOn w:val="Normal"/>
    <w:next w:val="Normal"/>
    <w:uiPriority w:val="99"/>
    <w:unhideWhenUsed/>
    <w:rsid w:val="00211602"/>
    <w:pPr>
      <w:spacing w:after="0" w:line="240" w:lineRule="auto"/>
    </w:pPr>
    <w:rPr>
      <w:rFonts w:ascii="Times New Roman" w:eastAsia="Times New Roman" w:hAnsi="Times New Roman" w:cs="Times New Roman"/>
      <w:kern w:val="0"/>
      <w:sz w:val="24"/>
      <w:szCs w:val="24"/>
      <w:lang w:eastAsia="en-US"/>
      <w14:ligatures w14:val="none"/>
    </w:rPr>
  </w:style>
  <w:style w:type="paragraph" w:styleId="Header">
    <w:name w:val="header"/>
    <w:basedOn w:val="Normal"/>
    <w:link w:val="HeaderChar"/>
    <w:uiPriority w:val="99"/>
    <w:unhideWhenUsed/>
    <w:rsid w:val="002116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1602"/>
  </w:style>
  <w:style w:type="paragraph" w:styleId="Caption">
    <w:name w:val="caption"/>
    <w:basedOn w:val="Normal"/>
    <w:next w:val="Normal"/>
    <w:uiPriority w:val="35"/>
    <w:unhideWhenUsed/>
    <w:qFormat/>
    <w:rsid w:val="00775419"/>
    <w:pPr>
      <w:spacing w:after="200" w:line="240" w:lineRule="auto"/>
    </w:pPr>
    <w:rPr>
      <w:rFonts w:ascii="Times New Roman" w:eastAsia="Times New Roman" w:hAnsi="Times New Roman" w:cs="Times New Roman"/>
      <w:i/>
      <w:iCs/>
      <w:color w:val="0E2841" w:themeColor="text2"/>
      <w:kern w:val="0"/>
      <w:sz w:val="18"/>
      <w:szCs w:val="18"/>
      <w:lang w:eastAsia="en-US"/>
      <w14:ligatures w14:val="none"/>
    </w:rPr>
  </w:style>
  <w:style w:type="paragraph" w:styleId="NormalWeb">
    <w:name w:val="Normal (Web)"/>
    <w:basedOn w:val="Normal"/>
    <w:uiPriority w:val="99"/>
    <w:semiHidden/>
    <w:unhideWhenUsed/>
    <w:rsid w:val="0077541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 w:type="character" w:styleId="PlaceholderText">
    <w:name w:val="Placeholder Text"/>
    <w:basedOn w:val="DefaultParagraphFont"/>
    <w:uiPriority w:val="99"/>
    <w:semiHidden/>
    <w:rsid w:val="008E75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89070">
      <w:bodyDiv w:val="1"/>
      <w:marLeft w:val="0"/>
      <w:marRight w:val="0"/>
      <w:marTop w:val="0"/>
      <w:marBottom w:val="0"/>
      <w:divBdr>
        <w:top w:val="none" w:sz="0" w:space="0" w:color="auto"/>
        <w:left w:val="none" w:sz="0" w:space="0" w:color="auto"/>
        <w:bottom w:val="none" w:sz="0" w:space="0" w:color="auto"/>
        <w:right w:val="none" w:sz="0" w:space="0" w:color="auto"/>
      </w:divBdr>
    </w:div>
    <w:div w:id="143161684">
      <w:bodyDiv w:val="1"/>
      <w:marLeft w:val="0"/>
      <w:marRight w:val="0"/>
      <w:marTop w:val="0"/>
      <w:marBottom w:val="0"/>
      <w:divBdr>
        <w:top w:val="none" w:sz="0" w:space="0" w:color="auto"/>
        <w:left w:val="none" w:sz="0" w:space="0" w:color="auto"/>
        <w:bottom w:val="none" w:sz="0" w:space="0" w:color="auto"/>
        <w:right w:val="none" w:sz="0" w:space="0" w:color="auto"/>
      </w:divBdr>
    </w:div>
    <w:div w:id="209808181">
      <w:bodyDiv w:val="1"/>
      <w:marLeft w:val="0"/>
      <w:marRight w:val="0"/>
      <w:marTop w:val="0"/>
      <w:marBottom w:val="0"/>
      <w:divBdr>
        <w:top w:val="none" w:sz="0" w:space="0" w:color="auto"/>
        <w:left w:val="none" w:sz="0" w:space="0" w:color="auto"/>
        <w:bottom w:val="none" w:sz="0" w:space="0" w:color="auto"/>
        <w:right w:val="none" w:sz="0" w:space="0" w:color="auto"/>
      </w:divBdr>
    </w:div>
    <w:div w:id="504396559">
      <w:bodyDiv w:val="1"/>
      <w:marLeft w:val="0"/>
      <w:marRight w:val="0"/>
      <w:marTop w:val="0"/>
      <w:marBottom w:val="0"/>
      <w:divBdr>
        <w:top w:val="none" w:sz="0" w:space="0" w:color="auto"/>
        <w:left w:val="none" w:sz="0" w:space="0" w:color="auto"/>
        <w:bottom w:val="none" w:sz="0" w:space="0" w:color="auto"/>
        <w:right w:val="none" w:sz="0" w:space="0" w:color="auto"/>
      </w:divBdr>
    </w:div>
    <w:div w:id="782654855">
      <w:bodyDiv w:val="1"/>
      <w:marLeft w:val="0"/>
      <w:marRight w:val="0"/>
      <w:marTop w:val="0"/>
      <w:marBottom w:val="0"/>
      <w:divBdr>
        <w:top w:val="none" w:sz="0" w:space="0" w:color="auto"/>
        <w:left w:val="none" w:sz="0" w:space="0" w:color="auto"/>
        <w:bottom w:val="none" w:sz="0" w:space="0" w:color="auto"/>
        <w:right w:val="none" w:sz="0" w:space="0" w:color="auto"/>
      </w:divBdr>
    </w:div>
    <w:div w:id="971718149">
      <w:bodyDiv w:val="1"/>
      <w:marLeft w:val="0"/>
      <w:marRight w:val="0"/>
      <w:marTop w:val="0"/>
      <w:marBottom w:val="0"/>
      <w:divBdr>
        <w:top w:val="none" w:sz="0" w:space="0" w:color="auto"/>
        <w:left w:val="none" w:sz="0" w:space="0" w:color="auto"/>
        <w:bottom w:val="none" w:sz="0" w:space="0" w:color="auto"/>
        <w:right w:val="none" w:sz="0" w:space="0" w:color="auto"/>
      </w:divBdr>
    </w:div>
    <w:div w:id="1198659168">
      <w:bodyDiv w:val="1"/>
      <w:marLeft w:val="0"/>
      <w:marRight w:val="0"/>
      <w:marTop w:val="0"/>
      <w:marBottom w:val="0"/>
      <w:divBdr>
        <w:top w:val="none" w:sz="0" w:space="0" w:color="auto"/>
        <w:left w:val="none" w:sz="0" w:space="0" w:color="auto"/>
        <w:bottom w:val="none" w:sz="0" w:space="0" w:color="auto"/>
        <w:right w:val="none" w:sz="0" w:space="0" w:color="auto"/>
      </w:divBdr>
    </w:div>
    <w:div w:id="1249850600">
      <w:bodyDiv w:val="1"/>
      <w:marLeft w:val="0"/>
      <w:marRight w:val="0"/>
      <w:marTop w:val="0"/>
      <w:marBottom w:val="0"/>
      <w:divBdr>
        <w:top w:val="none" w:sz="0" w:space="0" w:color="auto"/>
        <w:left w:val="none" w:sz="0" w:space="0" w:color="auto"/>
        <w:bottom w:val="none" w:sz="0" w:space="0" w:color="auto"/>
        <w:right w:val="none" w:sz="0" w:space="0" w:color="auto"/>
      </w:divBdr>
    </w:div>
    <w:div w:id="1765110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who.int/publications/i/item/978924005116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ho.int/publications/i/item/WHO-2019-nCoV-IPC-2021.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cdc.gov/infectioncontrol/guidelines/environmental/index.htm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r>
              <a:rPr lang="en-US"/>
              <a:t>DGH IPC compliance (%)</a:t>
            </a:r>
          </a:p>
        </c:rich>
      </c:tx>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Rockwell" panose="02060603020205020403" pitchFamily="18" charset="0"/>
              <a:ea typeface="+mn-ea"/>
              <a:cs typeface="+mn-cs"/>
            </a:defRPr>
          </a:pPr>
          <a:endParaRPr lang="en-US"/>
        </a:p>
      </c:txPr>
    </c:title>
    <c:autoTitleDeleted val="0"/>
    <c:plotArea>
      <c:layout/>
      <c:pieChart>
        <c:varyColors val="1"/>
        <c:ser>
          <c:idx val="0"/>
          <c:order val="0"/>
          <c:tx>
            <c:strRef>
              <c:f>Sheet1!$B$1</c:f>
              <c:strCache>
                <c:ptCount val="1"/>
                <c:pt idx="0">
                  <c:v>Sales</c:v>
                </c:pt>
              </c:strCache>
            </c:strRef>
          </c:tx>
          <c:dPt>
            <c:idx val="0"/>
            <c:bubble3D val="0"/>
            <c:spPr>
              <a:solidFill>
                <a:srgbClr val="00B05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00C2-476A-AB40-E93D06EF4E01}"/>
              </c:ext>
            </c:extLst>
          </c:dPt>
          <c:dPt>
            <c:idx val="1"/>
            <c:bubble3D val="0"/>
            <c:spPr>
              <a:solidFill>
                <a:srgbClr val="EE0000"/>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00C2-476A-AB40-E93D06EF4E01}"/>
              </c:ext>
            </c:extLst>
          </c:dPt>
          <c:dLbls>
            <c:dLbl>
              <c:idx val="0"/>
              <c:tx>
                <c:rich>
                  <a:bodyPr/>
                  <a:lstStyle/>
                  <a:p>
                    <a:r>
                      <a:rPr lang="en-US" baseline="0"/>
                      <a:t>
</a:t>
                    </a:r>
                    <a:fld id="{333C98E9-D41B-4ACB-BE00-EE9892FFF87B}"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00C2-476A-AB40-E93D06EF4E01}"/>
                </c:ext>
              </c:extLst>
            </c:dLbl>
            <c:dLbl>
              <c:idx val="1"/>
              <c:tx>
                <c:rich>
                  <a:bodyPr/>
                  <a:lstStyle/>
                  <a:p>
                    <a:r>
                      <a:rPr lang="en-US" baseline="0"/>
                      <a:t>
</a:t>
                    </a:r>
                    <a:fld id="{99C053C0-3B6F-41CF-B429-6DFC6FD7DB38}" type="PERCENTAGE">
                      <a:rPr lang="en-US" baseline="0"/>
                      <a:pPr/>
                      <a:t>[PERCENTAGE]</a:t>
                    </a:fld>
                    <a:endParaRPr lang="en-US" baseline="0"/>
                  </a:p>
                </c:rich>
              </c:tx>
              <c:dLblPos val="inEnd"/>
              <c:showLegendKey val="0"/>
              <c:showVal val="0"/>
              <c:showCatName val="1"/>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00C2-476A-AB40-E93D06EF4E01}"/>
                </c:ext>
              </c:extLst>
            </c:dLbl>
            <c:spPr>
              <a:noFill/>
              <a:ln>
                <a:noFill/>
              </a:ln>
              <a:effectLst/>
            </c:spPr>
            <c:txPr>
              <a:bodyPr rot="0" spcFirstLastPara="1" vertOverflow="ellipsis" vert="horz" wrap="square" anchor="ctr" anchorCtr="1"/>
              <a:lstStyle/>
              <a:p>
                <a:pPr>
                  <a:defRPr sz="2400" b="1" i="0" u="none" strike="noStrike" kern="1200" baseline="0">
                    <a:solidFill>
                      <a:schemeClr val="lt1"/>
                    </a:solidFill>
                    <a:latin typeface="Rockwell" panose="02060603020205020403" pitchFamily="18" charset="0"/>
                    <a:ea typeface="+mn-ea"/>
                    <a:cs typeface="+mn-cs"/>
                  </a:defRPr>
                </a:pPr>
                <a:endParaRPr lang="en-US"/>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Sheet1!$A$2:$A$3</c:f>
              <c:strCache>
                <c:ptCount val="2"/>
                <c:pt idx="0">
                  <c:v>Compliant</c:v>
                </c:pt>
                <c:pt idx="1">
                  <c:v>Non-compliant</c:v>
                </c:pt>
              </c:strCache>
            </c:strRef>
          </c:cat>
          <c:val>
            <c:numRef>
              <c:f>Sheet1!$B$2:$B$3</c:f>
              <c:numCache>
                <c:formatCode>General</c:formatCode>
                <c:ptCount val="2"/>
                <c:pt idx="0">
                  <c:v>81</c:v>
                </c:pt>
                <c:pt idx="1">
                  <c:v>19</c:v>
                </c:pt>
              </c:numCache>
            </c:numRef>
          </c:val>
          <c:extLst>
            <c:ext xmlns:c16="http://schemas.microsoft.com/office/drawing/2014/chart" uri="{C3380CC4-5D6E-409C-BE32-E72D297353CC}">
              <c16:uniqueId val="{00000004-00C2-476A-AB40-E93D06EF4E01}"/>
            </c:ext>
          </c:extLst>
        </c:ser>
        <c:dLbls>
          <c:dLblPos val="inEnd"/>
          <c:showLegendKey val="0"/>
          <c:showVal val="0"/>
          <c:showCatName val="1"/>
          <c:showSerName val="0"/>
          <c:showPercent val="1"/>
          <c:showBubbleSize val="0"/>
          <c:showLeaderLines val="1"/>
        </c:dLbls>
        <c:firstSliceAng val="0"/>
      </c:pieChart>
      <c:spPr>
        <a:noFill/>
        <a:ln>
          <a:noFill/>
        </a:ln>
        <a:effectLst/>
      </c:spPr>
    </c:plotArea>
    <c:legend>
      <c:legendPos val="r"/>
      <c:layout>
        <c:manualLayout>
          <c:xMode val="edge"/>
          <c:yMode val="edge"/>
          <c:x val="0.7627791745610939"/>
          <c:y val="0.34209527968449349"/>
          <c:w val="0.22624186843982105"/>
          <c:h val="0.27920632104695753"/>
        </c:manualLayout>
      </c:layout>
      <c:overlay val="0"/>
      <c:spPr>
        <a:noFill/>
        <a:ln>
          <a:noFill/>
        </a:ln>
        <a:effectLst/>
      </c:spPr>
      <c:txPr>
        <a:bodyPr rot="0" spcFirstLastPara="1" vertOverflow="ellipsis" vert="horz" wrap="square" anchor="ctr" anchorCtr="1"/>
        <a:lstStyle/>
        <a:p>
          <a:pPr>
            <a:defRPr sz="1400" b="1" i="0" u="none" strike="noStrike" kern="1200" baseline="0">
              <a:solidFill>
                <a:schemeClr val="tx1">
                  <a:lumMod val="65000"/>
                  <a:lumOff val="35000"/>
                </a:schemeClr>
              </a:solidFill>
              <a:latin typeface="Rockwell" panose="02060603020205020403" pitchFamily="18" charset="0"/>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Rockwell" panose="02060603020205020403"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0DDC4-5B15-4D4B-94A3-490144C6E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1850</Words>
  <Characters>10545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Nuredin Yigezu</dc:creator>
  <cp:keywords/>
  <dc:description/>
  <cp:lastModifiedBy>Abdi Tofik</cp:lastModifiedBy>
  <cp:revision>12</cp:revision>
  <dcterms:created xsi:type="dcterms:W3CDTF">2025-07-26T21:06:00Z</dcterms:created>
  <dcterms:modified xsi:type="dcterms:W3CDTF">2025-07-26T21:42:00Z</dcterms:modified>
</cp:coreProperties>
</file>