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483BDD" w14:textId="457C65BE" w:rsidR="00211602" w:rsidRPr="00957F3A" w:rsidRDefault="00211602" w:rsidP="00211602">
      <w:pPr>
        <w:pStyle w:val="NoSpacing"/>
        <w:jc w:val="both"/>
        <w:rPr>
          <w:rFonts w:ascii="Rockwell" w:hAnsi="Rockwell"/>
        </w:rPr>
      </w:pPr>
      <w:r w:rsidRPr="00957F3A">
        <w:rPr>
          <w:rFonts w:ascii="Rockwell" w:eastAsia="MS Mincho" w:hAnsi="Rockwell" w:cs="Times New Roman"/>
          <w:b/>
          <w:bCs/>
          <w:noProof/>
          <w:kern w:val="0"/>
          <w:sz w:val="36"/>
          <w:szCs w:val="36"/>
          <w14:ligatures w14:val="none"/>
        </w:rPr>
        <w:drawing>
          <wp:anchor distT="0" distB="0" distL="114300" distR="114300" simplePos="0" relativeHeight="251659264" behindDoc="1" locked="0" layoutInCell="1" allowOverlap="1" wp14:anchorId="15BCFCDC" wp14:editId="0F612676">
            <wp:simplePos x="0" y="0"/>
            <wp:positionH relativeFrom="margin">
              <wp:posOffset>1758950</wp:posOffset>
            </wp:positionH>
            <wp:positionV relativeFrom="page">
              <wp:posOffset>508635</wp:posOffset>
            </wp:positionV>
            <wp:extent cx="1733550" cy="1733550"/>
            <wp:effectExtent l="0" t="0" r="0" b="0"/>
            <wp:wrapTight wrapText="bothSides">
              <wp:wrapPolygon edited="0">
                <wp:start x="0" y="0"/>
                <wp:lineTo x="0" y="21363"/>
                <wp:lineTo x="21363" y="21363"/>
                <wp:lineTo x="21363" y="0"/>
                <wp:lineTo x="0" y="0"/>
              </wp:wrapPolygon>
            </wp:wrapTight>
            <wp:docPr id="6192793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33550" cy="17335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72D60D5" w14:textId="55E82265" w:rsidR="00211602" w:rsidRPr="00957F3A" w:rsidRDefault="00211602" w:rsidP="00211602">
      <w:pPr>
        <w:pStyle w:val="NoSpacing"/>
        <w:jc w:val="both"/>
        <w:rPr>
          <w:rFonts w:ascii="Rockwell" w:hAnsi="Rockwell"/>
        </w:rPr>
      </w:pPr>
      <w:bookmarkStart w:id="0" w:name="_Hlk204368093"/>
      <w:bookmarkStart w:id="1" w:name="_Hlk197450670"/>
      <w:bookmarkEnd w:id="0"/>
      <w:bookmarkEnd w:id="1"/>
    </w:p>
    <w:p w14:paraId="42E89329" w14:textId="77777777" w:rsidR="00211602" w:rsidRPr="00957F3A" w:rsidRDefault="00211602" w:rsidP="00211602">
      <w:pPr>
        <w:pStyle w:val="NoSpacing"/>
        <w:jc w:val="both"/>
        <w:rPr>
          <w:rFonts w:ascii="Rockwell" w:hAnsi="Rockwell"/>
        </w:rPr>
      </w:pPr>
    </w:p>
    <w:p w14:paraId="6F62662E" w14:textId="77777777" w:rsidR="00211602" w:rsidRPr="00957F3A" w:rsidRDefault="00211602" w:rsidP="00211602">
      <w:pPr>
        <w:pStyle w:val="NoSpacing"/>
        <w:jc w:val="both"/>
        <w:rPr>
          <w:rFonts w:ascii="Rockwell" w:hAnsi="Rockwell"/>
        </w:rPr>
      </w:pPr>
    </w:p>
    <w:p w14:paraId="2CF6EE32" w14:textId="77777777" w:rsidR="00211602" w:rsidRPr="00957F3A" w:rsidRDefault="00211602" w:rsidP="00211602">
      <w:pPr>
        <w:pStyle w:val="NoSpacing"/>
        <w:jc w:val="both"/>
        <w:rPr>
          <w:rFonts w:ascii="Rockwell" w:eastAsia="Times New Roman" w:hAnsi="Rockwell" w:cs="Segoe UI"/>
          <w:b/>
          <w:bCs/>
          <w:kern w:val="0"/>
          <w:sz w:val="28"/>
          <w:szCs w:val="28"/>
          <w14:ligatures w14:val="none"/>
        </w:rPr>
      </w:pPr>
    </w:p>
    <w:p w14:paraId="181CB4D4" w14:textId="77777777" w:rsidR="00211602" w:rsidRPr="0012497D" w:rsidRDefault="00211602" w:rsidP="00211602">
      <w:pPr>
        <w:pStyle w:val="NoSpacing"/>
      </w:pPr>
    </w:p>
    <w:p w14:paraId="59A4DD75" w14:textId="77777777" w:rsidR="00211602" w:rsidRDefault="00211602" w:rsidP="00211602"/>
    <w:p w14:paraId="2051F97E" w14:textId="5057F6D3" w:rsidR="00211602" w:rsidRPr="00B229EF" w:rsidRDefault="00211602" w:rsidP="00B229EF">
      <w:pPr>
        <w:pStyle w:val="NoSpacing"/>
        <w:spacing w:line="360" w:lineRule="auto"/>
        <w:jc w:val="both"/>
        <w:rPr>
          <w:rFonts w:ascii="Rockwell" w:hAnsi="Rockwell"/>
          <w:b/>
          <w:color w:val="196B24" w:themeColor="accent3"/>
          <w:sz w:val="64"/>
          <w:szCs w:val="6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B229EF">
        <w:rPr>
          <w:rFonts w:ascii="Rockwell" w:eastAsia="Times New Roman" w:hAnsi="Rockwell" w:cs="Segoe UI"/>
          <w:b/>
          <w:bCs/>
          <w:color w:val="196B24" w:themeColor="accent3"/>
          <w:kern w:val="0"/>
          <w:sz w:val="64"/>
          <w:szCs w:val="6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14:ligatures w14:val="none"/>
        </w:rPr>
        <w:t>DEDER GENERAL HOSPITAL</w:t>
      </w:r>
      <w:r w:rsidRPr="00B229EF">
        <w:rPr>
          <w:rFonts w:ascii="Rockwell" w:hAnsi="Rockwell"/>
          <w:b/>
          <w:color w:val="196B24" w:themeColor="accent3"/>
          <w:sz w:val="64"/>
          <w:szCs w:val="6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p>
    <w:p w14:paraId="68CE59EB" w14:textId="77777777" w:rsidR="00211602" w:rsidRPr="00B229EF" w:rsidRDefault="00211602" w:rsidP="00211602">
      <w:pPr>
        <w:jc w:val="center"/>
        <w:rPr>
          <w:rFonts w:ascii="Rockwell" w:hAnsi="Rockwell"/>
          <w:b/>
          <w:bCs/>
          <w:color w:val="00B0F0"/>
          <w:sz w:val="72"/>
          <w:szCs w:val="72"/>
        </w:rPr>
      </w:pPr>
      <w:r w:rsidRPr="00B229EF">
        <w:rPr>
          <w:rFonts w:ascii="Rockwell" w:hAnsi="Rockwell"/>
          <w:b/>
          <w:bCs/>
          <w:color w:val="00B0F0"/>
          <w:sz w:val="72"/>
          <w:szCs w:val="72"/>
        </w:rPr>
        <w:t>IPC Monitoring Report</w:t>
      </w:r>
    </w:p>
    <w:p w14:paraId="57DE84C0" w14:textId="77777777" w:rsidR="00211602" w:rsidRDefault="00211602" w:rsidP="00211602">
      <w:pPr>
        <w:pStyle w:val="NoSpacing"/>
        <w:spacing w:line="360" w:lineRule="auto"/>
        <w:rPr>
          <w:rFonts w:ascii="Rockwell" w:hAnsi="Rockwell"/>
          <w:b/>
          <w:bCs/>
          <w:sz w:val="36"/>
          <w:szCs w:val="36"/>
        </w:rPr>
      </w:pPr>
    </w:p>
    <w:p w14:paraId="16C5975F" w14:textId="51F0FB99" w:rsidR="00211602" w:rsidRPr="00B229EF" w:rsidRDefault="00211602" w:rsidP="00211602">
      <w:pPr>
        <w:pStyle w:val="NoSpacing"/>
        <w:spacing w:line="360" w:lineRule="auto"/>
        <w:rPr>
          <w:rFonts w:ascii="Rockwell" w:hAnsi="Rockwell"/>
          <w:b/>
          <w:bCs/>
          <w:sz w:val="36"/>
          <w:szCs w:val="36"/>
        </w:rPr>
      </w:pPr>
      <w:r w:rsidRPr="003765D4">
        <w:rPr>
          <w:rFonts w:ascii="Rockwell" w:hAnsi="Rockwell"/>
          <w:b/>
          <w:bCs/>
          <w:sz w:val="36"/>
          <w:szCs w:val="36"/>
        </w:rPr>
        <w:t xml:space="preserve">Report period: </w:t>
      </w:r>
      <w:r w:rsidR="008E7360">
        <w:rPr>
          <w:rFonts w:ascii="Rockwell" w:hAnsi="Rockwell"/>
          <w:b/>
          <w:bCs/>
          <w:sz w:val="36"/>
          <w:szCs w:val="36"/>
        </w:rPr>
        <w:t>3</w:t>
      </w:r>
      <w:r w:rsidR="008E7360" w:rsidRPr="008E7360">
        <w:rPr>
          <w:rFonts w:ascii="Rockwell" w:hAnsi="Rockwell"/>
          <w:b/>
          <w:bCs/>
          <w:sz w:val="36"/>
          <w:szCs w:val="36"/>
          <w:vertAlign w:val="superscript"/>
        </w:rPr>
        <w:t>rd</w:t>
      </w:r>
      <w:r w:rsidR="00B229EF" w:rsidRPr="00B229EF">
        <w:rPr>
          <w:rFonts w:ascii="Rockwell" w:hAnsi="Rockwell"/>
          <w:b/>
          <w:bCs/>
          <w:sz w:val="36"/>
          <w:szCs w:val="36"/>
        </w:rPr>
        <w:t xml:space="preserve"> </w:t>
      </w:r>
      <w:r w:rsidRPr="00B229EF">
        <w:rPr>
          <w:rFonts w:ascii="Rockwell" w:hAnsi="Rockwell"/>
          <w:b/>
          <w:bCs/>
          <w:sz w:val="36"/>
          <w:szCs w:val="36"/>
        </w:rPr>
        <w:t>Quarter of 2017EFY</w:t>
      </w:r>
    </w:p>
    <w:p w14:paraId="354CC272" w14:textId="77777777" w:rsidR="00211602" w:rsidRPr="003765D4" w:rsidRDefault="00211602" w:rsidP="00211602">
      <w:pPr>
        <w:pStyle w:val="NoSpacing"/>
        <w:spacing w:line="360" w:lineRule="auto"/>
        <w:jc w:val="center"/>
        <w:rPr>
          <w:rFonts w:ascii="Rockwell" w:hAnsi="Rockwell"/>
          <w:b/>
          <w:bCs/>
          <w:sz w:val="36"/>
          <w:szCs w:val="36"/>
        </w:rPr>
      </w:pPr>
    </w:p>
    <w:p w14:paraId="5CCC6C53" w14:textId="61C0B335" w:rsidR="00211602" w:rsidRPr="003765D4" w:rsidRDefault="00211602" w:rsidP="00211602">
      <w:pPr>
        <w:pStyle w:val="NoSpacing"/>
        <w:spacing w:line="360" w:lineRule="auto"/>
        <w:rPr>
          <w:rFonts w:ascii="Rockwell" w:hAnsi="Rockwell"/>
          <w:b/>
          <w:bCs/>
          <w:sz w:val="36"/>
          <w:szCs w:val="36"/>
        </w:rPr>
      </w:pPr>
      <w:r w:rsidRPr="003765D4">
        <w:rPr>
          <w:rFonts w:ascii="Rockwell" w:hAnsi="Rockwell"/>
          <w:b/>
          <w:bCs/>
          <w:sz w:val="36"/>
          <w:szCs w:val="36"/>
        </w:rPr>
        <w:t xml:space="preserve">By: </w:t>
      </w:r>
      <w:r w:rsidRPr="00B229EF">
        <w:rPr>
          <w:rFonts w:ascii="Rockwell" w:hAnsi="Rockwell"/>
          <w:b/>
          <w:bCs/>
          <w:i/>
          <w:iCs/>
          <w:sz w:val="36"/>
          <w:szCs w:val="36"/>
        </w:rPr>
        <w:t>Ibrahim Tahir-IPC officer</w:t>
      </w:r>
    </w:p>
    <w:p w14:paraId="29648EFC" w14:textId="77777777" w:rsidR="00211602" w:rsidRPr="00C41137" w:rsidRDefault="00211602" w:rsidP="00211602">
      <w:pPr>
        <w:pStyle w:val="NoSpacing"/>
        <w:jc w:val="both"/>
        <w:rPr>
          <w:rFonts w:ascii="Comic Sans MS" w:eastAsia="Times New Roman" w:hAnsi="Comic Sans MS" w:cs="Segoe UI"/>
          <w:b/>
          <w:bCs/>
          <w:i/>
          <w:iCs/>
          <w:kern w:val="0"/>
          <w:sz w:val="48"/>
          <w:szCs w:val="48"/>
          <w14:ligatures w14:val="none"/>
        </w:rPr>
      </w:pPr>
    </w:p>
    <w:p w14:paraId="11CE236E" w14:textId="77777777" w:rsidR="00211602" w:rsidRPr="00C41137" w:rsidRDefault="00211602" w:rsidP="00211602">
      <w:pPr>
        <w:pStyle w:val="NoSpacing"/>
        <w:jc w:val="both"/>
        <w:rPr>
          <w:rFonts w:ascii="Comic Sans MS" w:eastAsia="Times New Roman" w:hAnsi="Comic Sans MS" w:cs="Segoe UI"/>
          <w:b/>
          <w:bCs/>
          <w:i/>
          <w:iCs/>
          <w:kern w:val="0"/>
          <w:sz w:val="48"/>
          <w:szCs w:val="48"/>
          <w14:ligatures w14:val="none"/>
        </w:rPr>
      </w:pPr>
    </w:p>
    <w:p w14:paraId="0265E5EE" w14:textId="77777777" w:rsidR="00211602" w:rsidRDefault="00211602" w:rsidP="00211602">
      <w:pPr>
        <w:pStyle w:val="NoSpacing"/>
        <w:jc w:val="both"/>
        <w:rPr>
          <w:rFonts w:ascii="Comic Sans MS" w:eastAsia="Times New Roman" w:hAnsi="Comic Sans MS" w:cs="Segoe UI"/>
          <w:b/>
          <w:bCs/>
          <w:i/>
          <w:iCs/>
          <w:kern w:val="0"/>
          <w:sz w:val="48"/>
          <w:szCs w:val="48"/>
          <w14:ligatures w14:val="none"/>
        </w:rPr>
      </w:pPr>
    </w:p>
    <w:p w14:paraId="197011AD" w14:textId="77777777" w:rsidR="00211602" w:rsidRDefault="00211602" w:rsidP="00211602">
      <w:pPr>
        <w:pStyle w:val="NoSpacing"/>
        <w:jc w:val="both"/>
        <w:rPr>
          <w:rFonts w:ascii="Comic Sans MS" w:eastAsia="Times New Roman" w:hAnsi="Comic Sans MS" w:cs="Segoe UI"/>
          <w:b/>
          <w:bCs/>
          <w:i/>
          <w:iCs/>
          <w:kern w:val="0"/>
          <w:sz w:val="48"/>
          <w:szCs w:val="48"/>
          <w14:ligatures w14:val="none"/>
        </w:rPr>
      </w:pPr>
    </w:p>
    <w:p w14:paraId="1CA1AA54" w14:textId="77777777" w:rsidR="00211602" w:rsidRDefault="00211602" w:rsidP="00211602">
      <w:pPr>
        <w:pStyle w:val="NoSpacing"/>
        <w:jc w:val="both"/>
        <w:rPr>
          <w:rFonts w:ascii="Rockwell" w:eastAsia="Times New Roman" w:hAnsi="Rockwell" w:cs="Segoe UI"/>
          <w:b/>
          <w:bCs/>
          <w:i/>
          <w:iCs/>
          <w:kern w:val="0"/>
          <w:sz w:val="48"/>
          <w:szCs w:val="48"/>
          <w14:ligatures w14:val="none"/>
        </w:rPr>
      </w:pPr>
    </w:p>
    <w:p w14:paraId="1A329096" w14:textId="77777777" w:rsidR="00211602" w:rsidRPr="003765D4" w:rsidRDefault="00211602" w:rsidP="00211602">
      <w:pPr>
        <w:pStyle w:val="NoSpacing"/>
        <w:jc w:val="both"/>
        <w:rPr>
          <w:rFonts w:ascii="Rockwell" w:eastAsia="Times New Roman" w:hAnsi="Rockwell" w:cs="Segoe UI"/>
          <w:b/>
          <w:bCs/>
          <w:i/>
          <w:iCs/>
          <w:kern w:val="0"/>
          <w:sz w:val="48"/>
          <w:szCs w:val="48"/>
          <w14:ligatures w14:val="none"/>
        </w:rPr>
      </w:pPr>
    </w:p>
    <w:p w14:paraId="20E19C05" w14:textId="0290D467" w:rsidR="00211602" w:rsidRPr="003765D4" w:rsidRDefault="008E7360" w:rsidP="00211602">
      <w:pPr>
        <w:pStyle w:val="NoSpacing"/>
        <w:spacing w:line="360" w:lineRule="auto"/>
        <w:jc w:val="right"/>
        <w:rPr>
          <w:rFonts w:ascii="Rockwell" w:eastAsia="Times New Roman" w:hAnsi="Rockwell" w:cs="Segoe UI"/>
          <w:b/>
          <w:bCs/>
          <w:i/>
          <w:iCs/>
          <w:kern w:val="0"/>
          <w:sz w:val="48"/>
          <w:szCs w:val="48"/>
          <w14:ligatures w14:val="none"/>
        </w:rPr>
      </w:pPr>
      <w:r>
        <w:rPr>
          <w:rFonts w:ascii="Rockwell" w:eastAsia="Times New Roman" w:hAnsi="Rockwell" w:cs="Segoe UI"/>
          <w:b/>
          <w:bCs/>
          <w:i/>
          <w:iCs/>
          <w:kern w:val="0"/>
          <w:sz w:val="48"/>
          <w:szCs w:val="48"/>
          <w14:ligatures w14:val="none"/>
        </w:rPr>
        <w:t>March</w:t>
      </w:r>
      <w:r w:rsidR="00211602" w:rsidRPr="003765D4">
        <w:rPr>
          <w:rFonts w:ascii="Rockwell" w:eastAsia="Times New Roman" w:hAnsi="Rockwell" w:cs="Segoe UI"/>
          <w:b/>
          <w:bCs/>
          <w:i/>
          <w:iCs/>
          <w:kern w:val="0"/>
          <w:sz w:val="48"/>
          <w:szCs w:val="48"/>
          <w14:ligatures w14:val="none"/>
        </w:rPr>
        <w:t xml:space="preserve"> 2017E.C</w:t>
      </w:r>
    </w:p>
    <w:p w14:paraId="6E89891C" w14:textId="77777777" w:rsidR="00211602" w:rsidRDefault="00211602" w:rsidP="00211602">
      <w:pPr>
        <w:pStyle w:val="NoSpacing"/>
        <w:spacing w:line="360" w:lineRule="auto"/>
        <w:jc w:val="right"/>
        <w:rPr>
          <w:rFonts w:ascii="Rockwell" w:eastAsia="Times New Roman" w:hAnsi="Rockwell" w:cs="Segoe UI"/>
          <w:b/>
          <w:bCs/>
          <w:i/>
          <w:iCs/>
          <w:kern w:val="0"/>
          <w:sz w:val="48"/>
          <w:szCs w:val="48"/>
          <w14:ligatures w14:val="none"/>
        </w:rPr>
        <w:sectPr w:rsidR="00211602" w:rsidSect="00211602">
          <w:footerReference w:type="default" r:id="rId9"/>
          <w:pgSz w:w="12240" w:h="15840"/>
          <w:pgMar w:top="1440" w:right="810" w:bottom="1440" w:left="1440" w:header="432" w:footer="432" w:gutter="0"/>
          <w:pgBorders w:display="firstPage" w:offsetFrom="page">
            <w:top w:val="single" w:sz="36" w:space="24" w:color="00B0F0"/>
            <w:left w:val="single" w:sz="36" w:space="24" w:color="00B0F0"/>
            <w:bottom w:val="single" w:sz="36" w:space="24" w:color="00B0F0"/>
            <w:right w:val="single" w:sz="36" w:space="24" w:color="00B0F0"/>
          </w:pgBorders>
          <w:pgNumType w:fmt="lowerRoman" w:start="1"/>
          <w:cols w:space="720"/>
          <w:docGrid w:linePitch="360"/>
        </w:sectPr>
      </w:pPr>
      <w:r w:rsidRPr="003765D4">
        <w:rPr>
          <w:rFonts w:ascii="Rockwell" w:eastAsia="Times New Roman" w:hAnsi="Rockwell" w:cs="Segoe UI"/>
          <w:b/>
          <w:bCs/>
          <w:i/>
          <w:iCs/>
          <w:kern w:val="0"/>
          <w:sz w:val="48"/>
          <w:szCs w:val="48"/>
          <w14:ligatures w14:val="none"/>
        </w:rPr>
        <w:t>Deder, Oromia</w:t>
      </w:r>
    </w:p>
    <w:sdt>
      <w:sdtPr>
        <w:rPr>
          <w:rFonts w:ascii="Rockwell" w:eastAsiaTheme="minorHAnsi" w:hAnsi="Rockwell"/>
        </w:rPr>
        <w:id w:val="-1256209303"/>
        <w:docPartObj>
          <w:docPartGallery w:val="Table of Contents"/>
          <w:docPartUnique/>
        </w:docPartObj>
      </w:sdtPr>
      <w:sdtEndPr>
        <w:rPr>
          <w:rFonts w:asciiTheme="minorHAnsi" w:eastAsiaTheme="minorEastAsia" w:hAnsiTheme="minorHAnsi"/>
          <w:b/>
          <w:bCs/>
          <w:noProof/>
        </w:rPr>
      </w:sdtEndPr>
      <w:sdtContent>
        <w:p w14:paraId="5B0995F1" w14:textId="77777777" w:rsidR="00211602" w:rsidRPr="000C2108" w:rsidRDefault="00211602" w:rsidP="00211602">
          <w:pPr>
            <w:jc w:val="center"/>
            <w:rPr>
              <w:rFonts w:ascii="Rockwell" w:hAnsi="Rockwell"/>
              <w:b/>
              <w:bCs/>
            </w:rPr>
          </w:pPr>
          <w:r w:rsidRPr="000C2108">
            <w:rPr>
              <w:rFonts w:ascii="Rockwell" w:hAnsi="Rockwell"/>
              <w:b/>
              <w:bCs/>
            </w:rPr>
            <w:t>TABLE OF CONTENTS</w:t>
          </w:r>
        </w:p>
        <w:p w14:paraId="3AD1529D" w14:textId="7375F004" w:rsidR="00637557" w:rsidRDefault="00211602">
          <w:pPr>
            <w:pStyle w:val="TOC1"/>
            <w:tabs>
              <w:tab w:val="right" w:leader="dot" w:pos="9980"/>
            </w:tabs>
            <w:rPr>
              <w:rFonts w:eastAsiaTheme="minorEastAsia"/>
              <w:noProof/>
              <w:sz w:val="24"/>
              <w:szCs w:val="24"/>
            </w:rPr>
          </w:pPr>
          <w:r w:rsidRPr="00F54E43">
            <w:rPr>
              <w:rFonts w:ascii="Rockwell" w:hAnsi="Rockwell"/>
            </w:rPr>
            <w:fldChar w:fldCharType="begin"/>
          </w:r>
          <w:r w:rsidRPr="00F54E43">
            <w:rPr>
              <w:rFonts w:ascii="Rockwell" w:hAnsi="Rockwell"/>
            </w:rPr>
            <w:instrText xml:space="preserve"> TOC \o "1-3" \h \z \u </w:instrText>
          </w:r>
          <w:r w:rsidRPr="00F54E43">
            <w:rPr>
              <w:rFonts w:ascii="Rockwell" w:hAnsi="Rockwell"/>
            </w:rPr>
            <w:fldChar w:fldCharType="separate"/>
          </w:r>
          <w:hyperlink w:anchor="_Toc204470675" w:history="1">
            <w:r w:rsidR="00637557" w:rsidRPr="00BB378F">
              <w:rPr>
                <w:rStyle w:val="Hyperlink"/>
                <w:rFonts w:ascii="Rockwell" w:hAnsi="Rockwell"/>
                <w:b/>
                <w:bCs/>
                <w:noProof/>
              </w:rPr>
              <w:t>1. Introduction</w:t>
            </w:r>
            <w:r w:rsidR="00637557">
              <w:rPr>
                <w:noProof/>
                <w:webHidden/>
              </w:rPr>
              <w:tab/>
            </w:r>
            <w:r w:rsidR="00637557">
              <w:rPr>
                <w:noProof/>
                <w:webHidden/>
              </w:rPr>
              <w:fldChar w:fldCharType="begin"/>
            </w:r>
            <w:r w:rsidR="00637557">
              <w:rPr>
                <w:noProof/>
                <w:webHidden/>
              </w:rPr>
              <w:instrText xml:space="preserve"> PAGEREF _Toc204470675 \h </w:instrText>
            </w:r>
            <w:r w:rsidR="00637557">
              <w:rPr>
                <w:noProof/>
                <w:webHidden/>
              </w:rPr>
            </w:r>
            <w:r w:rsidR="00637557">
              <w:rPr>
                <w:noProof/>
                <w:webHidden/>
              </w:rPr>
              <w:fldChar w:fldCharType="separate"/>
            </w:r>
            <w:r w:rsidR="00637557">
              <w:rPr>
                <w:noProof/>
                <w:webHidden/>
              </w:rPr>
              <w:t>1</w:t>
            </w:r>
            <w:r w:rsidR="00637557">
              <w:rPr>
                <w:noProof/>
                <w:webHidden/>
              </w:rPr>
              <w:fldChar w:fldCharType="end"/>
            </w:r>
          </w:hyperlink>
        </w:p>
        <w:p w14:paraId="0B5B3225" w14:textId="3C8D8FAD" w:rsidR="00637557" w:rsidRDefault="00637557">
          <w:pPr>
            <w:pStyle w:val="TOC1"/>
            <w:tabs>
              <w:tab w:val="right" w:leader="dot" w:pos="9980"/>
            </w:tabs>
            <w:rPr>
              <w:rFonts w:eastAsiaTheme="minorEastAsia"/>
              <w:noProof/>
              <w:sz w:val="24"/>
              <w:szCs w:val="24"/>
            </w:rPr>
          </w:pPr>
          <w:hyperlink w:anchor="_Toc204470676" w:history="1">
            <w:r w:rsidRPr="00BB378F">
              <w:rPr>
                <w:rStyle w:val="Hyperlink"/>
                <w:rFonts w:ascii="Rockwell" w:hAnsi="Rockwell"/>
                <w:b/>
                <w:bCs/>
                <w:noProof/>
              </w:rPr>
              <w:t>2. Objective</w:t>
            </w:r>
            <w:r>
              <w:rPr>
                <w:noProof/>
                <w:webHidden/>
              </w:rPr>
              <w:tab/>
            </w:r>
            <w:r>
              <w:rPr>
                <w:noProof/>
                <w:webHidden/>
              </w:rPr>
              <w:fldChar w:fldCharType="begin"/>
            </w:r>
            <w:r>
              <w:rPr>
                <w:noProof/>
                <w:webHidden/>
              </w:rPr>
              <w:instrText xml:space="preserve"> PAGEREF _Toc204470676 \h </w:instrText>
            </w:r>
            <w:r>
              <w:rPr>
                <w:noProof/>
                <w:webHidden/>
              </w:rPr>
            </w:r>
            <w:r>
              <w:rPr>
                <w:noProof/>
                <w:webHidden/>
              </w:rPr>
              <w:fldChar w:fldCharType="separate"/>
            </w:r>
            <w:r>
              <w:rPr>
                <w:noProof/>
                <w:webHidden/>
              </w:rPr>
              <w:t>1</w:t>
            </w:r>
            <w:r>
              <w:rPr>
                <w:noProof/>
                <w:webHidden/>
              </w:rPr>
              <w:fldChar w:fldCharType="end"/>
            </w:r>
          </w:hyperlink>
        </w:p>
        <w:p w14:paraId="449F7881" w14:textId="78A7031D" w:rsidR="00637557" w:rsidRDefault="00637557">
          <w:pPr>
            <w:pStyle w:val="TOC1"/>
            <w:tabs>
              <w:tab w:val="right" w:leader="dot" w:pos="9980"/>
            </w:tabs>
            <w:rPr>
              <w:rFonts w:eastAsiaTheme="minorEastAsia"/>
              <w:noProof/>
              <w:sz w:val="24"/>
              <w:szCs w:val="24"/>
            </w:rPr>
          </w:pPr>
          <w:hyperlink w:anchor="_Toc204470677" w:history="1">
            <w:r w:rsidRPr="00BB378F">
              <w:rPr>
                <w:rStyle w:val="Hyperlink"/>
                <w:rFonts w:ascii="Rockwell" w:hAnsi="Rockwell"/>
                <w:b/>
                <w:bCs/>
                <w:noProof/>
              </w:rPr>
              <w:t>3. Methodology</w:t>
            </w:r>
            <w:r>
              <w:rPr>
                <w:noProof/>
                <w:webHidden/>
              </w:rPr>
              <w:tab/>
            </w:r>
            <w:r>
              <w:rPr>
                <w:noProof/>
                <w:webHidden/>
              </w:rPr>
              <w:fldChar w:fldCharType="begin"/>
            </w:r>
            <w:r>
              <w:rPr>
                <w:noProof/>
                <w:webHidden/>
              </w:rPr>
              <w:instrText xml:space="preserve"> PAGEREF _Toc204470677 \h </w:instrText>
            </w:r>
            <w:r>
              <w:rPr>
                <w:noProof/>
                <w:webHidden/>
              </w:rPr>
            </w:r>
            <w:r>
              <w:rPr>
                <w:noProof/>
                <w:webHidden/>
              </w:rPr>
              <w:fldChar w:fldCharType="separate"/>
            </w:r>
            <w:r>
              <w:rPr>
                <w:noProof/>
                <w:webHidden/>
              </w:rPr>
              <w:t>1</w:t>
            </w:r>
            <w:r>
              <w:rPr>
                <w:noProof/>
                <w:webHidden/>
              </w:rPr>
              <w:fldChar w:fldCharType="end"/>
            </w:r>
          </w:hyperlink>
        </w:p>
        <w:p w14:paraId="34DEB625" w14:textId="495FD183" w:rsidR="00637557" w:rsidRDefault="00637557">
          <w:pPr>
            <w:pStyle w:val="TOC1"/>
            <w:tabs>
              <w:tab w:val="right" w:leader="dot" w:pos="9980"/>
            </w:tabs>
            <w:rPr>
              <w:rFonts w:eastAsiaTheme="minorEastAsia"/>
              <w:noProof/>
              <w:sz w:val="24"/>
              <w:szCs w:val="24"/>
            </w:rPr>
          </w:pPr>
          <w:hyperlink w:anchor="_Toc204470678" w:history="1">
            <w:r w:rsidRPr="00BB378F">
              <w:rPr>
                <w:rStyle w:val="Hyperlink"/>
                <w:rFonts w:ascii="Rockwell" w:hAnsi="Rockwell"/>
                <w:b/>
                <w:bCs/>
                <w:noProof/>
              </w:rPr>
              <w:t>4.  RESULTS</w:t>
            </w:r>
            <w:r>
              <w:rPr>
                <w:noProof/>
                <w:webHidden/>
              </w:rPr>
              <w:tab/>
            </w:r>
            <w:r>
              <w:rPr>
                <w:noProof/>
                <w:webHidden/>
              </w:rPr>
              <w:fldChar w:fldCharType="begin"/>
            </w:r>
            <w:r>
              <w:rPr>
                <w:noProof/>
                <w:webHidden/>
              </w:rPr>
              <w:instrText xml:space="preserve"> PAGEREF _Toc204470678 \h </w:instrText>
            </w:r>
            <w:r>
              <w:rPr>
                <w:noProof/>
                <w:webHidden/>
              </w:rPr>
            </w:r>
            <w:r>
              <w:rPr>
                <w:noProof/>
                <w:webHidden/>
              </w:rPr>
              <w:fldChar w:fldCharType="separate"/>
            </w:r>
            <w:r>
              <w:rPr>
                <w:noProof/>
                <w:webHidden/>
              </w:rPr>
              <w:t>4</w:t>
            </w:r>
            <w:r>
              <w:rPr>
                <w:noProof/>
                <w:webHidden/>
              </w:rPr>
              <w:fldChar w:fldCharType="end"/>
            </w:r>
          </w:hyperlink>
        </w:p>
        <w:p w14:paraId="5EFE75A4" w14:textId="11972B6B" w:rsidR="00637557" w:rsidRDefault="00637557">
          <w:pPr>
            <w:pStyle w:val="TOC1"/>
            <w:tabs>
              <w:tab w:val="right" w:leader="dot" w:pos="9980"/>
            </w:tabs>
            <w:rPr>
              <w:rFonts w:eastAsiaTheme="minorEastAsia"/>
              <w:noProof/>
              <w:sz w:val="24"/>
              <w:szCs w:val="24"/>
            </w:rPr>
          </w:pPr>
          <w:hyperlink w:anchor="_Toc204470679" w:history="1">
            <w:r w:rsidRPr="00BB378F">
              <w:rPr>
                <w:rStyle w:val="Hyperlink"/>
                <w:rFonts w:ascii="Rockwell" w:hAnsi="Rockwell"/>
                <w:b/>
                <w:bCs/>
                <w:noProof/>
              </w:rPr>
              <w:t>5. Discussion</w:t>
            </w:r>
            <w:r>
              <w:rPr>
                <w:noProof/>
                <w:webHidden/>
              </w:rPr>
              <w:tab/>
            </w:r>
            <w:r>
              <w:rPr>
                <w:noProof/>
                <w:webHidden/>
              </w:rPr>
              <w:fldChar w:fldCharType="begin"/>
            </w:r>
            <w:r>
              <w:rPr>
                <w:noProof/>
                <w:webHidden/>
              </w:rPr>
              <w:instrText xml:space="preserve"> PAGEREF _Toc204470679 \h </w:instrText>
            </w:r>
            <w:r>
              <w:rPr>
                <w:noProof/>
                <w:webHidden/>
              </w:rPr>
            </w:r>
            <w:r>
              <w:rPr>
                <w:noProof/>
                <w:webHidden/>
              </w:rPr>
              <w:fldChar w:fldCharType="separate"/>
            </w:r>
            <w:r>
              <w:rPr>
                <w:noProof/>
                <w:webHidden/>
              </w:rPr>
              <w:t>6</w:t>
            </w:r>
            <w:r>
              <w:rPr>
                <w:noProof/>
                <w:webHidden/>
              </w:rPr>
              <w:fldChar w:fldCharType="end"/>
            </w:r>
          </w:hyperlink>
        </w:p>
        <w:p w14:paraId="62F40A5D" w14:textId="3AC7D5A3" w:rsidR="00637557" w:rsidRDefault="00637557">
          <w:pPr>
            <w:pStyle w:val="TOC1"/>
            <w:tabs>
              <w:tab w:val="right" w:leader="dot" w:pos="9980"/>
            </w:tabs>
            <w:rPr>
              <w:rFonts w:eastAsiaTheme="minorEastAsia"/>
              <w:noProof/>
              <w:sz w:val="24"/>
              <w:szCs w:val="24"/>
            </w:rPr>
          </w:pPr>
          <w:hyperlink w:anchor="_Toc204470680" w:history="1">
            <w:r w:rsidRPr="00BB378F">
              <w:rPr>
                <w:rStyle w:val="Hyperlink"/>
                <w:rFonts w:ascii="Rockwell" w:hAnsi="Rockwell"/>
                <w:b/>
                <w:bCs/>
                <w:noProof/>
              </w:rPr>
              <w:t>6. Recommendations</w:t>
            </w:r>
            <w:r>
              <w:rPr>
                <w:noProof/>
                <w:webHidden/>
              </w:rPr>
              <w:tab/>
            </w:r>
            <w:r>
              <w:rPr>
                <w:noProof/>
                <w:webHidden/>
              </w:rPr>
              <w:fldChar w:fldCharType="begin"/>
            </w:r>
            <w:r>
              <w:rPr>
                <w:noProof/>
                <w:webHidden/>
              </w:rPr>
              <w:instrText xml:space="preserve"> PAGEREF _Toc204470680 \h </w:instrText>
            </w:r>
            <w:r>
              <w:rPr>
                <w:noProof/>
                <w:webHidden/>
              </w:rPr>
            </w:r>
            <w:r>
              <w:rPr>
                <w:noProof/>
                <w:webHidden/>
              </w:rPr>
              <w:fldChar w:fldCharType="separate"/>
            </w:r>
            <w:r>
              <w:rPr>
                <w:noProof/>
                <w:webHidden/>
              </w:rPr>
              <w:t>7</w:t>
            </w:r>
            <w:r>
              <w:rPr>
                <w:noProof/>
                <w:webHidden/>
              </w:rPr>
              <w:fldChar w:fldCharType="end"/>
            </w:r>
          </w:hyperlink>
        </w:p>
        <w:p w14:paraId="473E804E" w14:textId="1BDD60A8" w:rsidR="00637557" w:rsidRDefault="00637557">
          <w:pPr>
            <w:pStyle w:val="TOC1"/>
            <w:tabs>
              <w:tab w:val="right" w:leader="dot" w:pos="9980"/>
            </w:tabs>
            <w:rPr>
              <w:rFonts w:eastAsiaTheme="minorEastAsia"/>
              <w:noProof/>
              <w:sz w:val="24"/>
              <w:szCs w:val="24"/>
            </w:rPr>
          </w:pPr>
          <w:hyperlink w:anchor="_Toc204470681" w:history="1">
            <w:r w:rsidRPr="00BB378F">
              <w:rPr>
                <w:rStyle w:val="Hyperlink"/>
                <w:rFonts w:ascii="Rockwell" w:hAnsi="Rockwell"/>
                <w:b/>
                <w:bCs/>
                <w:noProof/>
              </w:rPr>
              <w:t>7. Action Plan</w:t>
            </w:r>
            <w:r>
              <w:rPr>
                <w:noProof/>
                <w:webHidden/>
              </w:rPr>
              <w:tab/>
            </w:r>
            <w:r>
              <w:rPr>
                <w:noProof/>
                <w:webHidden/>
              </w:rPr>
              <w:fldChar w:fldCharType="begin"/>
            </w:r>
            <w:r>
              <w:rPr>
                <w:noProof/>
                <w:webHidden/>
              </w:rPr>
              <w:instrText xml:space="preserve"> PAGEREF _Toc204470681 \h </w:instrText>
            </w:r>
            <w:r>
              <w:rPr>
                <w:noProof/>
                <w:webHidden/>
              </w:rPr>
            </w:r>
            <w:r>
              <w:rPr>
                <w:noProof/>
                <w:webHidden/>
              </w:rPr>
              <w:fldChar w:fldCharType="separate"/>
            </w:r>
            <w:r>
              <w:rPr>
                <w:noProof/>
                <w:webHidden/>
              </w:rPr>
              <w:t>8</w:t>
            </w:r>
            <w:r>
              <w:rPr>
                <w:noProof/>
                <w:webHidden/>
              </w:rPr>
              <w:fldChar w:fldCharType="end"/>
            </w:r>
          </w:hyperlink>
        </w:p>
        <w:p w14:paraId="43CD071A" w14:textId="07885044" w:rsidR="00637557" w:rsidRDefault="00637557">
          <w:pPr>
            <w:pStyle w:val="TOC1"/>
            <w:tabs>
              <w:tab w:val="right" w:leader="dot" w:pos="9980"/>
            </w:tabs>
            <w:rPr>
              <w:rFonts w:eastAsiaTheme="minorEastAsia"/>
              <w:noProof/>
              <w:sz w:val="24"/>
              <w:szCs w:val="24"/>
            </w:rPr>
          </w:pPr>
          <w:hyperlink w:anchor="_Toc204470682" w:history="1">
            <w:r w:rsidRPr="00BB378F">
              <w:rPr>
                <w:rStyle w:val="Hyperlink"/>
                <w:rFonts w:ascii="Rockwell" w:hAnsi="Rockwell"/>
                <w:b/>
                <w:bCs/>
                <w:noProof/>
              </w:rPr>
              <w:t>8. References</w:t>
            </w:r>
            <w:r>
              <w:rPr>
                <w:noProof/>
                <w:webHidden/>
              </w:rPr>
              <w:tab/>
            </w:r>
            <w:r>
              <w:rPr>
                <w:noProof/>
                <w:webHidden/>
              </w:rPr>
              <w:fldChar w:fldCharType="begin"/>
            </w:r>
            <w:r>
              <w:rPr>
                <w:noProof/>
                <w:webHidden/>
              </w:rPr>
              <w:instrText xml:space="preserve"> PAGEREF _Toc204470682 \h </w:instrText>
            </w:r>
            <w:r>
              <w:rPr>
                <w:noProof/>
                <w:webHidden/>
              </w:rPr>
            </w:r>
            <w:r>
              <w:rPr>
                <w:noProof/>
                <w:webHidden/>
              </w:rPr>
              <w:fldChar w:fldCharType="separate"/>
            </w:r>
            <w:r>
              <w:rPr>
                <w:noProof/>
                <w:webHidden/>
              </w:rPr>
              <w:t>9</w:t>
            </w:r>
            <w:r>
              <w:rPr>
                <w:noProof/>
                <w:webHidden/>
              </w:rPr>
              <w:fldChar w:fldCharType="end"/>
            </w:r>
          </w:hyperlink>
        </w:p>
        <w:p w14:paraId="1E11F68F" w14:textId="2B965753" w:rsidR="00211602" w:rsidRPr="00F54E43" w:rsidRDefault="00211602" w:rsidP="00211602">
          <w:r w:rsidRPr="00F54E43">
            <w:rPr>
              <w:noProof/>
            </w:rPr>
            <w:fldChar w:fldCharType="end"/>
          </w:r>
        </w:p>
      </w:sdtContent>
    </w:sdt>
    <w:p w14:paraId="322C94B5" w14:textId="77777777" w:rsidR="00211602" w:rsidRPr="00957F3A" w:rsidRDefault="00211602" w:rsidP="00211602">
      <w:pPr>
        <w:jc w:val="both"/>
        <w:rPr>
          <w:rFonts w:ascii="Rockwell" w:hAnsi="Rockwell"/>
        </w:rPr>
      </w:pPr>
    </w:p>
    <w:p w14:paraId="72BC9C3A" w14:textId="77777777" w:rsidR="00211602" w:rsidRDefault="00211602" w:rsidP="00211602">
      <w:pPr>
        <w:rPr>
          <w:rFonts w:ascii="Rockwell" w:hAnsi="Rockwell"/>
        </w:rPr>
      </w:pPr>
    </w:p>
    <w:p w14:paraId="5A1DB73F" w14:textId="4F0A124A" w:rsidR="00D90EA5" w:rsidRDefault="00D90EA5">
      <w:pPr>
        <w:pStyle w:val="TableofFigures"/>
        <w:tabs>
          <w:tab w:val="right" w:leader="dot" w:pos="9980"/>
        </w:tabs>
        <w:rPr>
          <w:rFonts w:asciiTheme="minorHAnsi" w:eastAsiaTheme="minorEastAsia" w:hAnsiTheme="minorHAnsi" w:cstheme="minorBidi"/>
          <w:noProof/>
          <w:kern w:val="2"/>
          <w14:ligatures w14:val="standardContextual"/>
        </w:rPr>
      </w:pPr>
      <w:r>
        <w:rPr>
          <w:rFonts w:ascii="Rockwell" w:hAnsi="Rockwell"/>
          <w:sz w:val="28"/>
          <w:szCs w:val="28"/>
        </w:rPr>
        <w:fldChar w:fldCharType="begin"/>
      </w:r>
      <w:r>
        <w:rPr>
          <w:rFonts w:ascii="Rockwell" w:hAnsi="Rockwell"/>
          <w:sz w:val="28"/>
          <w:szCs w:val="28"/>
        </w:rPr>
        <w:instrText xml:space="preserve"> TOC \h \z \c "Figure" </w:instrText>
      </w:r>
      <w:r>
        <w:rPr>
          <w:rFonts w:ascii="Rockwell" w:hAnsi="Rockwell"/>
          <w:sz w:val="28"/>
          <w:szCs w:val="28"/>
        </w:rPr>
        <w:fldChar w:fldCharType="separate"/>
      </w:r>
      <w:hyperlink w:anchor="_Toc204469339" w:history="1">
        <w:r w:rsidRPr="00790B7A">
          <w:rPr>
            <w:rStyle w:val="Hyperlink"/>
            <w:rFonts w:ascii="Rockwell" w:eastAsiaTheme="majorEastAsia" w:hAnsi="Rockwell"/>
            <w:b/>
            <w:bCs/>
            <w:noProof/>
          </w:rPr>
          <w:t>Figure 1:</w:t>
        </w:r>
        <w:r w:rsidRPr="00790B7A">
          <w:rPr>
            <w:rStyle w:val="Hyperlink"/>
            <w:rFonts w:ascii="Rockwell" w:eastAsiaTheme="majorEastAsia" w:hAnsi="Rockwell"/>
            <w:noProof/>
          </w:rPr>
          <w:t xml:space="preserve"> Deder General Hospital Overall IPC compliance rate, </w:t>
        </w:r>
        <w:r w:rsidR="008E7360">
          <w:rPr>
            <w:rStyle w:val="Hyperlink"/>
            <w:rFonts w:ascii="Rockwell" w:eastAsiaTheme="majorEastAsia" w:hAnsi="Rockwell"/>
            <w:noProof/>
          </w:rPr>
          <w:t>March</w:t>
        </w:r>
        <w:r w:rsidRPr="00790B7A">
          <w:rPr>
            <w:rStyle w:val="Hyperlink"/>
            <w:rFonts w:ascii="Rockwell" w:eastAsiaTheme="majorEastAsia" w:hAnsi="Rockwell"/>
            <w:noProof/>
          </w:rPr>
          <w:t xml:space="preserve"> 2017E.C</w:t>
        </w:r>
        <w:r>
          <w:rPr>
            <w:noProof/>
            <w:webHidden/>
          </w:rPr>
          <w:tab/>
        </w:r>
        <w:r>
          <w:rPr>
            <w:noProof/>
            <w:webHidden/>
          </w:rPr>
          <w:fldChar w:fldCharType="begin"/>
        </w:r>
        <w:r>
          <w:rPr>
            <w:noProof/>
            <w:webHidden/>
          </w:rPr>
          <w:instrText xml:space="preserve"> PAGEREF _Toc204469339 \h </w:instrText>
        </w:r>
        <w:r>
          <w:rPr>
            <w:noProof/>
            <w:webHidden/>
          </w:rPr>
        </w:r>
        <w:r>
          <w:rPr>
            <w:noProof/>
            <w:webHidden/>
          </w:rPr>
          <w:fldChar w:fldCharType="separate"/>
        </w:r>
        <w:r>
          <w:rPr>
            <w:noProof/>
            <w:webHidden/>
          </w:rPr>
          <w:t>5</w:t>
        </w:r>
        <w:r>
          <w:rPr>
            <w:noProof/>
            <w:webHidden/>
          </w:rPr>
          <w:fldChar w:fldCharType="end"/>
        </w:r>
      </w:hyperlink>
    </w:p>
    <w:p w14:paraId="6D52702A" w14:textId="77777777" w:rsidR="00D90EA5" w:rsidRDefault="00D90EA5" w:rsidP="00211602">
      <w:pPr>
        <w:spacing w:before="100" w:beforeAutospacing="1" w:after="100" w:afterAutospacing="1" w:line="360" w:lineRule="auto"/>
        <w:jc w:val="both"/>
        <w:rPr>
          <w:noProof/>
        </w:rPr>
      </w:pPr>
      <w:r>
        <w:rPr>
          <w:rFonts w:ascii="Rockwell" w:hAnsi="Rockwell"/>
          <w:sz w:val="28"/>
          <w:szCs w:val="28"/>
        </w:rPr>
        <w:fldChar w:fldCharType="end"/>
      </w:r>
      <w:r>
        <w:rPr>
          <w:rFonts w:ascii="Rockwell" w:hAnsi="Rockwell"/>
          <w:sz w:val="28"/>
          <w:szCs w:val="28"/>
        </w:rPr>
        <w:fldChar w:fldCharType="begin"/>
      </w:r>
      <w:r>
        <w:rPr>
          <w:rFonts w:ascii="Rockwell" w:hAnsi="Rockwell"/>
          <w:sz w:val="28"/>
          <w:szCs w:val="28"/>
        </w:rPr>
        <w:instrText xml:space="preserve"> TOC \h \z \c "Table" </w:instrText>
      </w:r>
      <w:r>
        <w:rPr>
          <w:rFonts w:ascii="Rockwell" w:hAnsi="Rockwell"/>
          <w:sz w:val="28"/>
          <w:szCs w:val="28"/>
        </w:rPr>
        <w:fldChar w:fldCharType="separate"/>
      </w:r>
    </w:p>
    <w:p w14:paraId="48C24CCA" w14:textId="49444089" w:rsidR="00211602" w:rsidRDefault="00D90EA5" w:rsidP="00211602">
      <w:pPr>
        <w:spacing w:before="100" w:beforeAutospacing="1" w:after="100" w:afterAutospacing="1" w:line="360" w:lineRule="auto"/>
        <w:jc w:val="both"/>
        <w:rPr>
          <w:rFonts w:ascii="Rockwell" w:hAnsi="Rockwell"/>
          <w:sz w:val="28"/>
          <w:szCs w:val="28"/>
        </w:rPr>
        <w:sectPr w:rsidR="00211602" w:rsidSect="00211602">
          <w:footerReference w:type="default" r:id="rId10"/>
          <w:pgSz w:w="12240" w:h="15840"/>
          <w:pgMar w:top="1440" w:right="810" w:bottom="1440" w:left="1440" w:header="432" w:footer="432" w:gutter="0"/>
          <w:pgNumType w:fmt="lowerRoman" w:start="1"/>
          <w:cols w:space="720"/>
          <w:docGrid w:linePitch="360"/>
        </w:sectPr>
      </w:pPr>
      <w:r>
        <w:rPr>
          <w:rFonts w:ascii="Rockwell" w:hAnsi="Rockwell"/>
          <w:sz w:val="28"/>
          <w:szCs w:val="28"/>
        </w:rPr>
        <w:fldChar w:fldCharType="end"/>
      </w:r>
    </w:p>
    <w:p w14:paraId="28283085" w14:textId="138D891B" w:rsidR="00B43213" w:rsidRPr="00211602" w:rsidRDefault="00B43213" w:rsidP="00211602">
      <w:pPr>
        <w:pStyle w:val="Heading1"/>
        <w:spacing w:line="360" w:lineRule="auto"/>
        <w:rPr>
          <w:rFonts w:ascii="Rockwell" w:hAnsi="Rockwell"/>
          <w:b/>
          <w:bCs/>
          <w:sz w:val="32"/>
          <w:szCs w:val="32"/>
        </w:rPr>
      </w:pPr>
      <w:bookmarkStart w:id="2" w:name="_Toc204470675"/>
      <w:r w:rsidRPr="00211602">
        <w:rPr>
          <w:rFonts w:ascii="Rockwell" w:hAnsi="Rockwell"/>
          <w:b/>
          <w:bCs/>
          <w:sz w:val="32"/>
          <w:szCs w:val="32"/>
        </w:rPr>
        <w:lastRenderedPageBreak/>
        <w:t>1. Introduction</w:t>
      </w:r>
      <w:bookmarkEnd w:id="2"/>
    </w:p>
    <w:p w14:paraId="28DA1C49" w14:textId="77777777" w:rsidR="00B43213" w:rsidRPr="00547BBF" w:rsidRDefault="00B43213" w:rsidP="00547BBF">
      <w:pPr>
        <w:spacing w:line="360" w:lineRule="auto"/>
        <w:jc w:val="both"/>
        <w:rPr>
          <w:rFonts w:ascii="Rockwell" w:hAnsi="Rockwell"/>
          <w:sz w:val="28"/>
          <w:szCs w:val="28"/>
        </w:rPr>
      </w:pPr>
      <w:r w:rsidRPr="00547BBF">
        <w:rPr>
          <w:rFonts w:ascii="Rockwell" w:hAnsi="Rockwell"/>
          <w:sz w:val="28"/>
          <w:szCs w:val="28"/>
        </w:rPr>
        <w:t>Infection Prevention and Control (IPC) ensures a safe and clean healthcare environment, minimizing the spread of healthcare-associated infections (HAIs). Deder General Hospital undertook a structured IPC monitoring assessment to identify areas of compliance and non-compliance, using a national standardized checklist.</w:t>
      </w:r>
    </w:p>
    <w:p w14:paraId="74264CF3" w14:textId="0DBF1287" w:rsidR="00B43213" w:rsidRPr="00211602" w:rsidRDefault="00B43213" w:rsidP="00547BBF">
      <w:pPr>
        <w:pStyle w:val="Heading1"/>
        <w:spacing w:before="0" w:line="360" w:lineRule="auto"/>
        <w:rPr>
          <w:rFonts w:ascii="Rockwell" w:hAnsi="Rockwell"/>
          <w:b/>
          <w:bCs/>
          <w:sz w:val="32"/>
          <w:szCs w:val="32"/>
        </w:rPr>
      </w:pPr>
      <w:bookmarkStart w:id="3" w:name="_Toc204470676"/>
      <w:r w:rsidRPr="00211602">
        <w:rPr>
          <w:rFonts w:ascii="Rockwell" w:hAnsi="Rockwell"/>
          <w:b/>
          <w:bCs/>
          <w:sz w:val="32"/>
          <w:szCs w:val="32"/>
        </w:rPr>
        <w:t>2. Objective</w:t>
      </w:r>
      <w:bookmarkEnd w:id="3"/>
    </w:p>
    <w:p w14:paraId="7C6308F3" w14:textId="77777777" w:rsidR="00B43213" w:rsidRPr="00547BBF" w:rsidRDefault="00B43213" w:rsidP="00211602">
      <w:pPr>
        <w:spacing w:line="360" w:lineRule="auto"/>
        <w:jc w:val="both"/>
        <w:rPr>
          <w:rFonts w:ascii="Rockwell" w:hAnsi="Rockwell"/>
          <w:sz w:val="28"/>
          <w:szCs w:val="28"/>
        </w:rPr>
      </w:pPr>
      <w:r w:rsidRPr="00547BBF">
        <w:rPr>
          <w:rFonts w:ascii="Rockwell" w:hAnsi="Rockwell"/>
          <w:sz w:val="28"/>
          <w:szCs w:val="28"/>
        </w:rPr>
        <w:t>To assess IPC compliance across systems, practices, and infrastructure; identify deficiencies; and develop actionable steps for improvement aligned with national and international IPC guidelines.</w:t>
      </w:r>
    </w:p>
    <w:p w14:paraId="17C661BF" w14:textId="69F7623A" w:rsidR="00B43213" w:rsidRPr="00211602" w:rsidRDefault="00B43213" w:rsidP="00211602">
      <w:pPr>
        <w:pStyle w:val="Heading1"/>
        <w:spacing w:line="360" w:lineRule="auto"/>
        <w:rPr>
          <w:rFonts w:ascii="Rockwell" w:hAnsi="Rockwell"/>
          <w:b/>
          <w:bCs/>
          <w:sz w:val="32"/>
          <w:szCs w:val="32"/>
        </w:rPr>
      </w:pPr>
      <w:bookmarkStart w:id="4" w:name="_Toc204470677"/>
      <w:r w:rsidRPr="00211602">
        <w:rPr>
          <w:rFonts w:ascii="Rockwell" w:hAnsi="Rockwell"/>
          <w:b/>
          <w:bCs/>
          <w:sz w:val="32"/>
          <w:szCs w:val="32"/>
        </w:rPr>
        <w:t>3. Methodology</w:t>
      </w:r>
      <w:bookmarkEnd w:id="4"/>
    </w:p>
    <w:p w14:paraId="30A08EF7" w14:textId="77777777" w:rsidR="00B43213" w:rsidRPr="00547BBF" w:rsidRDefault="00B43213" w:rsidP="00547BBF">
      <w:pPr>
        <w:jc w:val="both"/>
        <w:rPr>
          <w:rFonts w:ascii="Rockwell" w:hAnsi="Rockwell"/>
          <w:b/>
          <w:bCs/>
          <w:sz w:val="28"/>
          <w:szCs w:val="28"/>
        </w:rPr>
      </w:pPr>
      <w:r w:rsidRPr="00547BBF">
        <w:rPr>
          <w:rFonts w:ascii="Rockwell" w:hAnsi="Rockwell"/>
          <w:b/>
          <w:bCs/>
          <w:sz w:val="28"/>
          <w:szCs w:val="28"/>
        </w:rPr>
        <w:t>3.1. Study Design</w:t>
      </w:r>
    </w:p>
    <w:p w14:paraId="1A996483" w14:textId="77777777" w:rsidR="00B43213" w:rsidRPr="00547BBF" w:rsidRDefault="00B43213" w:rsidP="00547BBF">
      <w:pPr>
        <w:spacing w:line="360" w:lineRule="auto"/>
        <w:jc w:val="both"/>
        <w:rPr>
          <w:rFonts w:ascii="Rockwell" w:hAnsi="Rockwell"/>
          <w:sz w:val="28"/>
          <w:szCs w:val="28"/>
        </w:rPr>
      </w:pPr>
      <w:r w:rsidRPr="00547BBF">
        <w:rPr>
          <w:rFonts w:ascii="Rockwell" w:hAnsi="Rockwell"/>
          <w:sz w:val="28"/>
          <w:szCs w:val="28"/>
        </w:rPr>
        <w:t>A facility-based, cross-sectional assessment was conducted using structured observation and checklist-guided interviews to evaluate Infection Prevention and Control (IPC) compliance across Deder General Hospital.</w:t>
      </w:r>
    </w:p>
    <w:p w14:paraId="0147F07D" w14:textId="7301AF41" w:rsidR="00B43213" w:rsidRPr="00547BBF" w:rsidRDefault="00B43213" w:rsidP="00547BBF">
      <w:pPr>
        <w:jc w:val="both"/>
        <w:rPr>
          <w:rFonts w:ascii="Rockwell" w:hAnsi="Rockwell"/>
          <w:b/>
          <w:bCs/>
          <w:sz w:val="28"/>
          <w:szCs w:val="28"/>
        </w:rPr>
      </w:pPr>
      <w:r w:rsidRPr="00547BBF">
        <w:rPr>
          <w:rFonts w:ascii="Rockwell" w:hAnsi="Rockwell"/>
          <w:b/>
          <w:bCs/>
          <w:sz w:val="28"/>
          <w:szCs w:val="28"/>
        </w:rPr>
        <w:t>3.2. Assessment Tools</w:t>
      </w:r>
    </w:p>
    <w:p w14:paraId="3FE194B2" w14:textId="77777777" w:rsidR="00B43213" w:rsidRPr="00547BBF" w:rsidRDefault="00B43213" w:rsidP="00547BBF">
      <w:pPr>
        <w:spacing w:line="360" w:lineRule="auto"/>
        <w:jc w:val="both"/>
        <w:rPr>
          <w:rFonts w:ascii="Rockwell" w:hAnsi="Rockwell"/>
          <w:sz w:val="28"/>
          <w:szCs w:val="28"/>
        </w:rPr>
      </w:pPr>
      <w:r w:rsidRPr="00547BBF">
        <w:rPr>
          <w:rFonts w:ascii="Rockwell" w:hAnsi="Rockwell"/>
          <w:sz w:val="28"/>
          <w:szCs w:val="28"/>
        </w:rPr>
        <w:t xml:space="preserve">The assessment employed the </w:t>
      </w:r>
      <w:r w:rsidRPr="00547BBF">
        <w:rPr>
          <w:rFonts w:ascii="Rockwell" w:hAnsi="Rockwell"/>
          <w:b/>
          <w:bCs/>
          <w:sz w:val="28"/>
          <w:szCs w:val="28"/>
        </w:rPr>
        <w:t>National IPC Monitoring Toolkit</w:t>
      </w:r>
      <w:r w:rsidRPr="00547BBF">
        <w:rPr>
          <w:rFonts w:ascii="Rockwell" w:hAnsi="Rockwell"/>
          <w:sz w:val="28"/>
          <w:szCs w:val="28"/>
        </w:rPr>
        <w:t>, aligned with WHO and CDC standards, covering seven core components:</w:t>
      </w:r>
    </w:p>
    <w:p w14:paraId="4C124DBA" w14:textId="77777777" w:rsidR="00B43213" w:rsidRPr="00547BBF" w:rsidRDefault="00B43213" w:rsidP="00547BBF">
      <w:pPr>
        <w:numPr>
          <w:ilvl w:val="0"/>
          <w:numId w:val="8"/>
        </w:numPr>
        <w:spacing w:after="0" w:line="360" w:lineRule="auto"/>
        <w:jc w:val="both"/>
        <w:rPr>
          <w:rFonts w:ascii="Rockwell" w:hAnsi="Rockwell"/>
          <w:sz w:val="28"/>
          <w:szCs w:val="28"/>
        </w:rPr>
      </w:pPr>
      <w:r w:rsidRPr="00547BBF">
        <w:rPr>
          <w:rFonts w:ascii="Rockwell" w:hAnsi="Rockwell"/>
          <w:b/>
          <w:bCs/>
          <w:sz w:val="28"/>
          <w:szCs w:val="28"/>
        </w:rPr>
        <w:t>IPC System/Capacity Assessment Tool</w:t>
      </w:r>
      <w:r w:rsidRPr="00547BBF">
        <w:rPr>
          <w:rFonts w:ascii="Rockwell" w:hAnsi="Rockwell"/>
          <w:sz w:val="28"/>
          <w:szCs w:val="28"/>
        </w:rPr>
        <w:t xml:space="preserve"> – to evaluate organizational readiness, policy availability, and training status.</w:t>
      </w:r>
    </w:p>
    <w:p w14:paraId="753CAE6F" w14:textId="77777777" w:rsidR="00B43213" w:rsidRPr="00547BBF" w:rsidRDefault="00B43213" w:rsidP="00547BBF">
      <w:pPr>
        <w:numPr>
          <w:ilvl w:val="0"/>
          <w:numId w:val="8"/>
        </w:numPr>
        <w:spacing w:after="0" w:line="360" w:lineRule="auto"/>
        <w:jc w:val="both"/>
        <w:rPr>
          <w:rFonts w:ascii="Rockwell" w:hAnsi="Rockwell"/>
          <w:sz w:val="28"/>
          <w:szCs w:val="28"/>
        </w:rPr>
      </w:pPr>
      <w:r w:rsidRPr="00547BBF">
        <w:rPr>
          <w:rFonts w:ascii="Rockwell" w:hAnsi="Rockwell"/>
          <w:b/>
          <w:bCs/>
          <w:sz w:val="28"/>
          <w:szCs w:val="28"/>
        </w:rPr>
        <w:t>Facility IPC Practice Observation Checklist</w:t>
      </w:r>
      <w:r w:rsidRPr="00547BBF">
        <w:rPr>
          <w:rFonts w:ascii="Rockwell" w:hAnsi="Rockwell"/>
          <w:sz w:val="28"/>
          <w:szCs w:val="28"/>
        </w:rPr>
        <w:t xml:space="preserve"> – to observe compliance with core IPC behaviors.</w:t>
      </w:r>
    </w:p>
    <w:p w14:paraId="33FCDEAC" w14:textId="77777777" w:rsidR="00B43213" w:rsidRPr="00547BBF" w:rsidRDefault="00B43213" w:rsidP="00547BBF">
      <w:pPr>
        <w:numPr>
          <w:ilvl w:val="0"/>
          <w:numId w:val="8"/>
        </w:numPr>
        <w:spacing w:after="0" w:line="360" w:lineRule="auto"/>
        <w:jc w:val="both"/>
        <w:rPr>
          <w:rFonts w:ascii="Rockwell" w:hAnsi="Rockwell"/>
          <w:sz w:val="28"/>
          <w:szCs w:val="28"/>
        </w:rPr>
      </w:pPr>
      <w:r w:rsidRPr="00547BBF">
        <w:rPr>
          <w:rFonts w:ascii="Rockwell" w:hAnsi="Rockwell"/>
          <w:b/>
          <w:bCs/>
          <w:sz w:val="28"/>
          <w:szCs w:val="28"/>
        </w:rPr>
        <w:t>Hand Hygiene Compliance Audit Tool</w:t>
      </w:r>
      <w:r w:rsidRPr="00547BBF">
        <w:rPr>
          <w:rFonts w:ascii="Rockwell" w:hAnsi="Rockwell"/>
          <w:sz w:val="28"/>
          <w:szCs w:val="28"/>
        </w:rPr>
        <w:t xml:space="preserve"> – to measure adherence to WHO’s “Five Moments for Hand Hygiene.”</w:t>
      </w:r>
    </w:p>
    <w:p w14:paraId="06F73A30" w14:textId="77777777" w:rsidR="00B43213" w:rsidRPr="00547BBF" w:rsidRDefault="00B43213" w:rsidP="00547BBF">
      <w:pPr>
        <w:numPr>
          <w:ilvl w:val="0"/>
          <w:numId w:val="8"/>
        </w:numPr>
        <w:spacing w:after="0" w:line="360" w:lineRule="auto"/>
        <w:jc w:val="both"/>
        <w:rPr>
          <w:rFonts w:ascii="Rockwell" w:hAnsi="Rockwell"/>
          <w:sz w:val="28"/>
          <w:szCs w:val="28"/>
        </w:rPr>
      </w:pPr>
      <w:r w:rsidRPr="00547BBF">
        <w:rPr>
          <w:rFonts w:ascii="Rockwell" w:hAnsi="Rockwell"/>
          <w:b/>
          <w:bCs/>
          <w:sz w:val="28"/>
          <w:szCs w:val="28"/>
        </w:rPr>
        <w:lastRenderedPageBreak/>
        <w:t>PPE Use Monitoring Form</w:t>
      </w:r>
      <w:r w:rsidRPr="00547BBF">
        <w:rPr>
          <w:rFonts w:ascii="Rockwell" w:hAnsi="Rockwell"/>
          <w:sz w:val="28"/>
          <w:szCs w:val="28"/>
        </w:rPr>
        <w:t xml:space="preserve"> – to assess correct and consistent usage of gloves, masks, gowns, and eye protection.</w:t>
      </w:r>
    </w:p>
    <w:p w14:paraId="558004C6" w14:textId="77777777" w:rsidR="00B43213" w:rsidRPr="00547BBF" w:rsidRDefault="00B43213" w:rsidP="00547BBF">
      <w:pPr>
        <w:numPr>
          <w:ilvl w:val="0"/>
          <w:numId w:val="8"/>
        </w:numPr>
        <w:spacing w:after="0" w:line="360" w:lineRule="auto"/>
        <w:jc w:val="both"/>
        <w:rPr>
          <w:rFonts w:ascii="Rockwell" w:hAnsi="Rockwell"/>
          <w:sz w:val="28"/>
          <w:szCs w:val="28"/>
        </w:rPr>
      </w:pPr>
      <w:r w:rsidRPr="00547BBF">
        <w:rPr>
          <w:rFonts w:ascii="Rockwell" w:hAnsi="Rockwell"/>
          <w:b/>
          <w:bCs/>
          <w:sz w:val="28"/>
          <w:szCs w:val="28"/>
        </w:rPr>
        <w:t>Biomedical Waste Segregation Monitoring Form</w:t>
      </w:r>
      <w:r w:rsidRPr="00547BBF">
        <w:rPr>
          <w:rFonts w:ascii="Rockwell" w:hAnsi="Rockwell"/>
          <w:sz w:val="28"/>
          <w:szCs w:val="28"/>
        </w:rPr>
        <w:t xml:space="preserve"> – to check segregation, labeling, and disposal of various waste streams.</w:t>
      </w:r>
    </w:p>
    <w:p w14:paraId="2B4408C2" w14:textId="77777777" w:rsidR="00B43213" w:rsidRPr="00547BBF" w:rsidRDefault="00B43213" w:rsidP="00547BBF">
      <w:pPr>
        <w:numPr>
          <w:ilvl w:val="0"/>
          <w:numId w:val="8"/>
        </w:numPr>
        <w:spacing w:line="360" w:lineRule="auto"/>
        <w:jc w:val="both"/>
        <w:rPr>
          <w:rFonts w:ascii="Rockwell" w:hAnsi="Rockwell"/>
          <w:sz w:val="28"/>
          <w:szCs w:val="28"/>
        </w:rPr>
      </w:pPr>
      <w:r w:rsidRPr="00547BBF">
        <w:rPr>
          <w:rFonts w:ascii="Rockwell" w:hAnsi="Rockwell"/>
          <w:b/>
          <w:bCs/>
          <w:sz w:val="28"/>
          <w:szCs w:val="28"/>
        </w:rPr>
        <w:t>Transmission-Based Precautions &amp; Isolation Monitoring Tool</w:t>
      </w:r>
      <w:r w:rsidRPr="00547BBF">
        <w:rPr>
          <w:rFonts w:ascii="Rockwell" w:hAnsi="Rockwell"/>
          <w:sz w:val="28"/>
          <w:szCs w:val="28"/>
        </w:rPr>
        <w:t xml:space="preserve"> – to evaluate implementation of contact, droplet, and airborne precautions.</w:t>
      </w:r>
    </w:p>
    <w:p w14:paraId="6C10B25F" w14:textId="77777777" w:rsidR="00B43213" w:rsidRPr="00547BBF" w:rsidRDefault="00B43213" w:rsidP="00547BBF">
      <w:pPr>
        <w:numPr>
          <w:ilvl w:val="0"/>
          <w:numId w:val="8"/>
        </w:numPr>
        <w:jc w:val="both"/>
        <w:rPr>
          <w:rFonts w:ascii="Rockwell" w:hAnsi="Rockwell"/>
          <w:sz w:val="28"/>
          <w:szCs w:val="28"/>
        </w:rPr>
      </w:pPr>
      <w:r w:rsidRPr="00547BBF">
        <w:rPr>
          <w:rFonts w:ascii="Rockwell" w:hAnsi="Rockwell"/>
          <w:b/>
          <w:bCs/>
          <w:sz w:val="28"/>
          <w:szCs w:val="28"/>
        </w:rPr>
        <w:t>Environmental Cleaning Monitoring Tool</w:t>
      </w:r>
      <w:r w:rsidRPr="00547BBF">
        <w:rPr>
          <w:rFonts w:ascii="Rockwell" w:hAnsi="Rockwell"/>
          <w:sz w:val="28"/>
          <w:szCs w:val="28"/>
        </w:rPr>
        <w:t xml:space="preserve"> – to assess routine cleaning practices, agent use, and equipment maintenance.</w:t>
      </w:r>
    </w:p>
    <w:p w14:paraId="76A0AD13" w14:textId="0A4350A4" w:rsidR="00B43213" w:rsidRPr="00547BBF" w:rsidRDefault="00B43213" w:rsidP="00547BBF">
      <w:pPr>
        <w:jc w:val="both"/>
        <w:rPr>
          <w:rFonts w:ascii="Rockwell" w:hAnsi="Rockwell"/>
          <w:b/>
          <w:bCs/>
          <w:sz w:val="28"/>
          <w:szCs w:val="28"/>
        </w:rPr>
      </w:pPr>
      <w:r w:rsidRPr="00547BBF">
        <w:rPr>
          <w:rFonts w:ascii="Rockwell" w:hAnsi="Rockwell"/>
          <w:b/>
          <w:bCs/>
          <w:sz w:val="28"/>
          <w:szCs w:val="28"/>
        </w:rPr>
        <w:t>3.3. Study Area</w:t>
      </w:r>
    </w:p>
    <w:p w14:paraId="0D1C9D34" w14:textId="77777777" w:rsidR="00B43213" w:rsidRPr="00547BBF" w:rsidRDefault="00B43213" w:rsidP="00547BBF">
      <w:pPr>
        <w:spacing w:line="360" w:lineRule="auto"/>
        <w:jc w:val="both"/>
        <w:rPr>
          <w:rFonts w:ascii="Rockwell" w:hAnsi="Rockwell"/>
          <w:sz w:val="28"/>
          <w:szCs w:val="28"/>
        </w:rPr>
      </w:pPr>
      <w:r w:rsidRPr="00547BBF">
        <w:rPr>
          <w:rFonts w:ascii="Rockwell" w:hAnsi="Rockwell"/>
          <w:sz w:val="28"/>
          <w:szCs w:val="28"/>
        </w:rPr>
        <w:t xml:space="preserve">The assessment was carried out in </w:t>
      </w:r>
      <w:r w:rsidRPr="00547BBF">
        <w:rPr>
          <w:rFonts w:ascii="Rockwell" w:hAnsi="Rockwell"/>
          <w:b/>
          <w:bCs/>
          <w:sz w:val="28"/>
          <w:szCs w:val="28"/>
        </w:rPr>
        <w:t>all service delivery areas</w:t>
      </w:r>
      <w:r w:rsidRPr="00547BBF">
        <w:rPr>
          <w:rFonts w:ascii="Rockwell" w:hAnsi="Rockwell"/>
          <w:sz w:val="28"/>
          <w:szCs w:val="28"/>
        </w:rPr>
        <w:t xml:space="preserve"> of Deder General Hospital, including outpatient departments (OPD), inpatient wards (pediatrics, medical, gynecology), emergency, maternity, minor procedure rooms, and waste handling units.</w:t>
      </w:r>
    </w:p>
    <w:p w14:paraId="0B41EB95" w14:textId="3391181F" w:rsidR="00B43213" w:rsidRPr="00547BBF" w:rsidRDefault="00B43213" w:rsidP="00547BBF">
      <w:pPr>
        <w:jc w:val="both"/>
        <w:rPr>
          <w:rFonts w:ascii="Rockwell" w:hAnsi="Rockwell"/>
          <w:b/>
          <w:bCs/>
          <w:sz w:val="28"/>
          <w:szCs w:val="28"/>
        </w:rPr>
      </w:pPr>
      <w:r w:rsidRPr="00547BBF">
        <w:rPr>
          <w:rFonts w:ascii="Rockwell" w:hAnsi="Rockwell"/>
          <w:b/>
          <w:bCs/>
          <w:sz w:val="28"/>
          <w:szCs w:val="28"/>
        </w:rPr>
        <w:t>3.4. Data Collection Process</w:t>
      </w:r>
    </w:p>
    <w:p w14:paraId="7AF7658D" w14:textId="161A4D3C" w:rsidR="00B43213" w:rsidRPr="00547BBF" w:rsidRDefault="00B43213" w:rsidP="00547BBF">
      <w:pPr>
        <w:numPr>
          <w:ilvl w:val="0"/>
          <w:numId w:val="9"/>
        </w:numPr>
        <w:jc w:val="both"/>
        <w:rPr>
          <w:rFonts w:ascii="Rockwell" w:hAnsi="Rockwell"/>
          <w:sz w:val="28"/>
          <w:szCs w:val="28"/>
        </w:rPr>
      </w:pPr>
      <w:r w:rsidRPr="00547BBF">
        <w:rPr>
          <w:rFonts w:ascii="Rockwell" w:hAnsi="Rockwell"/>
          <w:b/>
          <w:bCs/>
          <w:sz w:val="28"/>
          <w:szCs w:val="28"/>
        </w:rPr>
        <w:t>Date of Assessment:</w:t>
      </w:r>
      <w:r w:rsidRPr="00547BBF">
        <w:rPr>
          <w:rFonts w:ascii="Rockwell" w:hAnsi="Rockwell"/>
          <w:sz w:val="28"/>
          <w:szCs w:val="28"/>
        </w:rPr>
        <w:t xml:space="preserve"> </w:t>
      </w:r>
      <w:r w:rsidR="008E7360">
        <w:rPr>
          <w:rFonts w:ascii="Rockwell" w:hAnsi="Rockwell"/>
          <w:b/>
          <w:bCs/>
          <w:i/>
          <w:iCs/>
          <w:sz w:val="28"/>
          <w:szCs w:val="28"/>
        </w:rPr>
        <w:t>March</w:t>
      </w:r>
      <w:r w:rsidRPr="008E75B0">
        <w:rPr>
          <w:rFonts w:ascii="Rockwell" w:hAnsi="Rockwell"/>
          <w:b/>
          <w:bCs/>
          <w:i/>
          <w:iCs/>
          <w:sz w:val="28"/>
          <w:szCs w:val="28"/>
        </w:rPr>
        <w:t xml:space="preserve"> 2</w:t>
      </w:r>
      <w:r w:rsidR="008E75B0" w:rsidRPr="008E75B0">
        <w:rPr>
          <w:rFonts w:ascii="Rockwell" w:hAnsi="Rockwell"/>
          <w:b/>
          <w:bCs/>
          <w:i/>
          <w:iCs/>
          <w:sz w:val="28"/>
          <w:szCs w:val="28"/>
        </w:rPr>
        <w:t>5</w:t>
      </w:r>
      <w:r w:rsidRPr="008E75B0">
        <w:rPr>
          <w:rFonts w:ascii="Rockwell" w:hAnsi="Rockwell"/>
          <w:b/>
          <w:bCs/>
          <w:i/>
          <w:iCs/>
          <w:sz w:val="28"/>
          <w:szCs w:val="28"/>
        </w:rPr>
        <w:t>, 2017</w:t>
      </w:r>
      <w:r w:rsidR="008E75B0" w:rsidRPr="008E75B0">
        <w:rPr>
          <w:rFonts w:ascii="Rockwell" w:hAnsi="Rockwell"/>
          <w:b/>
          <w:bCs/>
          <w:i/>
          <w:iCs/>
          <w:sz w:val="28"/>
          <w:szCs w:val="28"/>
        </w:rPr>
        <w:t>.C</w:t>
      </w:r>
    </w:p>
    <w:p w14:paraId="7FFFDBCA" w14:textId="77777777" w:rsidR="00B43213" w:rsidRPr="00547BBF" w:rsidRDefault="00B43213" w:rsidP="00547BBF">
      <w:pPr>
        <w:numPr>
          <w:ilvl w:val="0"/>
          <w:numId w:val="9"/>
        </w:numPr>
        <w:jc w:val="both"/>
        <w:rPr>
          <w:rFonts w:ascii="Rockwell" w:hAnsi="Rockwell"/>
          <w:sz w:val="28"/>
          <w:szCs w:val="28"/>
        </w:rPr>
      </w:pPr>
      <w:r w:rsidRPr="00547BBF">
        <w:rPr>
          <w:rFonts w:ascii="Rockwell" w:hAnsi="Rockwell"/>
          <w:b/>
          <w:bCs/>
          <w:sz w:val="28"/>
          <w:szCs w:val="28"/>
        </w:rPr>
        <w:t>Observer:</w:t>
      </w:r>
      <w:r w:rsidRPr="00547BBF">
        <w:rPr>
          <w:rFonts w:ascii="Rockwell" w:hAnsi="Rockwell"/>
          <w:sz w:val="28"/>
          <w:szCs w:val="28"/>
        </w:rPr>
        <w:t xml:space="preserve"> Mr. Abrahim Tahir, IPC Focal Person</w:t>
      </w:r>
    </w:p>
    <w:p w14:paraId="159FC11B" w14:textId="77777777" w:rsidR="00B43213" w:rsidRPr="00547BBF" w:rsidRDefault="00B43213" w:rsidP="00547BBF">
      <w:pPr>
        <w:numPr>
          <w:ilvl w:val="0"/>
          <w:numId w:val="9"/>
        </w:numPr>
        <w:jc w:val="both"/>
        <w:rPr>
          <w:rFonts w:ascii="Rockwell" w:hAnsi="Rockwell"/>
          <w:sz w:val="28"/>
          <w:szCs w:val="28"/>
        </w:rPr>
      </w:pPr>
      <w:r w:rsidRPr="00547BBF">
        <w:rPr>
          <w:rFonts w:ascii="Rockwell" w:hAnsi="Rockwell"/>
          <w:b/>
          <w:bCs/>
          <w:sz w:val="28"/>
          <w:szCs w:val="28"/>
        </w:rPr>
        <w:t>Method:</w:t>
      </w:r>
      <w:r w:rsidRPr="00547BBF">
        <w:rPr>
          <w:rFonts w:ascii="Rockwell" w:hAnsi="Rockwell"/>
          <w:sz w:val="28"/>
          <w:szCs w:val="28"/>
        </w:rPr>
        <w:t xml:space="preserve"> Direct observation of clinical practices, infrastructure review, and staff interviews using pre-designed forms.</w:t>
      </w:r>
    </w:p>
    <w:p w14:paraId="5AAE88F2" w14:textId="0462225F" w:rsidR="00B43213" w:rsidRPr="00547BBF" w:rsidRDefault="00B43213" w:rsidP="00547BBF">
      <w:pPr>
        <w:jc w:val="both"/>
        <w:rPr>
          <w:rFonts w:ascii="Rockwell" w:hAnsi="Rockwell"/>
          <w:b/>
          <w:bCs/>
          <w:sz w:val="28"/>
          <w:szCs w:val="28"/>
        </w:rPr>
      </w:pPr>
      <w:r w:rsidRPr="00547BBF">
        <w:rPr>
          <w:rFonts w:ascii="Rockwell" w:hAnsi="Rockwell"/>
          <w:b/>
          <w:bCs/>
          <w:sz w:val="28"/>
          <w:szCs w:val="28"/>
        </w:rPr>
        <w:t>3.5. Scoring Criteria</w:t>
      </w:r>
    </w:p>
    <w:p w14:paraId="74C887B3" w14:textId="77777777" w:rsidR="00B43213" w:rsidRPr="00547BBF" w:rsidRDefault="00B43213" w:rsidP="00547BBF">
      <w:pPr>
        <w:jc w:val="both"/>
        <w:rPr>
          <w:rFonts w:ascii="Rockwell" w:hAnsi="Rockwell"/>
          <w:sz w:val="28"/>
          <w:szCs w:val="28"/>
        </w:rPr>
      </w:pPr>
      <w:r w:rsidRPr="00547BBF">
        <w:rPr>
          <w:rFonts w:ascii="Rockwell" w:hAnsi="Rockwell"/>
          <w:sz w:val="28"/>
          <w:szCs w:val="28"/>
        </w:rPr>
        <w:t>Each item was assessed and scored as:</w:t>
      </w:r>
    </w:p>
    <w:p w14:paraId="4C0ACB6C" w14:textId="77777777" w:rsidR="00B43213" w:rsidRPr="00547BBF" w:rsidRDefault="00B43213" w:rsidP="00547BBF">
      <w:pPr>
        <w:numPr>
          <w:ilvl w:val="0"/>
          <w:numId w:val="10"/>
        </w:numPr>
        <w:jc w:val="both"/>
        <w:rPr>
          <w:rFonts w:ascii="Rockwell" w:hAnsi="Rockwell"/>
          <w:sz w:val="28"/>
          <w:szCs w:val="28"/>
        </w:rPr>
      </w:pPr>
      <w:r w:rsidRPr="00547BBF">
        <w:rPr>
          <w:rFonts w:ascii="Segoe UI Emoji" w:hAnsi="Segoe UI Emoji" w:cs="Segoe UI Emoji"/>
          <w:sz w:val="28"/>
          <w:szCs w:val="28"/>
        </w:rPr>
        <w:t>✅</w:t>
      </w:r>
      <w:r w:rsidRPr="00547BBF">
        <w:rPr>
          <w:rFonts w:ascii="Rockwell" w:hAnsi="Rockwell"/>
          <w:sz w:val="28"/>
          <w:szCs w:val="28"/>
        </w:rPr>
        <w:t xml:space="preserve"> </w:t>
      </w:r>
      <w:r w:rsidRPr="00547BBF">
        <w:rPr>
          <w:rFonts w:ascii="Rockwell" w:hAnsi="Rockwell"/>
          <w:b/>
          <w:bCs/>
          <w:sz w:val="28"/>
          <w:szCs w:val="28"/>
        </w:rPr>
        <w:t>Yes</w:t>
      </w:r>
      <w:r w:rsidRPr="00547BBF">
        <w:rPr>
          <w:rFonts w:ascii="Rockwell" w:hAnsi="Rockwell"/>
          <w:sz w:val="28"/>
          <w:szCs w:val="28"/>
        </w:rPr>
        <w:t xml:space="preserve"> – Compliant or present</w:t>
      </w:r>
    </w:p>
    <w:p w14:paraId="552ACF91" w14:textId="77777777" w:rsidR="00B43213" w:rsidRPr="00547BBF" w:rsidRDefault="00B43213" w:rsidP="00547BBF">
      <w:pPr>
        <w:numPr>
          <w:ilvl w:val="0"/>
          <w:numId w:val="10"/>
        </w:numPr>
        <w:jc w:val="both"/>
        <w:rPr>
          <w:rFonts w:ascii="Rockwell" w:hAnsi="Rockwell"/>
          <w:sz w:val="28"/>
          <w:szCs w:val="28"/>
        </w:rPr>
      </w:pPr>
      <w:r w:rsidRPr="00547BBF">
        <w:rPr>
          <w:rFonts w:ascii="Segoe UI Emoji" w:hAnsi="Segoe UI Emoji" w:cs="Segoe UI Emoji"/>
          <w:sz w:val="28"/>
          <w:szCs w:val="28"/>
        </w:rPr>
        <w:t>❌</w:t>
      </w:r>
      <w:r w:rsidRPr="00547BBF">
        <w:rPr>
          <w:rFonts w:ascii="Rockwell" w:hAnsi="Rockwell"/>
          <w:sz w:val="28"/>
          <w:szCs w:val="28"/>
        </w:rPr>
        <w:t xml:space="preserve"> </w:t>
      </w:r>
      <w:r w:rsidRPr="00547BBF">
        <w:rPr>
          <w:rFonts w:ascii="Rockwell" w:hAnsi="Rockwell"/>
          <w:b/>
          <w:bCs/>
          <w:sz w:val="28"/>
          <w:szCs w:val="28"/>
        </w:rPr>
        <w:t>No</w:t>
      </w:r>
      <w:r w:rsidRPr="00547BBF">
        <w:rPr>
          <w:rFonts w:ascii="Rockwell" w:hAnsi="Rockwell"/>
          <w:sz w:val="28"/>
          <w:szCs w:val="28"/>
        </w:rPr>
        <w:t xml:space="preserve"> – Non-compliant or absent</w:t>
      </w:r>
    </w:p>
    <w:p w14:paraId="6669C5A4" w14:textId="77777777" w:rsidR="00B43213" w:rsidRPr="00547BBF" w:rsidRDefault="00B43213" w:rsidP="00547BBF">
      <w:pPr>
        <w:numPr>
          <w:ilvl w:val="0"/>
          <w:numId w:val="10"/>
        </w:numPr>
        <w:jc w:val="both"/>
        <w:rPr>
          <w:rFonts w:ascii="Rockwell" w:hAnsi="Rockwell"/>
          <w:sz w:val="28"/>
          <w:szCs w:val="28"/>
        </w:rPr>
      </w:pPr>
      <w:r w:rsidRPr="00547BBF">
        <w:rPr>
          <w:rFonts w:ascii="Rockwell" w:hAnsi="Rockwell"/>
          <w:b/>
          <w:bCs/>
          <w:sz w:val="28"/>
          <w:szCs w:val="28"/>
        </w:rPr>
        <w:t>Not Applicable (NA)</w:t>
      </w:r>
      <w:r w:rsidRPr="00547BBF">
        <w:rPr>
          <w:rFonts w:ascii="Rockwell" w:hAnsi="Rockwell"/>
          <w:sz w:val="28"/>
          <w:szCs w:val="28"/>
        </w:rPr>
        <w:t xml:space="preserve"> – When an item did not apply to the area or service assessed</w:t>
      </w:r>
    </w:p>
    <w:p w14:paraId="599F8C1B" w14:textId="77777777" w:rsidR="00547BBF" w:rsidRDefault="00B43213" w:rsidP="00547BBF">
      <w:pPr>
        <w:spacing w:after="0" w:line="360" w:lineRule="auto"/>
        <w:jc w:val="both"/>
        <w:rPr>
          <w:rFonts w:ascii="Rockwell" w:hAnsi="Rockwell"/>
          <w:sz w:val="28"/>
          <w:szCs w:val="28"/>
        </w:rPr>
      </w:pPr>
      <w:r w:rsidRPr="00547BBF">
        <w:rPr>
          <w:rFonts w:ascii="Rockwell" w:hAnsi="Rockwell"/>
          <w:sz w:val="28"/>
          <w:szCs w:val="28"/>
        </w:rPr>
        <w:t>Results were quantified into total “Yes” and “No” counts per component and summarized as percentages to evaluate overall compliance.</w:t>
      </w:r>
    </w:p>
    <w:p w14:paraId="49756C1C" w14:textId="3FC73DED" w:rsidR="00B43213" w:rsidRPr="00547BBF" w:rsidRDefault="00B43213" w:rsidP="00547BBF">
      <w:pPr>
        <w:spacing w:before="240" w:after="0" w:line="360" w:lineRule="auto"/>
        <w:jc w:val="both"/>
        <w:rPr>
          <w:rFonts w:ascii="Rockwell" w:hAnsi="Rockwell"/>
          <w:sz w:val="32"/>
          <w:szCs w:val="32"/>
        </w:rPr>
      </w:pPr>
      <w:r w:rsidRPr="00547BBF">
        <w:rPr>
          <w:rFonts w:ascii="Rockwell" w:hAnsi="Rockwell"/>
          <w:b/>
          <w:bCs/>
          <w:sz w:val="28"/>
          <w:szCs w:val="28"/>
        </w:rPr>
        <w:lastRenderedPageBreak/>
        <w:t>3.6. Quality Assurance</w:t>
      </w:r>
    </w:p>
    <w:p w14:paraId="38C15C3D" w14:textId="77777777" w:rsidR="00B43213" w:rsidRPr="00547BBF" w:rsidRDefault="00B43213" w:rsidP="00547BBF">
      <w:pPr>
        <w:numPr>
          <w:ilvl w:val="0"/>
          <w:numId w:val="11"/>
        </w:numPr>
        <w:spacing w:after="0" w:line="360" w:lineRule="auto"/>
        <w:jc w:val="both"/>
        <w:rPr>
          <w:rFonts w:ascii="Rockwell" w:hAnsi="Rockwell"/>
          <w:sz w:val="28"/>
          <w:szCs w:val="28"/>
        </w:rPr>
      </w:pPr>
      <w:r w:rsidRPr="00547BBF">
        <w:rPr>
          <w:rFonts w:ascii="Rockwell" w:hAnsi="Rockwell"/>
          <w:sz w:val="28"/>
          <w:szCs w:val="28"/>
        </w:rPr>
        <w:t>Data collection tools were standardized and pre-tested in similar health facility settings.</w:t>
      </w:r>
    </w:p>
    <w:p w14:paraId="6CFC5BD6" w14:textId="77777777" w:rsidR="00B43213" w:rsidRPr="00547BBF" w:rsidRDefault="00B43213" w:rsidP="00547BBF">
      <w:pPr>
        <w:numPr>
          <w:ilvl w:val="0"/>
          <w:numId w:val="11"/>
        </w:numPr>
        <w:spacing w:after="0" w:line="360" w:lineRule="auto"/>
        <w:jc w:val="both"/>
        <w:rPr>
          <w:rFonts w:ascii="Rockwell" w:hAnsi="Rockwell"/>
          <w:sz w:val="28"/>
          <w:szCs w:val="28"/>
        </w:rPr>
      </w:pPr>
      <w:r w:rsidRPr="00547BBF">
        <w:rPr>
          <w:rFonts w:ascii="Rockwell" w:hAnsi="Rockwell"/>
          <w:sz w:val="28"/>
          <w:szCs w:val="28"/>
        </w:rPr>
        <w:t>The observer was trained on objective scoring and adherence to ethical assessment protocols.</w:t>
      </w:r>
    </w:p>
    <w:p w14:paraId="285C0C1E" w14:textId="77777777" w:rsidR="00B43213" w:rsidRPr="00547BBF" w:rsidRDefault="00B43213" w:rsidP="00547BBF">
      <w:pPr>
        <w:numPr>
          <w:ilvl w:val="0"/>
          <w:numId w:val="11"/>
        </w:numPr>
        <w:spacing w:line="360" w:lineRule="auto"/>
        <w:jc w:val="both"/>
        <w:rPr>
          <w:rFonts w:ascii="Rockwell" w:hAnsi="Rockwell"/>
          <w:sz w:val="28"/>
          <w:szCs w:val="28"/>
        </w:rPr>
      </w:pPr>
      <w:r w:rsidRPr="00547BBF">
        <w:rPr>
          <w:rFonts w:ascii="Rockwell" w:hAnsi="Rockwell"/>
          <w:sz w:val="28"/>
          <w:szCs w:val="28"/>
        </w:rPr>
        <w:t>Findings were validated through cross-checking with available hospital records and direct staff verification where necessary.</w:t>
      </w:r>
    </w:p>
    <w:p w14:paraId="1896F727" w14:textId="77777777" w:rsidR="00B43213" w:rsidRPr="00547BBF" w:rsidRDefault="00B43213" w:rsidP="00547BBF">
      <w:pPr>
        <w:spacing w:line="360" w:lineRule="auto"/>
        <w:jc w:val="both"/>
        <w:rPr>
          <w:rFonts w:ascii="Rockwell" w:hAnsi="Rockwell"/>
          <w:b/>
          <w:bCs/>
          <w:sz w:val="28"/>
          <w:szCs w:val="28"/>
        </w:rPr>
      </w:pPr>
      <w:r w:rsidRPr="00547BBF">
        <w:rPr>
          <w:rFonts w:ascii="Rockwell" w:hAnsi="Rockwell"/>
          <w:b/>
          <w:bCs/>
          <w:sz w:val="28"/>
          <w:szCs w:val="28"/>
        </w:rPr>
        <w:t>3.7. Data Analysis</w:t>
      </w:r>
    </w:p>
    <w:p w14:paraId="729441D8" w14:textId="77777777" w:rsidR="00B43213" w:rsidRPr="00547BBF" w:rsidRDefault="00B43213" w:rsidP="00547BBF">
      <w:pPr>
        <w:spacing w:line="360" w:lineRule="auto"/>
        <w:jc w:val="both"/>
        <w:rPr>
          <w:rFonts w:ascii="Rockwell" w:hAnsi="Rockwell"/>
          <w:sz w:val="32"/>
          <w:szCs w:val="32"/>
        </w:rPr>
      </w:pPr>
      <w:r w:rsidRPr="00547BBF">
        <w:rPr>
          <w:rFonts w:ascii="Rockwell" w:hAnsi="Rockwell"/>
          <w:sz w:val="32"/>
          <w:szCs w:val="32"/>
        </w:rPr>
        <w:t>Data were compiled manually and summarized into:</w:t>
      </w:r>
    </w:p>
    <w:p w14:paraId="3CAF01E4" w14:textId="77777777" w:rsidR="00B43213" w:rsidRPr="00547BBF" w:rsidRDefault="00B43213" w:rsidP="00547BBF">
      <w:pPr>
        <w:pStyle w:val="ListParagraph"/>
        <w:numPr>
          <w:ilvl w:val="0"/>
          <w:numId w:val="16"/>
        </w:numPr>
        <w:spacing w:after="0" w:line="360" w:lineRule="auto"/>
        <w:jc w:val="both"/>
        <w:rPr>
          <w:rFonts w:ascii="Rockwell" w:hAnsi="Rockwell"/>
          <w:sz w:val="32"/>
          <w:szCs w:val="32"/>
        </w:rPr>
      </w:pPr>
      <w:r w:rsidRPr="00547BBF">
        <w:rPr>
          <w:rFonts w:ascii="Rockwell" w:hAnsi="Rockwell"/>
          <w:sz w:val="32"/>
          <w:szCs w:val="32"/>
        </w:rPr>
        <w:t>Component-wise performance</w:t>
      </w:r>
    </w:p>
    <w:p w14:paraId="20E85C93" w14:textId="77777777" w:rsidR="00B43213" w:rsidRPr="00547BBF" w:rsidRDefault="00B43213" w:rsidP="00547BBF">
      <w:pPr>
        <w:numPr>
          <w:ilvl w:val="0"/>
          <w:numId w:val="16"/>
        </w:numPr>
        <w:spacing w:after="0" w:line="360" w:lineRule="auto"/>
        <w:jc w:val="both"/>
        <w:rPr>
          <w:rFonts w:ascii="Rockwell" w:hAnsi="Rockwell"/>
          <w:sz w:val="32"/>
          <w:szCs w:val="32"/>
        </w:rPr>
      </w:pPr>
      <w:r w:rsidRPr="00547BBF">
        <w:rPr>
          <w:rFonts w:ascii="Rockwell" w:hAnsi="Rockwell"/>
          <w:sz w:val="32"/>
          <w:szCs w:val="32"/>
        </w:rPr>
        <w:t>Total compliance rates (Yes/No counts)</w:t>
      </w:r>
    </w:p>
    <w:p w14:paraId="0D343797" w14:textId="77777777" w:rsidR="00B43213" w:rsidRDefault="00B43213" w:rsidP="00547BBF">
      <w:pPr>
        <w:numPr>
          <w:ilvl w:val="0"/>
          <w:numId w:val="16"/>
        </w:numPr>
        <w:spacing w:after="0" w:line="360" w:lineRule="auto"/>
        <w:jc w:val="both"/>
        <w:rPr>
          <w:rFonts w:ascii="Rockwell" w:hAnsi="Rockwell"/>
          <w:sz w:val="28"/>
          <w:szCs w:val="28"/>
        </w:rPr>
      </w:pPr>
      <w:r w:rsidRPr="00547BBF">
        <w:rPr>
          <w:rFonts w:ascii="Rockwell" w:hAnsi="Rockwell"/>
          <w:sz w:val="32"/>
          <w:szCs w:val="32"/>
        </w:rPr>
        <w:t>Percentages for comparative performance analysis</w:t>
      </w:r>
      <w:r w:rsidRPr="00547BBF">
        <w:rPr>
          <w:rFonts w:ascii="Rockwell" w:hAnsi="Rockwell"/>
          <w:sz w:val="32"/>
          <w:szCs w:val="32"/>
        </w:rPr>
        <w:br/>
        <w:t xml:space="preserve">These were used to identify high- and </w:t>
      </w:r>
      <w:r w:rsidRPr="00547BBF">
        <w:rPr>
          <w:rFonts w:ascii="Rockwell" w:hAnsi="Rockwell"/>
          <w:sz w:val="28"/>
          <w:szCs w:val="28"/>
        </w:rPr>
        <w:t>low-performing areas and guide the recommendation and action plan.</w:t>
      </w:r>
    </w:p>
    <w:p w14:paraId="3FA069BF" w14:textId="77777777" w:rsidR="00547BBF" w:rsidRDefault="00547BBF" w:rsidP="00547BBF">
      <w:pPr>
        <w:spacing w:after="0" w:line="360" w:lineRule="auto"/>
        <w:jc w:val="both"/>
        <w:rPr>
          <w:rFonts w:ascii="Rockwell" w:hAnsi="Rockwell"/>
          <w:sz w:val="28"/>
          <w:szCs w:val="28"/>
        </w:rPr>
      </w:pPr>
    </w:p>
    <w:p w14:paraId="1B2A398B" w14:textId="77777777" w:rsidR="00547BBF" w:rsidRDefault="00547BBF" w:rsidP="00547BBF">
      <w:pPr>
        <w:spacing w:after="0" w:line="360" w:lineRule="auto"/>
        <w:jc w:val="both"/>
        <w:rPr>
          <w:rFonts w:ascii="Rockwell" w:hAnsi="Rockwell"/>
          <w:sz w:val="28"/>
          <w:szCs w:val="28"/>
        </w:rPr>
      </w:pPr>
    </w:p>
    <w:p w14:paraId="4D928C75" w14:textId="77777777" w:rsidR="00547BBF" w:rsidRDefault="00547BBF" w:rsidP="00547BBF">
      <w:pPr>
        <w:spacing w:after="0" w:line="360" w:lineRule="auto"/>
        <w:jc w:val="both"/>
        <w:rPr>
          <w:rFonts w:ascii="Rockwell" w:hAnsi="Rockwell"/>
          <w:sz w:val="28"/>
          <w:szCs w:val="28"/>
        </w:rPr>
      </w:pPr>
    </w:p>
    <w:p w14:paraId="79CD7477" w14:textId="77777777" w:rsidR="00547BBF" w:rsidRDefault="00547BBF" w:rsidP="00547BBF">
      <w:pPr>
        <w:spacing w:after="0" w:line="360" w:lineRule="auto"/>
        <w:jc w:val="both"/>
        <w:rPr>
          <w:rFonts w:ascii="Rockwell" w:hAnsi="Rockwell"/>
          <w:sz w:val="28"/>
          <w:szCs w:val="28"/>
        </w:rPr>
      </w:pPr>
    </w:p>
    <w:p w14:paraId="3A76D71E" w14:textId="77777777" w:rsidR="00775419" w:rsidRDefault="00775419" w:rsidP="00547BBF">
      <w:pPr>
        <w:spacing w:after="0" w:line="360" w:lineRule="auto"/>
        <w:jc w:val="both"/>
        <w:rPr>
          <w:rFonts w:ascii="Rockwell" w:hAnsi="Rockwell"/>
          <w:sz w:val="28"/>
          <w:szCs w:val="28"/>
        </w:rPr>
      </w:pPr>
    </w:p>
    <w:p w14:paraId="0D17B34C" w14:textId="77777777" w:rsidR="00775419" w:rsidRDefault="00775419" w:rsidP="00547BBF">
      <w:pPr>
        <w:spacing w:after="0" w:line="360" w:lineRule="auto"/>
        <w:jc w:val="both"/>
        <w:rPr>
          <w:rFonts w:ascii="Rockwell" w:hAnsi="Rockwell"/>
          <w:sz w:val="28"/>
          <w:szCs w:val="28"/>
        </w:rPr>
      </w:pPr>
    </w:p>
    <w:p w14:paraId="18BAEDFC" w14:textId="77777777" w:rsidR="00775419" w:rsidRDefault="00775419" w:rsidP="00547BBF">
      <w:pPr>
        <w:spacing w:after="0" w:line="360" w:lineRule="auto"/>
        <w:jc w:val="both"/>
        <w:rPr>
          <w:rFonts w:ascii="Rockwell" w:hAnsi="Rockwell"/>
          <w:sz w:val="28"/>
          <w:szCs w:val="28"/>
        </w:rPr>
      </w:pPr>
    </w:p>
    <w:p w14:paraId="60A0F8AF" w14:textId="401C65CF" w:rsidR="008E75B0" w:rsidRDefault="008E75B0" w:rsidP="00547BBF">
      <w:pPr>
        <w:spacing w:after="0" w:line="360" w:lineRule="auto"/>
        <w:jc w:val="both"/>
        <w:rPr>
          <w:rFonts w:ascii="Rockwell" w:hAnsi="Rockwell"/>
          <w:sz w:val="28"/>
          <w:szCs w:val="28"/>
        </w:rPr>
      </w:pPr>
    </w:p>
    <w:p w14:paraId="1C7A89E6" w14:textId="45DB0AC7" w:rsidR="003A1BD5" w:rsidRDefault="008E75B0">
      <w:pPr>
        <w:rPr>
          <w:rFonts w:ascii="Rockwell" w:hAnsi="Rockwell"/>
          <w:sz w:val="28"/>
          <w:szCs w:val="28"/>
        </w:rPr>
      </w:pPr>
      <w:r>
        <w:rPr>
          <w:rFonts w:ascii="Rockwell" w:hAnsi="Rockwell"/>
          <w:sz w:val="28"/>
          <w:szCs w:val="28"/>
        </w:rPr>
        <w:br w:type="page"/>
      </w:r>
    </w:p>
    <w:p w14:paraId="5CDD60E3" w14:textId="165BEDE7" w:rsidR="003A1BD5" w:rsidRPr="003A1BD5" w:rsidRDefault="003A1BD5" w:rsidP="007A590A">
      <w:pPr>
        <w:pStyle w:val="Heading1"/>
        <w:spacing w:before="0" w:line="360" w:lineRule="auto"/>
        <w:rPr>
          <w:rFonts w:ascii="Rockwell" w:hAnsi="Rockwell"/>
          <w:b/>
          <w:bCs/>
          <w:sz w:val="32"/>
          <w:szCs w:val="32"/>
        </w:rPr>
      </w:pPr>
      <w:bookmarkStart w:id="5" w:name="_Toc204470678"/>
      <w:r w:rsidRPr="00211602">
        <w:rPr>
          <w:rFonts w:ascii="Rockwell" w:hAnsi="Rockwell"/>
          <w:b/>
          <w:bCs/>
          <w:sz w:val="32"/>
          <w:szCs w:val="32"/>
        </w:rPr>
        <w:lastRenderedPageBreak/>
        <w:t xml:space="preserve">4.  </w:t>
      </w:r>
      <w:r w:rsidR="007A590A" w:rsidRPr="00211602">
        <w:rPr>
          <w:rFonts w:ascii="Rockwell" w:hAnsi="Rockwell"/>
          <w:b/>
          <w:bCs/>
          <w:sz w:val="32"/>
          <w:szCs w:val="32"/>
        </w:rPr>
        <w:t>RESULTS</w:t>
      </w:r>
      <w:bookmarkEnd w:id="5"/>
    </w:p>
    <w:p w14:paraId="4CFB3663" w14:textId="477A8D56" w:rsidR="007A590A" w:rsidRPr="007A590A" w:rsidRDefault="007A590A" w:rsidP="007A590A">
      <w:pPr>
        <w:spacing w:line="360" w:lineRule="auto"/>
        <w:jc w:val="both"/>
        <w:rPr>
          <w:rFonts w:ascii="Rockwell" w:hAnsi="Rockwell"/>
          <w:sz w:val="28"/>
          <w:szCs w:val="28"/>
        </w:rPr>
      </w:pPr>
      <w:r w:rsidRPr="007A590A">
        <w:rPr>
          <w:rFonts w:ascii="Rockwell" w:hAnsi="Rockwell"/>
          <w:sz w:val="28"/>
          <w:szCs w:val="28"/>
        </w:rPr>
        <w:t xml:space="preserve">The Infection Prevention and Control (IPC) monitoring conducted at Deder General Hospital in March 2017E.C revealed a strong overall compliance level, with an average performance score of </w:t>
      </w:r>
      <w:r w:rsidRPr="007A590A">
        <w:rPr>
          <w:rFonts w:ascii="Rockwell" w:hAnsi="Rockwell"/>
          <w:b/>
          <w:bCs/>
          <w:sz w:val="28"/>
          <w:szCs w:val="28"/>
        </w:rPr>
        <w:t>91.2%</w:t>
      </w:r>
      <w:r>
        <w:rPr>
          <w:rFonts w:ascii="Rockwell" w:hAnsi="Rockwell"/>
          <w:b/>
          <w:bCs/>
          <w:sz w:val="28"/>
          <w:szCs w:val="28"/>
        </w:rPr>
        <w:t xml:space="preserve"> (figure 1)</w:t>
      </w:r>
      <w:r w:rsidRPr="007A590A">
        <w:rPr>
          <w:rFonts w:ascii="Rockwell" w:hAnsi="Rockwell"/>
          <w:sz w:val="28"/>
          <w:szCs w:val="28"/>
        </w:rPr>
        <w:t xml:space="preserve"> across all assessed components. Notably, </w:t>
      </w:r>
      <w:r w:rsidRPr="007A590A">
        <w:rPr>
          <w:rFonts w:ascii="Rockwell" w:hAnsi="Rockwell"/>
          <w:b/>
          <w:bCs/>
          <w:sz w:val="28"/>
          <w:szCs w:val="28"/>
        </w:rPr>
        <w:t>Hand Hygiene</w:t>
      </w:r>
      <w:r w:rsidRPr="007A590A">
        <w:rPr>
          <w:rFonts w:ascii="Rockwell" w:hAnsi="Rockwell"/>
          <w:sz w:val="28"/>
          <w:szCs w:val="28"/>
        </w:rPr>
        <w:t xml:space="preserve">, </w:t>
      </w:r>
      <w:r w:rsidRPr="007A590A">
        <w:rPr>
          <w:rFonts w:ascii="Rockwell" w:hAnsi="Rockwell"/>
          <w:b/>
          <w:bCs/>
          <w:sz w:val="28"/>
          <w:szCs w:val="28"/>
        </w:rPr>
        <w:t>PPE Use</w:t>
      </w:r>
      <w:r w:rsidRPr="007A590A">
        <w:rPr>
          <w:rFonts w:ascii="Rockwell" w:hAnsi="Rockwell"/>
          <w:sz w:val="28"/>
          <w:szCs w:val="28"/>
        </w:rPr>
        <w:t xml:space="preserve">, and </w:t>
      </w:r>
      <w:r w:rsidRPr="007A590A">
        <w:rPr>
          <w:rFonts w:ascii="Rockwell" w:hAnsi="Rockwell"/>
          <w:b/>
          <w:bCs/>
          <w:sz w:val="28"/>
          <w:szCs w:val="28"/>
        </w:rPr>
        <w:t>Environmental Cleaning</w:t>
      </w:r>
      <w:r w:rsidRPr="007A590A">
        <w:rPr>
          <w:rFonts w:ascii="Rockwell" w:hAnsi="Rockwell"/>
          <w:sz w:val="28"/>
          <w:szCs w:val="28"/>
        </w:rPr>
        <w:t xml:space="preserve"> achieved </w:t>
      </w:r>
      <w:r w:rsidRPr="007A590A">
        <w:rPr>
          <w:rFonts w:ascii="Rockwell" w:hAnsi="Rockwell"/>
          <w:b/>
          <w:bCs/>
          <w:sz w:val="28"/>
          <w:szCs w:val="28"/>
        </w:rPr>
        <w:t>100% compliance</w:t>
      </w:r>
      <w:r w:rsidRPr="007A590A">
        <w:rPr>
          <w:rFonts w:ascii="Rockwell" w:hAnsi="Rockwell"/>
          <w:sz w:val="28"/>
          <w:szCs w:val="28"/>
        </w:rPr>
        <w:t>, indicating that healthcare staff were consistently following correct hand hygiene practices, using personal protective equipment properly, and maintaining rigorous environmental cleaning standards. These areas reflect the hospital’s commitment to maintaining safe and hygienic clinical conditions</w:t>
      </w:r>
      <w:r>
        <w:rPr>
          <w:rFonts w:ascii="Rockwell" w:hAnsi="Rockwell"/>
          <w:sz w:val="28"/>
          <w:szCs w:val="28"/>
        </w:rPr>
        <w:t xml:space="preserve"> </w:t>
      </w:r>
      <w:r w:rsidRPr="007A590A">
        <w:rPr>
          <w:rFonts w:ascii="Rockwell" w:hAnsi="Rockwell"/>
          <w:b/>
          <w:bCs/>
          <w:sz w:val="28"/>
          <w:szCs w:val="28"/>
        </w:rPr>
        <w:t>(Table 1).</w:t>
      </w:r>
    </w:p>
    <w:p w14:paraId="5C624C27" w14:textId="503D56CF" w:rsidR="007A590A" w:rsidRPr="007A590A" w:rsidRDefault="007A590A" w:rsidP="007A590A">
      <w:pPr>
        <w:spacing w:line="360" w:lineRule="auto"/>
        <w:jc w:val="both"/>
        <w:rPr>
          <w:rFonts w:ascii="Rockwell" w:hAnsi="Rockwell"/>
          <w:sz w:val="28"/>
          <w:szCs w:val="28"/>
        </w:rPr>
      </w:pPr>
      <w:r w:rsidRPr="007A590A">
        <w:rPr>
          <w:rFonts w:ascii="Rockwell" w:hAnsi="Rockwell"/>
          <w:sz w:val="28"/>
          <w:szCs w:val="28"/>
        </w:rPr>
        <w:t xml:space="preserve">Moderate compliance was observed in </w:t>
      </w:r>
      <w:r w:rsidRPr="007A590A">
        <w:rPr>
          <w:rFonts w:ascii="Rockwell" w:hAnsi="Rockwell"/>
          <w:b/>
          <w:bCs/>
          <w:sz w:val="28"/>
          <w:szCs w:val="28"/>
        </w:rPr>
        <w:t>Waste Segregation</w:t>
      </w:r>
      <w:r w:rsidRPr="007A590A">
        <w:rPr>
          <w:rFonts w:ascii="Rockwell" w:hAnsi="Rockwell"/>
          <w:sz w:val="28"/>
          <w:szCs w:val="28"/>
        </w:rPr>
        <w:t xml:space="preserve"> (75%) and </w:t>
      </w:r>
      <w:r w:rsidRPr="007A590A">
        <w:rPr>
          <w:rFonts w:ascii="Rockwell" w:hAnsi="Rockwell"/>
          <w:b/>
          <w:bCs/>
          <w:sz w:val="28"/>
          <w:szCs w:val="28"/>
        </w:rPr>
        <w:t>Transmission-Based Precautions</w:t>
      </w:r>
      <w:r w:rsidRPr="007A590A">
        <w:rPr>
          <w:rFonts w:ascii="Rockwell" w:hAnsi="Rockwell"/>
          <w:sz w:val="28"/>
          <w:szCs w:val="28"/>
        </w:rPr>
        <w:t xml:space="preserve"> (87.5%), suggesting areas that require further attention. Specifically, one out of four indicators in waste management </w:t>
      </w:r>
      <w:proofErr w:type="gramStart"/>
      <w:r w:rsidRPr="007A590A">
        <w:rPr>
          <w:rFonts w:ascii="Rockwell" w:hAnsi="Rockwell"/>
          <w:sz w:val="28"/>
          <w:szCs w:val="28"/>
        </w:rPr>
        <w:t>was</w:t>
      </w:r>
      <w:proofErr w:type="gramEnd"/>
      <w:r w:rsidRPr="007A590A">
        <w:rPr>
          <w:rFonts w:ascii="Rockwell" w:hAnsi="Rockwell"/>
          <w:sz w:val="28"/>
          <w:szCs w:val="28"/>
        </w:rPr>
        <w:t xml:space="preserve"> found non-compliant, pointing to gaps such as improper labeling or disposal methods. Similarly, despite strong performance in most indicators, the use of droplet and airborne precautions showed deficiencies, likely due to lack of awareness or inconsistent implementation of protocols during patient transfers or isolation procedures</w:t>
      </w:r>
      <w:r>
        <w:rPr>
          <w:rFonts w:ascii="Rockwell" w:hAnsi="Rockwell"/>
          <w:sz w:val="28"/>
          <w:szCs w:val="28"/>
        </w:rPr>
        <w:t xml:space="preserve"> </w:t>
      </w:r>
      <w:r w:rsidRPr="007A590A">
        <w:rPr>
          <w:rFonts w:ascii="Rockwell" w:hAnsi="Rockwell"/>
          <w:b/>
          <w:bCs/>
          <w:sz w:val="28"/>
          <w:szCs w:val="28"/>
        </w:rPr>
        <w:t>(Table 1)</w:t>
      </w:r>
      <w:r w:rsidRPr="007A590A">
        <w:rPr>
          <w:rFonts w:ascii="Rockwell" w:hAnsi="Rockwell"/>
          <w:sz w:val="28"/>
          <w:szCs w:val="28"/>
        </w:rPr>
        <w:t>.</w:t>
      </w:r>
    </w:p>
    <w:p w14:paraId="42106C5A" w14:textId="34CE845D" w:rsidR="007A590A" w:rsidRPr="007A590A" w:rsidRDefault="007A590A" w:rsidP="007A590A">
      <w:pPr>
        <w:spacing w:line="360" w:lineRule="auto"/>
        <w:jc w:val="both"/>
        <w:rPr>
          <w:rFonts w:ascii="Rockwell" w:hAnsi="Rockwell"/>
          <w:sz w:val="28"/>
          <w:szCs w:val="28"/>
        </w:rPr>
      </w:pPr>
      <w:r w:rsidRPr="007A590A">
        <w:rPr>
          <w:rFonts w:ascii="Rockwell" w:hAnsi="Rockwell"/>
          <w:sz w:val="28"/>
          <w:szCs w:val="28"/>
        </w:rPr>
        <w:t xml:space="preserve">The </w:t>
      </w:r>
      <w:r w:rsidRPr="007A590A">
        <w:rPr>
          <w:rFonts w:ascii="Rockwell" w:hAnsi="Rockwell"/>
          <w:b/>
          <w:bCs/>
          <w:sz w:val="28"/>
          <w:szCs w:val="28"/>
        </w:rPr>
        <w:t>IPC System/Capacity</w:t>
      </w:r>
      <w:r w:rsidRPr="007A590A">
        <w:rPr>
          <w:rFonts w:ascii="Rockwell" w:hAnsi="Rockwell"/>
          <w:sz w:val="28"/>
          <w:szCs w:val="28"/>
        </w:rPr>
        <w:t xml:space="preserve"> (91.7%) and </w:t>
      </w:r>
      <w:r w:rsidRPr="007A590A">
        <w:rPr>
          <w:rFonts w:ascii="Rockwell" w:hAnsi="Rockwell"/>
          <w:b/>
          <w:bCs/>
          <w:sz w:val="28"/>
          <w:szCs w:val="28"/>
        </w:rPr>
        <w:t>IPC Practice Observation</w:t>
      </w:r>
      <w:r w:rsidRPr="007A590A">
        <w:rPr>
          <w:rFonts w:ascii="Rockwell" w:hAnsi="Rockwell"/>
          <w:sz w:val="28"/>
          <w:szCs w:val="28"/>
        </w:rPr>
        <w:t xml:space="preserve"> (90.9%) also showed high but not perfect scores, where small gaps like missing policy documentation or limited training coverage might exist. These findings underscore the importance of continuous training, resource provision (like chemical waste bins), and enforcement of existing guidelines. Strengthening these components through targeted interventions can help the hospital move toward full compliance and further reduce healthcare-associated infection risks</w:t>
      </w:r>
      <w:r>
        <w:rPr>
          <w:rFonts w:ascii="Rockwell" w:hAnsi="Rockwell"/>
          <w:sz w:val="28"/>
          <w:szCs w:val="28"/>
        </w:rPr>
        <w:t xml:space="preserve"> </w:t>
      </w:r>
      <w:r w:rsidRPr="007A590A">
        <w:rPr>
          <w:rFonts w:ascii="Rockwell" w:hAnsi="Rockwell"/>
          <w:b/>
          <w:bCs/>
          <w:sz w:val="28"/>
          <w:szCs w:val="28"/>
        </w:rPr>
        <w:t>(Table 1)</w:t>
      </w:r>
      <w:r w:rsidRPr="007A590A">
        <w:rPr>
          <w:rFonts w:ascii="Rockwell" w:hAnsi="Rockwell"/>
          <w:b/>
          <w:bCs/>
          <w:sz w:val="28"/>
          <w:szCs w:val="28"/>
        </w:rPr>
        <w:t>.</w:t>
      </w:r>
    </w:p>
    <w:p w14:paraId="7F395865" w14:textId="77777777" w:rsidR="003A1BD5" w:rsidRDefault="003A1BD5">
      <w:pPr>
        <w:rPr>
          <w:rFonts w:ascii="Rockwell" w:hAnsi="Rockwell"/>
          <w:sz w:val="28"/>
          <w:szCs w:val="28"/>
        </w:rPr>
      </w:pPr>
      <w:r>
        <w:rPr>
          <w:rFonts w:ascii="Rockwell" w:hAnsi="Rockwell"/>
          <w:sz w:val="28"/>
          <w:szCs w:val="28"/>
        </w:rPr>
        <w:br w:type="page"/>
      </w:r>
    </w:p>
    <w:p w14:paraId="4A5944BB" w14:textId="64BDBA14" w:rsidR="008E75B0" w:rsidRPr="0066617F" w:rsidRDefault="003A1BD5" w:rsidP="0066617F">
      <w:pPr>
        <w:pStyle w:val="Caption"/>
        <w:rPr>
          <w:rFonts w:ascii="Rockwell" w:hAnsi="Rockwell"/>
          <w:sz w:val="28"/>
          <w:szCs w:val="28"/>
        </w:rPr>
      </w:pPr>
      <w:bookmarkStart w:id="6" w:name="_Toc204469339"/>
      <w:r w:rsidRPr="0066617F">
        <w:rPr>
          <w:rFonts w:ascii="Rockwell" w:hAnsi="Rockwell"/>
          <w:b/>
          <w:bCs/>
          <w:noProof/>
          <w:color w:val="FFFFFF" w:themeColor="background1"/>
          <w:sz w:val="28"/>
          <w:szCs w:val="28"/>
        </w:rPr>
        <w:lastRenderedPageBreak/>
        <w:drawing>
          <wp:anchor distT="0" distB="0" distL="114300" distR="114300" simplePos="0" relativeHeight="251661312" behindDoc="1" locked="0" layoutInCell="1" allowOverlap="1" wp14:anchorId="603EF84A" wp14:editId="354ED72E">
            <wp:simplePos x="0" y="0"/>
            <wp:positionH relativeFrom="margin">
              <wp:posOffset>38100</wp:posOffset>
            </wp:positionH>
            <wp:positionV relativeFrom="page">
              <wp:posOffset>920750</wp:posOffset>
            </wp:positionV>
            <wp:extent cx="6940550" cy="3663950"/>
            <wp:effectExtent l="0" t="0" r="12700" b="12700"/>
            <wp:wrapTight wrapText="bothSides">
              <wp:wrapPolygon edited="0">
                <wp:start x="0" y="0"/>
                <wp:lineTo x="0" y="21563"/>
                <wp:lineTo x="21580" y="21563"/>
                <wp:lineTo x="21580" y="0"/>
                <wp:lineTo x="0" y="0"/>
              </wp:wrapPolygon>
            </wp:wrapTight>
            <wp:docPr id="1968343934"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14:sizeRelH relativeFrom="margin">
              <wp14:pctWidth>0</wp14:pctWidth>
            </wp14:sizeRelH>
            <wp14:sizeRelV relativeFrom="margin">
              <wp14:pctHeight>0</wp14:pctHeight>
            </wp14:sizeRelV>
          </wp:anchor>
        </w:drawing>
      </w:r>
      <w:bookmarkStart w:id="7" w:name="_Toc204391571"/>
      <w:r w:rsidR="0066617F" w:rsidRPr="0066617F">
        <w:rPr>
          <w:rFonts w:ascii="Rockwell" w:hAnsi="Rockwell"/>
          <w:b/>
          <w:bCs/>
          <w:sz w:val="28"/>
          <w:szCs w:val="28"/>
        </w:rPr>
        <w:t xml:space="preserve">Figure </w:t>
      </w:r>
      <w:r w:rsidR="0066617F" w:rsidRPr="0066617F">
        <w:rPr>
          <w:rFonts w:ascii="Rockwell" w:hAnsi="Rockwell"/>
          <w:b/>
          <w:bCs/>
          <w:sz w:val="28"/>
          <w:szCs w:val="28"/>
        </w:rPr>
        <w:fldChar w:fldCharType="begin"/>
      </w:r>
      <w:r w:rsidR="0066617F" w:rsidRPr="0066617F">
        <w:rPr>
          <w:rFonts w:ascii="Rockwell" w:hAnsi="Rockwell"/>
          <w:b/>
          <w:bCs/>
          <w:sz w:val="28"/>
          <w:szCs w:val="28"/>
        </w:rPr>
        <w:instrText xml:space="preserve"> SEQ Figure \* ARABIC </w:instrText>
      </w:r>
      <w:r w:rsidR="0066617F" w:rsidRPr="0066617F">
        <w:rPr>
          <w:rFonts w:ascii="Rockwell" w:hAnsi="Rockwell"/>
          <w:b/>
          <w:bCs/>
          <w:sz w:val="28"/>
          <w:szCs w:val="28"/>
        </w:rPr>
        <w:fldChar w:fldCharType="separate"/>
      </w:r>
      <w:r w:rsidR="0066617F" w:rsidRPr="0066617F">
        <w:rPr>
          <w:rFonts w:ascii="Rockwell" w:hAnsi="Rockwell"/>
          <w:b/>
          <w:bCs/>
          <w:noProof/>
          <w:sz w:val="28"/>
          <w:szCs w:val="28"/>
        </w:rPr>
        <w:t>1</w:t>
      </w:r>
      <w:r w:rsidR="0066617F" w:rsidRPr="0066617F">
        <w:rPr>
          <w:rFonts w:ascii="Rockwell" w:hAnsi="Rockwell"/>
          <w:b/>
          <w:bCs/>
          <w:sz w:val="28"/>
          <w:szCs w:val="28"/>
        </w:rPr>
        <w:fldChar w:fldCharType="end"/>
      </w:r>
      <w:r w:rsidR="00775419" w:rsidRPr="0066617F">
        <w:rPr>
          <w:rFonts w:ascii="Rockwell" w:hAnsi="Rockwell"/>
          <w:b/>
          <w:bCs/>
          <w:color w:val="auto"/>
          <w:sz w:val="28"/>
          <w:szCs w:val="28"/>
        </w:rPr>
        <w:t>:</w:t>
      </w:r>
      <w:r w:rsidR="00775419" w:rsidRPr="0066617F">
        <w:rPr>
          <w:rFonts w:ascii="Rockwell" w:hAnsi="Rockwell"/>
          <w:color w:val="auto"/>
          <w:sz w:val="28"/>
          <w:szCs w:val="28"/>
        </w:rPr>
        <w:t xml:space="preserve"> </w:t>
      </w:r>
      <w:bookmarkStart w:id="8" w:name="_Hlk204364909"/>
      <w:bookmarkStart w:id="9" w:name="_Hlk204365444"/>
      <w:r w:rsidR="00775419" w:rsidRPr="0066617F">
        <w:rPr>
          <w:rFonts w:ascii="Rockwell" w:hAnsi="Rockwell"/>
          <w:color w:val="auto"/>
          <w:sz w:val="28"/>
          <w:szCs w:val="28"/>
        </w:rPr>
        <w:t>Deder General Hospital Overall IPC compliance</w:t>
      </w:r>
      <w:bookmarkEnd w:id="8"/>
      <w:r w:rsidR="00775419" w:rsidRPr="0066617F">
        <w:rPr>
          <w:rFonts w:ascii="Rockwell" w:hAnsi="Rockwell"/>
          <w:color w:val="auto"/>
          <w:sz w:val="28"/>
          <w:szCs w:val="28"/>
        </w:rPr>
        <w:t xml:space="preserve"> rate</w:t>
      </w:r>
      <w:bookmarkEnd w:id="9"/>
      <w:r w:rsidR="00775419" w:rsidRPr="0066617F">
        <w:rPr>
          <w:rFonts w:ascii="Rockwell" w:hAnsi="Rockwell"/>
          <w:color w:val="auto"/>
          <w:sz w:val="28"/>
          <w:szCs w:val="28"/>
        </w:rPr>
        <w:t xml:space="preserve">, </w:t>
      </w:r>
      <w:r w:rsidR="008E7360">
        <w:rPr>
          <w:rFonts w:ascii="Rockwell" w:hAnsi="Rockwell"/>
          <w:color w:val="auto"/>
          <w:sz w:val="28"/>
          <w:szCs w:val="28"/>
        </w:rPr>
        <w:t>March</w:t>
      </w:r>
      <w:r w:rsidR="00775419" w:rsidRPr="0066617F">
        <w:rPr>
          <w:rFonts w:ascii="Rockwell" w:hAnsi="Rockwell"/>
          <w:color w:val="auto"/>
          <w:sz w:val="28"/>
          <w:szCs w:val="28"/>
        </w:rPr>
        <w:t xml:space="preserve"> 2017E.</w:t>
      </w:r>
      <w:r w:rsidR="00775419" w:rsidRPr="0066617F">
        <w:rPr>
          <w:rFonts w:ascii="Rockwell" w:hAnsi="Rockwell"/>
          <w:sz w:val="28"/>
          <w:szCs w:val="28"/>
        </w:rPr>
        <w:t>C</w:t>
      </w:r>
      <w:bookmarkEnd w:id="6"/>
      <w:bookmarkEnd w:id="7"/>
    </w:p>
    <w:p w14:paraId="4D2EA811" w14:textId="77777777" w:rsidR="003A1BD5" w:rsidRPr="008E75B0" w:rsidRDefault="003A1BD5" w:rsidP="003A1BD5">
      <w:pPr>
        <w:rPr>
          <w:rFonts w:ascii="Rockwell" w:hAnsi="Rockwell"/>
          <w:sz w:val="24"/>
          <w:szCs w:val="24"/>
          <w:lang w:eastAsia="en-US"/>
        </w:rPr>
      </w:pPr>
    </w:p>
    <w:p w14:paraId="72B0502F" w14:textId="4608F018" w:rsidR="00775419" w:rsidRPr="00775419" w:rsidRDefault="00775419" w:rsidP="008E75B0">
      <w:pPr>
        <w:pStyle w:val="Caption"/>
        <w:spacing w:before="240"/>
        <w:rPr>
          <w:rFonts w:ascii="Rockwell" w:hAnsi="Rockwell"/>
          <w:sz w:val="24"/>
          <w:szCs w:val="24"/>
        </w:rPr>
      </w:pPr>
      <w:bookmarkStart w:id="10" w:name="_Toc204469381"/>
      <w:r w:rsidRPr="00775419">
        <w:rPr>
          <w:rFonts w:ascii="Rockwell" w:hAnsi="Rockwell"/>
          <w:b/>
          <w:bCs/>
          <w:sz w:val="24"/>
          <w:szCs w:val="24"/>
        </w:rPr>
        <w:t xml:space="preserve">Table </w:t>
      </w:r>
      <w:r w:rsidRPr="00775419">
        <w:rPr>
          <w:rFonts w:ascii="Rockwell" w:hAnsi="Rockwell"/>
          <w:b/>
          <w:bCs/>
          <w:sz w:val="24"/>
          <w:szCs w:val="24"/>
        </w:rPr>
        <w:fldChar w:fldCharType="begin"/>
      </w:r>
      <w:r w:rsidRPr="00775419">
        <w:rPr>
          <w:rFonts w:ascii="Rockwell" w:hAnsi="Rockwell"/>
          <w:b/>
          <w:bCs/>
          <w:sz w:val="24"/>
          <w:szCs w:val="24"/>
        </w:rPr>
        <w:instrText xml:space="preserve"> SEQ Table \* ARABIC </w:instrText>
      </w:r>
      <w:r w:rsidRPr="00775419">
        <w:rPr>
          <w:rFonts w:ascii="Rockwell" w:hAnsi="Rockwell"/>
          <w:b/>
          <w:bCs/>
          <w:sz w:val="24"/>
          <w:szCs w:val="24"/>
        </w:rPr>
        <w:fldChar w:fldCharType="separate"/>
      </w:r>
      <w:r w:rsidRPr="00775419">
        <w:rPr>
          <w:rFonts w:ascii="Rockwell" w:hAnsi="Rockwell"/>
          <w:b/>
          <w:bCs/>
          <w:noProof/>
          <w:sz w:val="24"/>
          <w:szCs w:val="24"/>
        </w:rPr>
        <w:t>1</w:t>
      </w:r>
      <w:r w:rsidRPr="00775419">
        <w:rPr>
          <w:rFonts w:ascii="Rockwell" w:hAnsi="Rockwell"/>
          <w:b/>
          <w:bCs/>
          <w:sz w:val="24"/>
          <w:szCs w:val="24"/>
        </w:rPr>
        <w:fldChar w:fldCharType="end"/>
      </w:r>
      <w:r w:rsidRPr="00775419">
        <w:rPr>
          <w:rFonts w:ascii="Rockwell" w:hAnsi="Rockwell"/>
          <w:sz w:val="24"/>
          <w:szCs w:val="24"/>
        </w:rPr>
        <w:t xml:space="preserve">: Deder General Hospital Overall IPC compliance rate, </w:t>
      </w:r>
      <w:r w:rsidR="008E7360">
        <w:rPr>
          <w:rFonts w:ascii="Rockwell" w:hAnsi="Rockwell"/>
          <w:sz w:val="24"/>
          <w:szCs w:val="24"/>
        </w:rPr>
        <w:t>March</w:t>
      </w:r>
      <w:r w:rsidRPr="00775419">
        <w:rPr>
          <w:rFonts w:ascii="Rockwell" w:hAnsi="Rockwell"/>
          <w:sz w:val="24"/>
          <w:szCs w:val="24"/>
        </w:rPr>
        <w:t xml:space="preserve"> 2017E.C</w:t>
      </w:r>
      <w:bookmarkEnd w:id="10"/>
    </w:p>
    <w:tbl>
      <w:tblPr>
        <w:tblStyle w:val="TableGrid"/>
        <w:tblW w:w="10980" w:type="dxa"/>
        <w:tblLook w:val="04A0" w:firstRow="1" w:lastRow="0" w:firstColumn="1" w:lastColumn="0" w:noHBand="0" w:noVBand="1"/>
      </w:tblPr>
      <w:tblGrid>
        <w:gridCol w:w="5727"/>
        <w:gridCol w:w="1243"/>
        <w:gridCol w:w="1436"/>
        <w:gridCol w:w="1292"/>
        <w:gridCol w:w="1282"/>
      </w:tblGrid>
      <w:tr w:rsidR="008E7360" w:rsidRPr="008E7360" w14:paraId="7BE259F3" w14:textId="77777777" w:rsidTr="008E7360">
        <w:trPr>
          <w:trHeight w:val="170"/>
        </w:trPr>
        <w:tc>
          <w:tcPr>
            <w:tcW w:w="0" w:type="auto"/>
            <w:shd w:val="clear" w:color="auto" w:fill="FAE2D5" w:themeFill="accent2" w:themeFillTint="33"/>
            <w:hideMark/>
          </w:tcPr>
          <w:p w14:paraId="35C3417F" w14:textId="77777777" w:rsidR="008E7360" w:rsidRPr="008E7360" w:rsidRDefault="008E7360" w:rsidP="008E7360">
            <w:pPr>
              <w:spacing w:line="360" w:lineRule="auto"/>
              <w:rPr>
                <w:rFonts w:ascii="Rockwell" w:hAnsi="Rockwell"/>
                <w:b/>
                <w:bCs/>
                <w:sz w:val="28"/>
                <w:szCs w:val="28"/>
              </w:rPr>
            </w:pPr>
            <w:r w:rsidRPr="008E7360">
              <w:rPr>
                <w:rFonts w:ascii="Rockwell" w:hAnsi="Rockwell"/>
                <w:b/>
                <w:bCs/>
                <w:sz w:val="28"/>
                <w:szCs w:val="28"/>
              </w:rPr>
              <w:t>Component</w:t>
            </w:r>
          </w:p>
        </w:tc>
        <w:tc>
          <w:tcPr>
            <w:tcW w:w="0" w:type="auto"/>
            <w:shd w:val="clear" w:color="auto" w:fill="FAE2D5" w:themeFill="accent2" w:themeFillTint="33"/>
            <w:hideMark/>
          </w:tcPr>
          <w:p w14:paraId="1EB47E9A" w14:textId="77777777" w:rsidR="008E7360" w:rsidRPr="008E7360" w:rsidRDefault="008E7360" w:rsidP="008E7360">
            <w:pPr>
              <w:spacing w:line="360" w:lineRule="auto"/>
              <w:rPr>
                <w:rFonts w:ascii="Rockwell" w:hAnsi="Rockwell"/>
                <w:b/>
                <w:bCs/>
                <w:sz w:val="28"/>
                <w:szCs w:val="28"/>
              </w:rPr>
            </w:pPr>
            <w:r w:rsidRPr="008E7360">
              <w:rPr>
                <w:rFonts w:ascii="Rockwell" w:hAnsi="Rockwell"/>
                <w:b/>
                <w:bCs/>
                <w:sz w:val="28"/>
                <w:szCs w:val="28"/>
              </w:rPr>
              <w:t>Items</w:t>
            </w:r>
          </w:p>
        </w:tc>
        <w:tc>
          <w:tcPr>
            <w:tcW w:w="0" w:type="auto"/>
            <w:shd w:val="clear" w:color="auto" w:fill="FAE2D5" w:themeFill="accent2" w:themeFillTint="33"/>
            <w:hideMark/>
          </w:tcPr>
          <w:p w14:paraId="0D69AF24" w14:textId="77777777" w:rsidR="008E7360" w:rsidRPr="008E7360" w:rsidRDefault="008E7360" w:rsidP="008E7360">
            <w:pPr>
              <w:spacing w:line="360" w:lineRule="auto"/>
              <w:rPr>
                <w:rFonts w:ascii="Rockwell" w:hAnsi="Rockwell"/>
                <w:b/>
                <w:bCs/>
                <w:sz w:val="28"/>
                <w:szCs w:val="28"/>
              </w:rPr>
            </w:pPr>
            <w:r w:rsidRPr="008E7360">
              <w:rPr>
                <w:rFonts w:ascii="Segoe UI Emoji" w:hAnsi="Segoe UI Emoji" w:cs="Segoe UI Emoji"/>
                <w:b/>
                <w:bCs/>
                <w:sz w:val="28"/>
                <w:szCs w:val="28"/>
              </w:rPr>
              <w:t>✅</w:t>
            </w:r>
            <w:r w:rsidRPr="008E7360">
              <w:rPr>
                <w:rFonts w:ascii="Rockwell" w:hAnsi="Rockwell"/>
                <w:b/>
                <w:bCs/>
                <w:sz w:val="28"/>
                <w:szCs w:val="28"/>
              </w:rPr>
              <w:t xml:space="preserve"> Yes</w:t>
            </w:r>
          </w:p>
        </w:tc>
        <w:tc>
          <w:tcPr>
            <w:tcW w:w="0" w:type="auto"/>
            <w:shd w:val="clear" w:color="auto" w:fill="FAE2D5" w:themeFill="accent2" w:themeFillTint="33"/>
            <w:hideMark/>
          </w:tcPr>
          <w:p w14:paraId="2A70BFB6" w14:textId="77777777" w:rsidR="008E7360" w:rsidRPr="008E7360" w:rsidRDefault="008E7360" w:rsidP="008E7360">
            <w:pPr>
              <w:spacing w:line="360" w:lineRule="auto"/>
              <w:rPr>
                <w:rFonts w:ascii="Rockwell" w:hAnsi="Rockwell"/>
                <w:b/>
                <w:bCs/>
                <w:sz w:val="28"/>
                <w:szCs w:val="28"/>
              </w:rPr>
            </w:pPr>
            <w:r w:rsidRPr="008E7360">
              <w:rPr>
                <w:rFonts w:ascii="Segoe UI Emoji" w:hAnsi="Segoe UI Emoji" w:cs="Segoe UI Emoji"/>
                <w:b/>
                <w:bCs/>
                <w:sz w:val="28"/>
                <w:szCs w:val="28"/>
              </w:rPr>
              <w:t>❌</w:t>
            </w:r>
            <w:r w:rsidRPr="008E7360">
              <w:rPr>
                <w:rFonts w:ascii="Rockwell" w:hAnsi="Rockwell"/>
                <w:b/>
                <w:bCs/>
                <w:sz w:val="28"/>
                <w:szCs w:val="28"/>
              </w:rPr>
              <w:t xml:space="preserve"> No</w:t>
            </w:r>
          </w:p>
        </w:tc>
        <w:tc>
          <w:tcPr>
            <w:tcW w:w="0" w:type="auto"/>
            <w:shd w:val="clear" w:color="auto" w:fill="FAE2D5" w:themeFill="accent2" w:themeFillTint="33"/>
            <w:hideMark/>
          </w:tcPr>
          <w:p w14:paraId="42777578" w14:textId="77777777" w:rsidR="008E7360" w:rsidRPr="008E7360" w:rsidRDefault="008E7360" w:rsidP="008E7360">
            <w:pPr>
              <w:spacing w:line="360" w:lineRule="auto"/>
              <w:rPr>
                <w:rFonts w:ascii="Rockwell" w:hAnsi="Rockwell"/>
                <w:b/>
                <w:bCs/>
                <w:sz w:val="28"/>
                <w:szCs w:val="28"/>
              </w:rPr>
            </w:pPr>
            <w:r w:rsidRPr="008E7360">
              <w:rPr>
                <w:rFonts w:ascii="Rockwell" w:hAnsi="Rockwell"/>
                <w:b/>
                <w:bCs/>
                <w:sz w:val="28"/>
                <w:szCs w:val="28"/>
              </w:rPr>
              <w:t>% Yes</w:t>
            </w:r>
          </w:p>
        </w:tc>
      </w:tr>
      <w:tr w:rsidR="008E7360" w:rsidRPr="008E7360" w14:paraId="2642C7B7" w14:textId="77777777" w:rsidTr="008E7360">
        <w:trPr>
          <w:trHeight w:val="445"/>
        </w:trPr>
        <w:tc>
          <w:tcPr>
            <w:tcW w:w="0" w:type="auto"/>
            <w:hideMark/>
          </w:tcPr>
          <w:p w14:paraId="35A1CBEB" w14:textId="77777777" w:rsidR="008E7360" w:rsidRPr="008E7360" w:rsidRDefault="008E7360" w:rsidP="008E7360">
            <w:pPr>
              <w:spacing w:line="360" w:lineRule="auto"/>
              <w:rPr>
                <w:rFonts w:ascii="Rockwell" w:hAnsi="Rockwell"/>
                <w:sz w:val="28"/>
                <w:szCs w:val="28"/>
              </w:rPr>
            </w:pPr>
            <w:r w:rsidRPr="008E7360">
              <w:rPr>
                <w:rFonts w:ascii="Rockwell" w:hAnsi="Rockwell"/>
                <w:sz w:val="28"/>
                <w:szCs w:val="28"/>
              </w:rPr>
              <w:t>1. IPC System/Capacity</w:t>
            </w:r>
          </w:p>
        </w:tc>
        <w:tc>
          <w:tcPr>
            <w:tcW w:w="0" w:type="auto"/>
            <w:hideMark/>
          </w:tcPr>
          <w:p w14:paraId="1B18CDF7" w14:textId="77777777" w:rsidR="008E7360" w:rsidRPr="008E7360" w:rsidRDefault="008E7360" w:rsidP="008E7360">
            <w:pPr>
              <w:spacing w:line="360" w:lineRule="auto"/>
              <w:rPr>
                <w:rFonts w:ascii="Rockwell" w:hAnsi="Rockwell"/>
                <w:sz w:val="28"/>
                <w:szCs w:val="28"/>
              </w:rPr>
            </w:pPr>
            <w:r w:rsidRPr="008E7360">
              <w:rPr>
                <w:rFonts w:ascii="Rockwell" w:hAnsi="Rockwell"/>
                <w:sz w:val="28"/>
                <w:szCs w:val="28"/>
              </w:rPr>
              <w:t>12</w:t>
            </w:r>
          </w:p>
        </w:tc>
        <w:tc>
          <w:tcPr>
            <w:tcW w:w="0" w:type="auto"/>
            <w:hideMark/>
          </w:tcPr>
          <w:p w14:paraId="21A23D2C" w14:textId="77777777" w:rsidR="008E7360" w:rsidRPr="008E7360" w:rsidRDefault="008E7360" w:rsidP="008E7360">
            <w:pPr>
              <w:spacing w:line="360" w:lineRule="auto"/>
              <w:rPr>
                <w:rFonts w:ascii="Rockwell" w:hAnsi="Rockwell"/>
                <w:sz w:val="28"/>
                <w:szCs w:val="28"/>
              </w:rPr>
            </w:pPr>
            <w:r w:rsidRPr="008E7360">
              <w:rPr>
                <w:rFonts w:ascii="Rockwell" w:hAnsi="Rockwell"/>
                <w:sz w:val="28"/>
                <w:szCs w:val="28"/>
              </w:rPr>
              <w:t>11</w:t>
            </w:r>
          </w:p>
        </w:tc>
        <w:tc>
          <w:tcPr>
            <w:tcW w:w="0" w:type="auto"/>
            <w:hideMark/>
          </w:tcPr>
          <w:p w14:paraId="68117C8D" w14:textId="77777777" w:rsidR="008E7360" w:rsidRPr="008E7360" w:rsidRDefault="008E7360" w:rsidP="008E7360">
            <w:pPr>
              <w:spacing w:line="360" w:lineRule="auto"/>
              <w:rPr>
                <w:rFonts w:ascii="Rockwell" w:hAnsi="Rockwell"/>
                <w:sz w:val="28"/>
                <w:szCs w:val="28"/>
              </w:rPr>
            </w:pPr>
            <w:r w:rsidRPr="008E7360">
              <w:rPr>
                <w:rFonts w:ascii="Rockwell" w:hAnsi="Rockwell"/>
                <w:sz w:val="28"/>
                <w:szCs w:val="28"/>
              </w:rPr>
              <w:t>1</w:t>
            </w:r>
          </w:p>
        </w:tc>
        <w:tc>
          <w:tcPr>
            <w:tcW w:w="0" w:type="auto"/>
            <w:hideMark/>
          </w:tcPr>
          <w:p w14:paraId="01E41693" w14:textId="77777777" w:rsidR="008E7360" w:rsidRPr="008E7360" w:rsidRDefault="008E7360" w:rsidP="008E7360">
            <w:pPr>
              <w:spacing w:line="360" w:lineRule="auto"/>
              <w:rPr>
                <w:rFonts w:ascii="Rockwell" w:hAnsi="Rockwell"/>
                <w:sz w:val="28"/>
                <w:szCs w:val="28"/>
              </w:rPr>
            </w:pPr>
            <w:r w:rsidRPr="008E7360">
              <w:rPr>
                <w:rFonts w:ascii="Rockwell" w:hAnsi="Rockwell"/>
                <w:sz w:val="28"/>
                <w:szCs w:val="28"/>
              </w:rPr>
              <w:t>91.7%</w:t>
            </w:r>
          </w:p>
        </w:tc>
      </w:tr>
      <w:tr w:rsidR="008E7360" w:rsidRPr="008E7360" w14:paraId="22FA6B7D" w14:textId="77777777" w:rsidTr="008E7360">
        <w:trPr>
          <w:trHeight w:val="436"/>
        </w:trPr>
        <w:tc>
          <w:tcPr>
            <w:tcW w:w="0" w:type="auto"/>
            <w:hideMark/>
          </w:tcPr>
          <w:p w14:paraId="6AF487CE" w14:textId="77777777" w:rsidR="008E7360" w:rsidRPr="008E7360" w:rsidRDefault="008E7360" w:rsidP="008E7360">
            <w:pPr>
              <w:spacing w:line="360" w:lineRule="auto"/>
              <w:rPr>
                <w:rFonts w:ascii="Rockwell" w:hAnsi="Rockwell"/>
                <w:sz w:val="28"/>
                <w:szCs w:val="28"/>
              </w:rPr>
            </w:pPr>
            <w:r w:rsidRPr="008E7360">
              <w:rPr>
                <w:rFonts w:ascii="Rockwell" w:hAnsi="Rockwell"/>
                <w:sz w:val="28"/>
                <w:szCs w:val="28"/>
              </w:rPr>
              <w:t>2. IPC Practice Observation</w:t>
            </w:r>
          </w:p>
        </w:tc>
        <w:tc>
          <w:tcPr>
            <w:tcW w:w="0" w:type="auto"/>
            <w:hideMark/>
          </w:tcPr>
          <w:p w14:paraId="420ACFE3" w14:textId="77777777" w:rsidR="008E7360" w:rsidRPr="008E7360" w:rsidRDefault="008E7360" w:rsidP="008E7360">
            <w:pPr>
              <w:spacing w:line="360" w:lineRule="auto"/>
              <w:rPr>
                <w:rFonts w:ascii="Rockwell" w:hAnsi="Rockwell"/>
                <w:sz w:val="28"/>
                <w:szCs w:val="28"/>
              </w:rPr>
            </w:pPr>
            <w:r w:rsidRPr="008E7360">
              <w:rPr>
                <w:rFonts w:ascii="Rockwell" w:hAnsi="Rockwell"/>
                <w:sz w:val="28"/>
                <w:szCs w:val="28"/>
              </w:rPr>
              <w:t>11</w:t>
            </w:r>
          </w:p>
        </w:tc>
        <w:tc>
          <w:tcPr>
            <w:tcW w:w="0" w:type="auto"/>
            <w:hideMark/>
          </w:tcPr>
          <w:p w14:paraId="33D62097" w14:textId="77777777" w:rsidR="008E7360" w:rsidRPr="008E7360" w:rsidRDefault="008E7360" w:rsidP="008E7360">
            <w:pPr>
              <w:spacing w:line="360" w:lineRule="auto"/>
              <w:rPr>
                <w:rFonts w:ascii="Rockwell" w:hAnsi="Rockwell"/>
                <w:sz w:val="28"/>
                <w:szCs w:val="28"/>
              </w:rPr>
            </w:pPr>
            <w:r w:rsidRPr="008E7360">
              <w:rPr>
                <w:rFonts w:ascii="Rockwell" w:hAnsi="Rockwell"/>
                <w:sz w:val="28"/>
                <w:szCs w:val="28"/>
              </w:rPr>
              <w:t>10</w:t>
            </w:r>
          </w:p>
        </w:tc>
        <w:tc>
          <w:tcPr>
            <w:tcW w:w="0" w:type="auto"/>
            <w:hideMark/>
          </w:tcPr>
          <w:p w14:paraId="38AD14A0" w14:textId="77777777" w:rsidR="008E7360" w:rsidRPr="008E7360" w:rsidRDefault="008E7360" w:rsidP="008E7360">
            <w:pPr>
              <w:spacing w:line="360" w:lineRule="auto"/>
              <w:rPr>
                <w:rFonts w:ascii="Rockwell" w:hAnsi="Rockwell"/>
                <w:sz w:val="28"/>
                <w:szCs w:val="28"/>
              </w:rPr>
            </w:pPr>
            <w:r w:rsidRPr="008E7360">
              <w:rPr>
                <w:rFonts w:ascii="Rockwell" w:hAnsi="Rockwell"/>
                <w:sz w:val="28"/>
                <w:szCs w:val="28"/>
              </w:rPr>
              <w:t>1</w:t>
            </w:r>
          </w:p>
        </w:tc>
        <w:tc>
          <w:tcPr>
            <w:tcW w:w="0" w:type="auto"/>
            <w:hideMark/>
          </w:tcPr>
          <w:p w14:paraId="62FD1ACF" w14:textId="77777777" w:rsidR="008E7360" w:rsidRPr="008E7360" w:rsidRDefault="008E7360" w:rsidP="008E7360">
            <w:pPr>
              <w:spacing w:line="360" w:lineRule="auto"/>
              <w:rPr>
                <w:rFonts w:ascii="Rockwell" w:hAnsi="Rockwell"/>
                <w:sz w:val="28"/>
                <w:szCs w:val="28"/>
              </w:rPr>
            </w:pPr>
            <w:r w:rsidRPr="008E7360">
              <w:rPr>
                <w:rFonts w:ascii="Rockwell" w:hAnsi="Rockwell"/>
                <w:sz w:val="28"/>
                <w:szCs w:val="28"/>
              </w:rPr>
              <w:t>90.9%</w:t>
            </w:r>
          </w:p>
        </w:tc>
      </w:tr>
      <w:tr w:rsidR="008E7360" w:rsidRPr="008E7360" w14:paraId="4884A927" w14:textId="77777777" w:rsidTr="008E7360">
        <w:trPr>
          <w:trHeight w:val="445"/>
        </w:trPr>
        <w:tc>
          <w:tcPr>
            <w:tcW w:w="0" w:type="auto"/>
            <w:hideMark/>
          </w:tcPr>
          <w:p w14:paraId="7BFA70A6" w14:textId="77777777" w:rsidR="008E7360" w:rsidRPr="008E7360" w:rsidRDefault="008E7360" w:rsidP="008E7360">
            <w:pPr>
              <w:spacing w:line="360" w:lineRule="auto"/>
              <w:rPr>
                <w:rFonts w:ascii="Rockwell" w:hAnsi="Rockwell"/>
                <w:sz w:val="28"/>
                <w:szCs w:val="28"/>
              </w:rPr>
            </w:pPr>
            <w:r w:rsidRPr="008E7360">
              <w:rPr>
                <w:rFonts w:ascii="Rockwell" w:hAnsi="Rockwell"/>
                <w:sz w:val="28"/>
                <w:szCs w:val="28"/>
              </w:rPr>
              <w:t>3. Hand Hygiene Audit</w:t>
            </w:r>
          </w:p>
        </w:tc>
        <w:tc>
          <w:tcPr>
            <w:tcW w:w="0" w:type="auto"/>
            <w:hideMark/>
          </w:tcPr>
          <w:p w14:paraId="51C09321" w14:textId="77777777" w:rsidR="008E7360" w:rsidRPr="008E7360" w:rsidRDefault="008E7360" w:rsidP="008E7360">
            <w:pPr>
              <w:spacing w:line="360" w:lineRule="auto"/>
              <w:rPr>
                <w:rFonts w:ascii="Rockwell" w:hAnsi="Rockwell"/>
                <w:sz w:val="28"/>
                <w:szCs w:val="28"/>
              </w:rPr>
            </w:pPr>
            <w:r w:rsidRPr="008E7360">
              <w:rPr>
                <w:rFonts w:ascii="Rockwell" w:hAnsi="Rockwell"/>
                <w:sz w:val="28"/>
                <w:szCs w:val="28"/>
              </w:rPr>
              <w:t>5</w:t>
            </w:r>
          </w:p>
        </w:tc>
        <w:tc>
          <w:tcPr>
            <w:tcW w:w="0" w:type="auto"/>
            <w:hideMark/>
          </w:tcPr>
          <w:p w14:paraId="63D93885" w14:textId="77777777" w:rsidR="008E7360" w:rsidRPr="008E7360" w:rsidRDefault="008E7360" w:rsidP="008E7360">
            <w:pPr>
              <w:spacing w:line="360" w:lineRule="auto"/>
              <w:rPr>
                <w:rFonts w:ascii="Rockwell" w:hAnsi="Rockwell"/>
                <w:sz w:val="28"/>
                <w:szCs w:val="28"/>
              </w:rPr>
            </w:pPr>
            <w:r w:rsidRPr="008E7360">
              <w:rPr>
                <w:rFonts w:ascii="Rockwell" w:hAnsi="Rockwell"/>
                <w:sz w:val="28"/>
                <w:szCs w:val="28"/>
              </w:rPr>
              <w:t>5</w:t>
            </w:r>
          </w:p>
        </w:tc>
        <w:tc>
          <w:tcPr>
            <w:tcW w:w="0" w:type="auto"/>
            <w:hideMark/>
          </w:tcPr>
          <w:p w14:paraId="1F5A36DC" w14:textId="77777777" w:rsidR="008E7360" w:rsidRPr="008E7360" w:rsidRDefault="008E7360" w:rsidP="008E7360">
            <w:pPr>
              <w:spacing w:line="360" w:lineRule="auto"/>
              <w:rPr>
                <w:rFonts w:ascii="Rockwell" w:hAnsi="Rockwell"/>
                <w:sz w:val="28"/>
                <w:szCs w:val="28"/>
              </w:rPr>
            </w:pPr>
            <w:r w:rsidRPr="008E7360">
              <w:rPr>
                <w:rFonts w:ascii="Rockwell" w:hAnsi="Rockwell"/>
                <w:sz w:val="28"/>
                <w:szCs w:val="28"/>
              </w:rPr>
              <w:t>0</w:t>
            </w:r>
          </w:p>
        </w:tc>
        <w:tc>
          <w:tcPr>
            <w:tcW w:w="0" w:type="auto"/>
            <w:hideMark/>
          </w:tcPr>
          <w:p w14:paraId="62F76904" w14:textId="77777777" w:rsidR="008E7360" w:rsidRPr="008E7360" w:rsidRDefault="008E7360" w:rsidP="008E7360">
            <w:pPr>
              <w:spacing w:line="360" w:lineRule="auto"/>
              <w:rPr>
                <w:rFonts w:ascii="Rockwell" w:hAnsi="Rockwell"/>
                <w:sz w:val="28"/>
                <w:szCs w:val="28"/>
              </w:rPr>
            </w:pPr>
            <w:r w:rsidRPr="008E7360">
              <w:rPr>
                <w:rFonts w:ascii="Rockwell" w:hAnsi="Rockwell"/>
                <w:sz w:val="28"/>
                <w:szCs w:val="28"/>
              </w:rPr>
              <w:t>100%</w:t>
            </w:r>
          </w:p>
        </w:tc>
      </w:tr>
      <w:tr w:rsidR="008E7360" w:rsidRPr="008E7360" w14:paraId="0CB6BA53" w14:textId="77777777" w:rsidTr="008E7360">
        <w:trPr>
          <w:trHeight w:val="436"/>
        </w:trPr>
        <w:tc>
          <w:tcPr>
            <w:tcW w:w="0" w:type="auto"/>
            <w:hideMark/>
          </w:tcPr>
          <w:p w14:paraId="245A09D2" w14:textId="77777777" w:rsidR="008E7360" w:rsidRPr="008E7360" w:rsidRDefault="008E7360" w:rsidP="008E7360">
            <w:pPr>
              <w:spacing w:line="360" w:lineRule="auto"/>
              <w:rPr>
                <w:rFonts w:ascii="Rockwell" w:hAnsi="Rockwell"/>
                <w:sz w:val="28"/>
                <w:szCs w:val="28"/>
              </w:rPr>
            </w:pPr>
            <w:r w:rsidRPr="008E7360">
              <w:rPr>
                <w:rFonts w:ascii="Rockwell" w:hAnsi="Rockwell"/>
                <w:sz w:val="28"/>
                <w:szCs w:val="28"/>
              </w:rPr>
              <w:t>4. PPE Use Monitoring</w:t>
            </w:r>
          </w:p>
        </w:tc>
        <w:tc>
          <w:tcPr>
            <w:tcW w:w="0" w:type="auto"/>
            <w:hideMark/>
          </w:tcPr>
          <w:p w14:paraId="2D379029" w14:textId="77777777" w:rsidR="008E7360" w:rsidRPr="008E7360" w:rsidRDefault="008E7360" w:rsidP="008E7360">
            <w:pPr>
              <w:spacing w:line="360" w:lineRule="auto"/>
              <w:rPr>
                <w:rFonts w:ascii="Rockwell" w:hAnsi="Rockwell"/>
                <w:sz w:val="28"/>
                <w:szCs w:val="28"/>
              </w:rPr>
            </w:pPr>
            <w:r w:rsidRPr="008E7360">
              <w:rPr>
                <w:rFonts w:ascii="Rockwell" w:hAnsi="Rockwell"/>
                <w:sz w:val="28"/>
                <w:szCs w:val="28"/>
              </w:rPr>
              <w:t>4</w:t>
            </w:r>
          </w:p>
        </w:tc>
        <w:tc>
          <w:tcPr>
            <w:tcW w:w="0" w:type="auto"/>
            <w:hideMark/>
          </w:tcPr>
          <w:p w14:paraId="47A24AB0" w14:textId="77777777" w:rsidR="008E7360" w:rsidRPr="008E7360" w:rsidRDefault="008E7360" w:rsidP="008E7360">
            <w:pPr>
              <w:spacing w:line="360" w:lineRule="auto"/>
              <w:rPr>
                <w:rFonts w:ascii="Rockwell" w:hAnsi="Rockwell"/>
                <w:sz w:val="28"/>
                <w:szCs w:val="28"/>
              </w:rPr>
            </w:pPr>
            <w:r w:rsidRPr="008E7360">
              <w:rPr>
                <w:rFonts w:ascii="Rockwell" w:hAnsi="Rockwell"/>
                <w:sz w:val="28"/>
                <w:szCs w:val="28"/>
              </w:rPr>
              <w:t>4</w:t>
            </w:r>
          </w:p>
        </w:tc>
        <w:tc>
          <w:tcPr>
            <w:tcW w:w="0" w:type="auto"/>
            <w:hideMark/>
          </w:tcPr>
          <w:p w14:paraId="38181AF4" w14:textId="77777777" w:rsidR="008E7360" w:rsidRPr="008E7360" w:rsidRDefault="008E7360" w:rsidP="008E7360">
            <w:pPr>
              <w:spacing w:line="360" w:lineRule="auto"/>
              <w:rPr>
                <w:rFonts w:ascii="Rockwell" w:hAnsi="Rockwell"/>
                <w:sz w:val="28"/>
                <w:szCs w:val="28"/>
              </w:rPr>
            </w:pPr>
            <w:r w:rsidRPr="008E7360">
              <w:rPr>
                <w:rFonts w:ascii="Rockwell" w:hAnsi="Rockwell"/>
                <w:sz w:val="28"/>
                <w:szCs w:val="28"/>
              </w:rPr>
              <w:t>0</w:t>
            </w:r>
          </w:p>
        </w:tc>
        <w:tc>
          <w:tcPr>
            <w:tcW w:w="0" w:type="auto"/>
            <w:hideMark/>
          </w:tcPr>
          <w:p w14:paraId="0FCED464" w14:textId="77777777" w:rsidR="008E7360" w:rsidRPr="008E7360" w:rsidRDefault="008E7360" w:rsidP="008E7360">
            <w:pPr>
              <w:spacing w:line="360" w:lineRule="auto"/>
              <w:rPr>
                <w:rFonts w:ascii="Rockwell" w:hAnsi="Rockwell"/>
                <w:sz w:val="28"/>
                <w:szCs w:val="28"/>
              </w:rPr>
            </w:pPr>
            <w:r w:rsidRPr="008E7360">
              <w:rPr>
                <w:rFonts w:ascii="Rockwell" w:hAnsi="Rockwell"/>
                <w:sz w:val="28"/>
                <w:szCs w:val="28"/>
              </w:rPr>
              <w:t>100%</w:t>
            </w:r>
          </w:p>
        </w:tc>
      </w:tr>
      <w:tr w:rsidR="008E7360" w:rsidRPr="008E7360" w14:paraId="41D544E0" w14:textId="77777777" w:rsidTr="008E7360">
        <w:trPr>
          <w:trHeight w:val="50"/>
        </w:trPr>
        <w:tc>
          <w:tcPr>
            <w:tcW w:w="0" w:type="auto"/>
            <w:hideMark/>
          </w:tcPr>
          <w:p w14:paraId="5916CC41" w14:textId="77777777" w:rsidR="008E7360" w:rsidRPr="008E7360" w:rsidRDefault="008E7360" w:rsidP="008E7360">
            <w:pPr>
              <w:spacing w:line="360" w:lineRule="auto"/>
              <w:rPr>
                <w:rFonts w:ascii="Rockwell" w:hAnsi="Rockwell"/>
                <w:sz w:val="28"/>
                <w:szCs w:val="28"/>
              </w:rPr>
            </w:pPr>
            <w:r w:rsidRPr="008E7360">
              <w:rPr>
                <w:rFonts w:ascii="Rockwell" w:hAnsi="Rockwell"/>
                <w:sz w:val="28"/>
                <w:szCs w:val="28"/>
              </w:rPr>
              <w:t>5. Waste Segregation</w:t>
            </w:r>
          </w:p>
        </w:tc>
        <w:tc>
          <w:tcPr>
            <w:tcW w:w="0" w:type="auto"/>
            <w:hideMark/>
          </w:tcPr>
          <w:p w14:paraId="5AA6CC1A" w14:textId="77777777" w:rsidR="008E7360" w:rsidRPr="008E7360" w:rsidRDefault="008E7360" w:rsidP="008E7360">
            <w:pPr>
              <w:spacing w:line="360" w:lineRule="auto"/>
              <w:rPr>
                <w:rFonts w:ascii="Rockwell" w:hAnsi="Rockwell"/>
                <w:sz w:val="28"/>
                <w:szCs w:val="28"/>
              </w:rPr>
            </w:pPr>
            <w:r w:rsidRPr="008E7360">
              <w:rPr>
                <w:rFonts w:ascii="Rockwell" w:hAnsi="Rockwell"/>
                <w:sz w:val="28"/>
                <w:szCs w:val="28"/>
              </w:rPr>
              <w:t>4</w:t>
            </w:r>
          </w:p>
        </w:tc>
        <w:tc>
          <w:tcPr>
            <w:tcW w:w="0" w:type="auto"/>
            <w:hideMark/>
          </w:tcPr>
          <w:p w14:paraId="4BF0F044" w14:textId="77777777" w:rsidR="008E7360" w:rsidRPr="008E7360" w:rsidRDefault="008E7360" w:rsidP="008E7360">
            <w:pPr>
              <w:spacing w:line="360" w:lineRule="auto"/>
              <w:rPr>
                <w:rFonts w:ascii="Rockwell" w:hAnsi="Rockwell"/>
                <w:sz w:val="28"/>
                <w:szCs w:val="28"/>
              </w:rPr>
            </w:pPr>
            <w:r w:rsidRPr="008E7360">
              <w:rPr>
                <w:rFonts w:ascii="Rockwell" w:hAnsi="Rockwell"/>
                <w:sz w:val="28"/>
                <w:szCs w:val="28"/>
              </w:rPr>
              <w:t>3</w:t>
            </w:r>
          </w:p>
        </w:tc>
        <w:tc>
          <w:tcPr>
            <w:tcW w:w="0" w:type="auto"/>
            <w:hideMark/>
          </w:tcPr>
          <w:p w14:paraId="753E2CFA" w14:textId="77777777" w:rsidR="008E7360" w:rsidRPr="008E7360" w:rsidRDefault="008E7360" w:rsidP="008E7360">
            <w:pPr>
              <w:spacing w:line="360" w:lineRule="auto"/>
              <w:rPr>
                <w:rFonts w:ascii="Rockwell" w:hAnsi="Rockwell"/>
                <w:sz w:val="28"/>
                <w:szCs w:val="28"/>
              </w:rPr>
            </w:pPr>
            <w:r w:rsidRPr="008E7360">
              <w:rPr>
                <w:rFonts w:ascii="Rockwell" w:hAnsi="Rockwell"/>
                <w:sz w:val="28"/>
                <w:szCs w:val="28"/>
              </w:rPr>
              <w:t>1</w:t>
            </w:r>
          </w:p>
        </w:tc>
        <w:tc>
          <w:tcPr>
            <w:tcW w:w="0" w:type="auto"/>
            <w:hideMark/>
          </w:tcPr>
          <w:p w14:paraId="6D506F93" w14:textId="77777777" w:rsidR="008E7360" w:rsidRPr="008E7360" w:rsidRDefault="008E7360" w:rsidP="008E7360">
            <w:pPr>
              <w:spacing w:line="360" w:lineRule="auto"/>
              <w:rPr>
                <w:rFonts w:ascii="Rockwell" w:hAnsi="Rockwell"/>
                <w:sz w:val="28"/>
                <w:szCs w:val="28"/>
              </w:rPr>
            </w:pPr>
            <w:r w:rsidRPr="008E7360">
              <w:rPr>
                <w:rFonts w:ascii="Rockwell" w:hAnsi="Rockwell"/>
                <w:sz w:val="28"/>
                <w:szCs w:val="28"/>
              </w:rPr>
              <w:t>75%</w:t>
            </w:r>
          </w:p>
        </w:tc>
      </w:tr>
      <w:tr w:rsidR="008E7360" w:rsidRPr="008E7360" w14:paraId="64B8273C" w14:textId="77777777" w:rsidTr="008E7360">
        <w:trPr>
          <w:trHeight w:val="436"/>
        </w:trPr>
        <w:tc>
          <w:tcPr>
            <w:tcW w:w="0" w:type="auto"/>
            <w:hideMark/>
          </w:tcPr>
          <w:p w14:paraId="2DC02390" w14:textId="77777777" w:rsidR="008E7360" w:rsidRPr="008E7360" w:rsidRDefault="008E7360" w:rsidP="008E7360">
            <w:pPr>
              <w:spacing w:line="360" w:lineRule="auto"/>
              <w:rPr>
                <w:rFonts w:ascii="Rockwell" w:hAnsi="Rockwell"/>
                <w:sz w:val="28"/>
                <w:szCs w:val="28"/>
              </w:rPr>
            </w:pPr>
            <w:r w:rsidRPr="008E7360">
              <w:rPr>
                <w:rFonts w:ascii="Rockwell" w:hAnsi="Rockwell"/>
                <w:sz w:val="28"/>
                <w:szCs w:val="28"/>
              </w:rPr>
              <w:t>6. Transmission-Based Precautions</w:t>
            </w:r>
          </w:p>
        </w:tc>
        <w:tc>
          <w:tcPr>
            <w:tcW w:w="0" w:type="auto"/>
            <w:hideMark/>
          </w:tcPr>
          <w:p w14:paraId="3F210B27" w14:textId="77777777" w:rsidR="008E7360" w:rsidRPr="008E7360" w:rsidRDefault="008E7360" w:rsidP="008E7360">
            <w:pPr>
              <w:spacing w:line="360" w:lineRule="auto"/>
              <w:rPr>
                <w:rFonts w:ascii="Rockwell" w:hAnsi="Rockwell"/>
                <w:sz w:val="28"/>
                <w:szCs w:val="28"/>
              </w:rPr>
            </w:pPr>
            <w:r w:rsidRPr="008E7360">
              <w:rPr>
                <w:rFonts w:ascii="Rockwell" w:hAnsi="Rockwell"/>
                <w:sz w:val="28"/>
                <w:szCs w:val="28"/>
              </w:rPr>
              <w:t>16</w:t>
            </w:r>
          </w:p>
        </w:tc>
        <w:tc>
          <w:tcPr>
            <w:tcW w:w="0" w:type="auto"/>
            <w:hideMark/>
          </w:tcPr>
          <w:p w14:paraId="71B5A7B7" w14:textId="77777777" w:rsidR="008E7360" w:rsidRPr="008E7360" w:rsidRDefault="008E7360" w:rsidP="008E7360">
            <w:pPr>
              <w:spacing w:line="360" w:lineRule="auto"/>
              <w:rPr>
                <w:rFonts w:ascii="Rockwell" w:hAnsi="Rockwell"/>
                <w:sz w:val="28"/>
                <w:szCs w:val="28"/>
              </w:rPr>
            </w:pPr>
            <w:r w:rsidRPr="008E7360">
              <w:rPr>
                <w:rFonts w:ascii="Rockwell" w:hAnsi="Rockwell"/>
                <w:sz w:val="28"/>
                <w:szCs w:val="28"/>
              </w:rPr>
              <w:t>14</w:t>
            </w:r>
          </w:p>
        </w:tc>
        <w:tc>
          <w:tcPr>
            <w:tcW w:w="0" w:type="auto"/>
            <w:hideMark/>
          </w:tcPr>
          <w:p w14:paraId="60EFFB6F" w14:textId="77777777" w:rsidR="008E7360" w:rsidRPr="008E7360" w:rsidRDefault="008E7360" w:rsidP="008E7360">
            <w:pPr>
              <w:spacing w:line="360" w:lineRule="auto"/>
              <w:rPr>
                <w:rFonts w:ascii="Rockwell" w:hAnsi="Rockwell"/>
                <w:sz w:val="28"/>
                <w:szCs w:val="28"/>
              </w:rPr>
            </w:pPr>
            <w:r w:rsidRPr="008E7360">
              <w:rPr>
                <w:rFonts w:ascii="Rockwell" w:hAnsi="Rockwell"/>
                <w:sz w:val="28"/>
                <w:szCs w:val="28"/>
              </w:rPr>
              <w:t>2</w:t>
            </w:r>
          </w:p>
        </w:tc>
        <w:tc>
          <w:tcPr>
            <w:tcW w:w="0" w:type="auto"/>
            <w:hideMark/>
          </w:tcPr>
          <w:p w14:paraId="718DB726" w14:textId="77777777" w:rsidR="008E7360" w:rsidRPr="008E7360" w:rsidRDefault="008E7360" w:rsidP="008E7360">
            <w:pPr>
              <w:spacing w:line="360" w:lineRule="auto"/>
              <w:rPr>
                <w:rFonts w:ascii="Rockwell" w:hAnsi="Rockwell"/>
                <w:sz w:val="28"/>
                <w:szCs w:val="28"/>
              </w:rPr>
            </w:pPr>
            <w:r w:rsidRPr="008E7360">
              <w:rPr>
                <w:rFonts w:ascii="Rockwell" w:hAnsi="Rockwell"/>
                <w:sz w:val="28"/>
                <w:szCs w:val="28"/>
              </w:rPr>
              <w:t>87.5%</w:t>
            </w:r>
          </w:p>
        </w:tc>
      </w:tr>
      <w:tr w:rsidR="008E7360" w:rsidRPr="008E7360" w14:paraId="2BF9C75D" w14:textId="77777777" w:rsidTr="008E7360">
        <w:trPr>
          <w:trHeight w:val="436"/>
        </w:trPr>
        <w:tc>
          <w:tcPr>
            <w:tcW w:w="0" w:type="auto"/>
            <w:hideMark/>
          </w:tcPr>
          <w:p w14:paraId="07C62183" w14:textId="77777777" w:rsidR="008E7360" w:rsidRPr="008E7360" w:rsidRDefault="008E7360" w:rsidP="008E7360">
            <w:pPr>
              <w:spacing w:line="360" w:lineRule="auto"/>
              <w:rPr>
                <w:rFonts w:ascii="Rockwell" w:hAnsi="Rockwell"/>
                <w:sz w:val="28"/>
                <w:szCs w:val="28"/>
              </w:rPr>
            </w:pPr>
            <w:r w:rsidRPr="008E7360">
              <w:rPr>
                <w:rFonts w:ascii="Rockwell" w:hAnsi="Rockwell"/>
                <w:sz w:val="28"/>
                <w:szCs w:val="28"/>
              </w:rPr>
              <w:t>7. Environmental Cleaning</w:t>
            </w:r>
          </w:p>
        </w:tc>
        <w:tc>
          <w:tcPr>
            <w:tcW w:w="0" w:type="auto"/>
            <w:hideMark/>
          </w:tcPr>
          <w:p w14:paraId="5700439A" w14:textId="77777777" w:rsidR="008E7360" w:rsidRPr="008E7360" w:rsidRDefault="008E7360" w:rsidP="008E7360">
            <w:pPr>
              <w:spacing w:line="360" w:lineRule="auto"/>
              <w:rPr>
                <w:rFonts w:ascii="Rockwell" w:hAnsi="Rockwell"/>
                <w:sz w:val="28"/>
                <w:szCs w:val="28"/>
              </w:rPr>
            </w:pPr>
            <w:r w:rsidRPr="008E7360">
              <w:rPr>
                <w:rFonts w:ascii="Rockwell" w:hAnsi="Rockwell"/>
                <w:sz w:val="28"/>
                <w:szCs w:val="28"/>
              </w:rPr>
              <w:t>5</w:t>
            </w:r>
          </w:p>
        </w:tc>
        <w:tc>
          <w:tcPr>
            <w:tcW w:w="0" w:type="auto"/>
            <w:hideMark/>
          </w:tcPr>
          <w:p w14:paraId="402E60CF" w14:textId="77777777" w:rsidR="008E7360" w:rsidRPr="008E7360" w:rsidRDefault="008E7360" w:rsidP="008E7360">
            <w:pPr>
              <w:spacing w:line="360" w:lineRule="auto"/>
              <w:rPr>
                <w:rFonts w:ascii="Rockwell" w:hAnsi="Rockwell"/>
                <w:sz w:val="28"/>
                <w:szCs w:val="28"/>
              </w:rPr>
            </w:pPr>
            <w:r w:rsidRPr="008E7360">
              <w:rPr>
                <w:rFonts w:ascii="Rockwell" w:hAnsi="Rockwell"/>
                <w:sz w:val="28"/>
                <w:szCs w:val="28"/>
              </w:rPr>
              <w:t>5</w:t>
            </w:r>
          </w:p>
        </w:tc>
        <w:tc>
          <w:tcPr>
            <w:tcW w:w="0" w:type="auto"/>
            <w:hideMark/>
          </w:tcPr>
          <w:p w14:paraId="4E44B453" w14:textId="77777777" w:rsidR="008E7360" w:rsidRPr="008E7360" w:rsidRDefault="008E7360" w:rsidP="008E7360">
            <w:pPr>
              <w:spacing w:line="360" w:lineRule="auto"/>
              <w:rPr>
                <w:rFonts w:ascii="Rockwell" w:hAnsi="Rockwell"/>
                <w:sz w:val="28"/>
                <w:szCs w:val="28"/>
              </w:rPr>
            </w:pPr>
            <w:r w:rsidRPr="008E7360">
              <w:rPr>
                <w:rFonts w:ascii="Rockwell" w:hAnsi="Rockwell"/>
                <w:sz w:val="28"/>
                <w:szCs w:val="28"/>
              </w:rPr>
              <w:t>0</w:t>
            </w:r>
          </w:p>
        </w:tc>
        <w:tc>
          <w:tcPr>
            <w:tcW w:w="0" w:type="auto"/>
            <w:hideMark/>
          </w:tcPr>
          <w:p w14:paraId="3CC6A6CC" w14:textId="77777777" w:rsidR="008E7360" w:rsidRPr="008E7360" w:rsidRDefault="008E7360" w:rsidP="008E7360">
            <w:pPr>
              <w:spacing w:line="360" w:lineRule="auto"/>
              <w:rPr>
                <w:rFonts w:ascii="Rockwell" w:hAnsi="Rockwell"/>
                <w:sz w:val="28"/>
                <w:szCs w:val="28"/>
              </w:rPr>
            </w:pPr>
            <w:r w:rsidRPr="008E7360">
              <w:rPr>
                <w:rFonts w:ascii="Rockwell" w:hAnsi="Rockwell"/>
                <w:sz w:val="28"/>
                <w:szCs w:val="28"/>
              </w:rPr>
              <w:t>100%</w:t>
            </w:r>
          </w:p>
        </w:tc>
      </w:tr>
      <w:tr w:rsidR="008E7360" w:rsidRPr="008E7360" w14:paraId="2D0CFCA0" w14:textId="77777777" w:rsidTr="008E7360">
        <w:trPr>
          <w:trHeight w:val="445"/>
        </w:trPr>
        <w:tc>
          <w:tcPr>
            <w:tcW w:w="0" w:type="auto"/>
            <w:hideMark/>
          </w:tcPr>
          <w:p w14:paraId="2861F9CD" w14:textId="77777777" w:rsidR="008E7360" w:rsidRPr="008E7360" w:rsidRDefault="008E7360" w:rsidP="008E7360">
            <w:pPr>
              <w:spacing w:after="160" w:line="360" w:lineRule="auto"/>
              <w:rPr>
                <w:rFonts w:ascii="Rockwell" w:hAnsi="Rockwell"/>
                <w:sz w:val="28"/>
                <w:szCs w:val="28"/>
              </w:rPr>
            </w:pPr>
            <w:r w:rsidRPr="008E7360">
              <w:rPr>
                <w:rFonts w:ascii="Rockwell" w:hAnsi="Rockwell"/>
                <w:b/>
                <w:bCs/>
                <w:sz w:val="28"/>
                <w:szCs w:val="28"/>
              </w:rPr>
              <w:t>Total</w:t>
            </w:r>
          </w:p>
        </w:tc>
        <w:tc>
          <w:tcPr>
            <w:tcW w:w="0" w:type="auto"/>
            <w:hideMark/>
          </w:tcPr>
          <w:p w14:paraId="51B8FE18" w14:textId="77777777" w:rsidR="008E7360" w:rsidRPr="008E7360" w:rsidRDefault="008E7360" w:rsidP="008E7360">
            <w:pPr>
              <w:spacing w:after="160" w:line="360" w:lineRule="auto"/>
              <w:rPr>
                <w:rFonts w:ascii="Rockwell" w:hAnsi="Rockwell"/>
                <w:sz w:val="28"/>
                <w:szCs w:val="28"/>
              </w:rPr>
            </w:pPr>
            <w:r w:rsidRPr="008E7360">
              <w:rPr>
                <w:rFonts w:ascii="Rockwell" w:hAnsi="Rockwell"/>
                <w:sz w:val="28"/>
                <w:szCs w:val="28"/>
              </w:rPr>
              <w:t>57</w:t>
            </w:r>
          </w:p>
        </w:tc>
        <w:tc>
          <w:tcPr>
            <w:tcW w:w="0" w:type="auto"/>
            <w:hideMark/>
          </w:tcPr>
          <w:p w14:paraId="40F8C9A4" w14:textId="77777777" w:rsidR="008E7360" w:rsidRPr="008E7360" w:rsidRDefault="008E7360" w:rsidP="008E7360">
            <w:pPr>
              <w:spacing w:after="160" w:line="360" w:lineRule="auto"/>
              <w:rPr>
                <w:rFonts w:ascii="Rockwell" w:hAnsi="Rockwell"/>
                <w:sz w:val="28"/>
                <w:szCs w:val="28"/>
              </w:rPr>
            </w:pPr>
            <w:r w:rsidRPr="008E7360">
              <w:rPr>
                <w:rFonts w:ascii="Rockwell" w:hAnsi="Rockwell"/>
                <w:sz w:val="28"/>
                <w:szCs w:val="28"/>
              </w:rPr>
              <w:t>52</w:t>
            </w:r>
          </w:p>
        </w:tc>
        <w:tc>
          <w:tcPr>
            <w:tcW w:w="0" w:type="auto"/>
            <w:hideMark/>
          </w:tcPr>
          <w:p w14:paraId="235C7A23" w14:textId="77777777" w:rsidR="008E7360" w:rsidRPr="008E7360" w:rsidRDefault="008E7360" w:rsidP="008E7360">
            <w:pPr>
              <w:spacing w:after="160" w:line="360" w:lineRule="auto"/>
              <w:rPr>
                <w:rFonts w:ascii="Rockwell" w:hAnsi="Rockwell"/>
                <w:sz w:val="28"/>
                <w:szCs w:val="28"/>
              </w:rPr>
            </w:pPr>
            <w:r w:rsidRPr="008E7360">
              <w:rPr>
                <w:rFonts w:ascii="Rockwell" w:hAnsi="Rockwell"/>
                <w:sz w:val="28"/>
                <w:szCs w:val="28"/>
              </w:rPr>
              <w:t>5</w:t>
            </w:r>
          </w:p>
        </w:tc>
        <w:tc>
          <w:tcPr>
            <w:tcW w:w="0" w:type="auto"/>
            <w:hideMark/>
          </w:tcPr>
          <w:p w14:paraId="2DC65739" w14:textId="77777777" w:rsidR="008E7360" w:rsidRPr="008E7360" w:rsidRDefault="008E7360" w:rsidP="008E7360">
            <w:pPr>
              <w:spacing w:after="160" w:line="360" w:lineRule="auto"/>
              <w:rPr>
                <w:rFonts w:ascii="Rockwell" w:hAnsi="Rockwell"/>
                <w:sz w:val="28"/>
                <w:szCs w:val="28"/>
              </w:rPr>
            </w:pPr>
            <w:r w:rsidRPr="008E7360">
              <w:rPr>
                <w:rFonts w:ascii="Rockwell" w:hAnsi="Rockwell"/>
                <w:b/>
                <w:bCs/>
                <w:sz w:val="28"/>
                <w:szCs w:val="28"/>
              </w:rPr>
              <w:t>91.2%</w:t>
            </w:r>
          </w:p>
        </w:tc>
      </w:tr>
    </w:tbl>
    <w:p w14:paraId="40FBD8AA" w14:textId="77777777" w:rsidR="00B43213" w:rsidRDefault="00B43213" w:rsidP="00211602">
      <w:pPr>
        <w:pStyle w:val="NoSpacing"/>
      </w:pPr>
    </w:p>
    <w:p w14:paraId="48BE8752" w14:textId="750A038A" w:rsidR="00B43213" w:rsidRDefault="00B43213" w:rsidP="0066617F">
      <w:pPr>
        <w:pStyle w:val="Heading1"/>
        <w:spacing w:line="360" w:lineRule="auto"/>
        <w:rPr>
          <w:rFonts w:ascii="Rockwell" w:hAnsi="Rockwell"/>
          <w:b/>
          <w:bCs/>
          <w:sz w:val="32"/>
          <w:szCs w:val="32"/>
        </w:rPr>
      </w:pPr>
      <w:bookmarkStart w:id="11" w:name="_Toc204470679"/>
      <w:r w:rsidRPr="00211602">
        <w:rPr>
          <w:rFonts w:ascii="Rockwell" w:hAnsi="Rockwell"/>
          <w:b/>
          <w:bCs/>
          <w:sz w:val="32"/>
          <w:szCs w:val="32"/>
        </w:rPr>
        <w:lastRenderedPageBreak/>
        <w:t>5. Discussion</w:t>
      </w:r>
      <w:bookmarkEnd w:id="11"/>
      <w:r w:rsidRPr="00211602">
        <w:rPr>
          <w:rFonts w:ascii="Rockwell" w:hAnsi="Rockwell"/>
          <w:b/>
          <w:bCs/>
          <w:sz w:val="32"/>
          <w:szCs w:val="32"/>
        </w:rPr>
        <w:t xml:space="preserve"> </w:t>
      </w:r>
    </w:p>
    <w:p w14:paraId="1216FE77" w14:textId="77777777" w:rsidR="007A590A" w:rsidRPr="007A590A" w:rsidRDefault="007A590A" w:rsidP="007A590A">
      <w:pPr>
        <w:spacing w:line="360" w:lineRule="auto"/>
        <w:jc w:val="both"/>
        <w:rPr>
          <w:rFonts w:ascii="Rockwell" w:hAnsi="Rockwell"/>
          <w:sz w:val="28"/>
          <w:szCs w:val="28"/>
        </w:rPr>
      </w:pPr>
      <w:r w:rsidRPr="007A590A">
        <w:rPr>
          <w:rFonts w:ascii="Rockwell" w:hAnsi="Rockwell"/>
          <w:sz w:val="28"/>
          <w:szCs w:val="28"/>
        </w:rPr>
        <w:t xml:space="preserve">The IPC compliance rate of </w:t>
      </w:r>
      <w:r w:rsidRPr="007A590A">
        <w:rPr>
          <w:rFonts w:ascii="Rockwell" w:hAnsi="Rockwell"/>
          <w:b/>
          <w:bCs/>
          <w:sz w:val="28"/>
          <w:szCs w:val="28"/>
        </w:rPr>
        <w:t>91.2%</w:t>
      </w:r>
      <w:r w:rsidRPr="007A590A">
        <w:rPr>
          <w:rFonts w:ascii="Rockwell" w:hAnsi="Rockwell"/>
          <w:sz w:val="28"/>
          <w:szCs w:val="28"/>
        </w:rPr>
        <w:t xml:space="preserve"> achieved by Deder General Hospital reflects commendable adherence to infection prevention standards, especially in comparison with findings from similar healthcare settings in Ethiopia and beyond. A study conducted by </w:t>
      </w:r>
      <w:proofErr w:type="spellStart"/>
      <w:r w:rsidRPr="007A590A">
        <w:rPr>
          <w:rFonts w:ascii="Rockwell" w:hAnsi="Rockwell"/>
          <w:b/>
          <w:bCs/>
          <w:i/>
          <w:iCs/>
          <w:color w:val="00B0F0"/>
          <w:sz w:val="28"/>
          <w:szCs w:val="28"/>
        </w:rPr>
        <w:t>Debere</w:t>
      </w:r>
      <w:proofErr w:type="spellEnd"/>
      <w:r w:rsidRPr="007A590A">
        <w:rPr>
          <w:rFonts w:ascii="Rockwell" w:hAnsi="Rockwell"/>
          <w:b/>
          <w:bCs/>
          <w:i/>
          <w:iCs/>
          <w:color w:val="00B0F0"/>
          <w:sz w:val="28"/>
          <w:szCs w:val="28"/>
        </w:rPr>
        <w:t xml:space="preserve"> et al. (2018</w:t>
      </w:r>
      <w:r w:rsidRPr="007A590A">
        <w:rPr>
          <w:rFonts w:ascii="Rockwell" w:hAnsi="Rockwell"/>
          <w:sz w:val="28"/>
          <w:szCs w:val="28"/>
        </w:rPr>
        <w:t>) in Addis Ababa public hospitals reported suboptimal waste management practices, with compliance levels averaging below 70%—notably lower than the 75% achieved in Deder General Hospital. This suggests that, while improvement is needed, Deder is performing comparatively better in managing healthcare waste. Furthermore, areas like hand hygiene and PPE usage scored 100% compliance, which significantly exceeds national averages, where hand hygiene compliance often ranges between 30–50% according to WHO’s 2022 Global IPC Report.</w:t>
      </w:r>
    </w:p>
    <w:p w14:paraId="172CDA2C" w14:textId="77777777" w:rsidR="007A590A" w:rsidRDefault="007A590A" w:rsidP="007A590A">
      <w:pPr>
        <w:spacing w:line="360" w:lineRule="auto"/>
        <w:jc w:val="both"/>
        <w:rPr>
          <w:rFonts w:ascii="Rockwell" w:hAnsi="Rockwell"/>
          <w:sz w:val="28"/>
          <w:szCs w:val="28"/>
        </w:rPr>
      </w:pPr>
      <w:r w:rsidRPr="007A590A">
        <w:rPr>
          <w:rFonts w:ascii="Rockwell" w:hAnsi="Rockwell"/>
          <w:sz w:val="28"/>
          <w:szCs w:val="28"/>
        </w:rPr>
        <w:t xml:space="preserve">International literature consistently highlights hand hygiene as a cornerstone of IPC. </w:t>
      </w:r>
      <w:r w:rsidRPr="007A590A">
        <w:rPr>
          <w:rFonts w:ascii="Rockwell" w:hAnsi="Rockwell"/>
          <w:b/>
          <w:bCs/>
          <w:i/>
          <w:iCs/>
          <w:color w:val="00B0F0"/>
          <w:sz w:val="28"/>
          <w:szCs w:val="28"/>
        </w:rPr>
        <w:t>Pittet et al. (2022)</w:t>
      </w:r>
      <w:r w:rsidRPr="007A590A">
        <w:rPr>
          <w:rFonts w:ascii="Rockwell" w:hAnsi="Rockwell"/>
          <w:color w:val="00B0F0"/>
          <w:sz w:val="28"/>
          <w:szCs w:val="28"/>
        </w:rPr>
        <w:t xml:space="preserve"> </w:t>
      </w:r>
      <w:r w:rsidRPr="007A590A">
        <w:rPr>
          <w:rFonts w:ascii="Rockwell" w:hAnsi="Rockwell"/>
          <w:sz w:val="28"/>
          <w:szCs w:val="28"/>
        </w:rPr>
        <w:t xml:space="preserve">noted that complete adherence to hand hygiene protocols is rarely achieved, even in high-resource settings, making the perfect score in Deder particularly notable. This success could be attributed to effective local training programs and supervision. Similarly, full compliance with PPE use aligns well with findings from </w:t>
      </w:r>
      <w:r w:rsidRPr="007A590A">
        <w:rPr>
          <w:rFonts w:ascii="Rockwell" w:hAnsi="Rockwell"/>
          <w:b/>
          <w:bCs/>
          <w:i/>
          <w:iCs/>
          <w:color w:val="00B0F0"/>
          <w:sz w:val="28"/>
          <w:szCs w:val="28"/>
        </w:rPr>
        <w:t>Chughtai et al. (2020),</w:t>
      </w:r>
      <w:r w:rsidRPr="007A590A">
        <w:rPr>
          <w:rFonts w:ascii="Rockwell" w:hAnsi="Rockwell"/>
          <w:color w:val="00B0F0"/>
          <w:sz w:val="28"/>
          <w:szCs w:val="28"/>
        </w:rPr>
        <w:t xml:space="preserve"> </w:t>
      </w:r>
      <w:r w:rsidRPr="007A590A">
        <w:rPr>
          <w:rFonts w:ascii="Rockwell" w:hAnsi="Rockwell"/>
          <w:sz w:val="28"/>
          <w:szCs w:val="28"/>
        </w:rPr>
        <w:t>who emphasized that consistent PPE adherence among healthcare workers is associated with decreased transmission of respiratory pathogens in clinical settings. These results indicate that Deder General Hospital has effectively translated global IPC principles into actionable and sustainable local practices.</w:t>
      </w:r>
    </w:p>
    <w:p w14:paraId="1D920890" w14:textId="77777777" w:rsidR="007A590A" w:rsidRDefault="007A590A" w:rsidP="007A590A">
      <w:pPr>
        <w:spacing w:line="360" w:lineRule="auto"/>
        <w:jc w:val="both"/>
        <w:rPr>
          <w:rFonts w:ascii="Rockwell" w:hAnsi="Rockwell"/>
          <w:sz w:val="28"/>
          <w:szCs w:val="28"/>
        </w:rPr>
      </w:pPr>
    </w:p>
    <w:p w14:paraId="0DCD1DA5" w14:textId="77777777" w:rsidR="007A590A" w:rsidRDefault="007A590A" w:rsidP="007A590A">
      <w:pPr>
        <w:spacing w:line="360" w:lineRule="auto"/>
        <w:jc w:val="both"/>
        <w:rPr>
          <w:rFonts w:ascii="Rockwell" w:hAnsi="Rockwell"/>
          <w:sz w:val="28"/>
          <w:szCs w:val="28"/>
        </w:rPr>
      </w:pPr>
    </w:p>
    <w:p w14:paraId="6B7B0E02" w14:textId="77777777" w:rsidR="007A590A" w:rsidRPr="007A590A" w:rsidRDefault="007A590A" w:rsidP="007A590A">
      <w:pPr>
        <w:spacing w:line="360" w:lineRule="auto"/>
        <w:jc w:val="both"/>
        <w:rPr>
          <w:rFonts w:ascii="Rockwell" w:hAnsi="Rockwell"/>
          <w:sz w:val="28"/>
          <w:szCs w:val="28"/>
        </w:rPr>
      </w:pPr>
    </w:p>
    <w:p w14:paraId="2EBA93A4" w14:textId="77777777" w:rsidR="007A590A" w:rsidRPr="007A590A" w:rsidRDefault="007A590A" w:rsidP="007A590A">
      <w:pPr>
        <w:spacing w:line="360" w:lineRule="auto"/>
        <w:jc w:val="both"/>
        <w:rPr>
          <w:rFonts w:ascii="Rockwell" w:hAnsi="Rockwell"/>
          <w:sz w:val="28"/>
          <w:szCs w:val="28"/>
        </w:rPr>
      </w:pPr>
      <w:r w:rsidRPr="007A590A">
        <w:rPr>
          <w:rFonts w:ascii="Rockwell" w:hAnsi="Rockwell"/>
          <w:sz w:val="28"/>
          <w:szCs w:val="28"/>
        </w:rPr>
        <w:lastRenderedPageBreak/>
        <w:t xml:space="preserve">However, the hospital still faces challenges in areas like transmission-based precautions and waste segregation. According to </w:t>
      </w:r>
      <w:r w:rsidRPr="007A590A">
        <w:rPr>
          <w:rFonts w:ascii="Rockwell" w:hAnsi="Rockwell"/>
          <w:b/>
          <w:bCs/>
          <w:i/>
          <w:iCs/>
          <w:color w:val="00B0F0"/>
          <w:sz w:val="28"/>
          <w:szCs w:val="28"/>
        </w:rPr>
        <w:t>Weber et al. (2019</w:t>
      </w:r>
      <w:r w:rsidRPr="007A590A">
        <w:rPr>
          <w:rFonts w:ascii="Rockwell" w:hAnsi="Rockwell"/>
          <w:sz w:val="28"/>
          <w:szCs w:val="28"/>
        </w:rPr>
        <w:t xml:space="preserve">) and Otter </w:t>
      </w:r>
      <w:r w:rsidRPr="007A590A">
        <w:rPr>
          <w:rFonts w:ascii="Rockwell" w:hAnsi="Rockwell"/>
          <w:b/>
          <w:bCs/>
          <w:i/>
          <w:iCs/>
          <w:color w:val="00B0F0"/>
          <w:sz w:val="28"/>
          <w:szCs w:val="28"/>
        </w:rPr>
        <w:t>et al. (2020),</w:t>
      </w:r>
      <w:r w:rsidRPr="007A590A">
        <w:rPr>
          <w:rFonts w:ascii="Rockwell" w:hAnsi="Rockwell"/>
          <w:color w:val="00B0F0"/>
          <w:sz w:val="28"/>
          <w:szCs w:val="28"/>
        </w:rPr>
        <w:t xml:space="preserve"> </w:t>
      </w:r>
      <w:r w:rsidRPr="007A590A">
        <w:rPr>
          <w:rFonts w:ascii="Rockwell" w:hAnsi="Rockwell"/>
          <w:sz w:val="28"/>
          <w:szCs w:val="28"/>
        </w:rPr>
        <w:t xml:space="preserve">lapses in airborne and droplet precaution practices contribute significantly to hospital-acquired infections. Deder’s 87.5% compliance in this domain signals progress but also underscores the need for reinforcement through refresher training and clear protocols. Likewise, incomplete waste segregation remains a common issue across many low- and middle-income countries due to infrastructure and policy limitations, as highlighted by the CDC </w:t>
      </w:r>
      <w:r w:rsidRPr="007A590A">
        <w:rPr>
          <w:rFonts w:ascii="Rockwell" w:hAnsi="Rockwell"/>
          <w:b/>
          <w:bCs/>
          <w:i/>
          <w:iCs/>
          <w:color w:val="00B0F0"/>
          <w:sz w:val="28"/>
          <w:szCs w:val="28"/>
        </w:rPr>
        <w:t xml:space="preserve">(2020). </w:t>
      </w:r>
      <w:r w:rsidRPr="007A590A">
        <w:rPr>
          <w:rFonts w:ascii="Rockwell" w:hAnsi="Rockwell"/>
          <w:sz w:val="28"/>
          <w:szCs w:val="28"/>
        </w:rPr>
        <w:t>Addressing these gaps at Deder General Hospital will require both resource investment and continuous staff capacity building to ensure sustained IPC improvements aligned with both national standards and global best practices.</w:t>
      </w:r>
    </w:p>
    <w:p w14:paraId="37D47486" w14:textId="0CFD9DB0" w:rsidR="00B43213" w:rsidRPr="00211602" w:rsidRDefault="00B43213" w:rsidP="007A590A">
      <w:pPr>
        <w:pStyle w:val="Heading1"/>
        <w:spacing w:before="0" w:line="360" w:lineRule="auto"/>
        <w:rPr>
          <w:rFonts w:ascii="Rockwell" w:hAnsi="Rockwell"/>
          <w:b/>
          <w:bCs/>
          <w:sz w:val="32"/>
          <w:szCs w:val="32"/>
        </w:rPr>
      </w:pPr>
      <w:bookmarkStart w:id="12" w:name="_Toc204470680"/>
      <w:r w:rsidRPr="00211602">
        <w:rPr>
          <w:rFonts w:ascii="Rockwell" w:hAnsi="Rockwell"/>
          <w:b/>
          <w:bCs/>
          <w:sz w:val="32"/>
          <w:szCs w:val="32"/>
        </w:rPr>
        <w:t>6. Recommendations</w:t>
      </w:r>
      <w:bookmarkEnd w:id="12"/>
    </w:p>
    <w:p w14:paraId="7921E04E" w14:textId="77777777" w:rsidR="008E7360" w:rsidRPr="007A590A" w:rsidRDefault="008E7360" w:rsidP="007A590A">
      <w:pPr>
        <w:pStyle w:val="ListParagraph"/>
        <w:numPr>
          <w:ilvl w:val="0"/>
          <w:numId w:val="21"/>
        </w:numPr>
        <w:spacing w:after="0" w:line="360" w:lineRule="auto"/>
        <w:jc w:val="both"/>
        <w:rPr>
          <w:rFonts w:ascii="Rockwell" w:hAnsi="Rockwell"/>
          <w:sz w:val="28"/>
          <w:szCs w:val="28"/>
        </w:rPr>
      </w:pPr>
      <w:r w:rsidRPr="007A590A">
        <w:rPr>
          <w:rFonts w:ascii="Rockwell" w:hAnsi="Rockwell"/>
          <w:sz w:val="28"/>
          <w:szCs w:val="28"/>
        </w:rPr>
        <w:t>Procure and place chemical waste bins in all relevant service areas.</w:t>
      </w:r>
    </w:p>
    <w:p w14:paraId="23A70EAB" w14:textId="77777777" w:rsidR="008E7360" w:rsidRPr="007A590A" w:rsidRDefault="008E7360" w:rsidP="007A590A">
      <w:pPr>
        <w:pStyle w:val="ListParagraph"/>
        <w:numPr>
          <w:ilvl w:val="0"/>
          <w:numId w:val="21"/>
        </w:numPr>
        <w:spacing w:after="0" w:line="360" w:lineRule="auto"/>
        <w:jc w:val="both"/>
        <w:rPr>
          <w:rFonts w:ascii="Rockwell" w:hAnsi="Rockwell"/>
          <w:sz w:val="28"/>
          <w:szCs w:val="28"/>
        </w:rPr>
      </w:pPr>
      <w:r w:rsidRPr="007A590A">
        <w:rPr>
          <w:rFonts w:ascii="Rockwell" w:hAnsi="Rockwell"/>
          <w:sz w:val="28"/>
          <w:szCs w:val="28"/>
        </w:rPr>
        <w:t>Strengthen enforcement and monitoring of patient transport protocols, especially for droplet precaution cases.</w:t>
      </w:r>
    </w:p>
    <w:p w14:paraId="5AEA7330" w14:textId="77777777" w:rsidR="008E7360" w:rsidRPr="007A590A" w:rsidRDefault="008E7360" w:rsidP="007A590A">
      <w:pPr>
        <w:pStyle w:val="ListParagraph"/>
        <w:numPr>
          <w:ilvl w:val="0"/>
          <w:numId w:val="21"/>
        </w:numPr>
        <w:spacing w:after="0" w:line="360" w:lineRule="auto"/>
        <w:jc w:val="both"/>
        <w:rPr>
          <w:rFonts w:ascii="Rockwell" w:hAnsi="Rockwell"/>
          <w:sz w:val="28"/>
          <w:szCs w:val="28"/>
        </w:rPr>
      </w:pPr>
      <w:r w:rsidRPr="007A590A">
        <w:rPr>
          <w:rFonts w:ascii="Rockwell" w:hAnsi="Rockwell"/>
          <w:sz w:val="28"/>
          <w:szCs w:val="28"/>
        </w:rPr>
        <w:t>Maintain ongoing IPC refresher trainings focusing on waste segregation and transport control.</w:t>
      </w:r>
    </w:p>
    <w:p w14:paraId="6F51D3B3" w14:textId="77777777" w:rsidR="008E7360" w:rsidRPr="007A590A" w:rsidRDefault="008E7360" w:rsidP="007A590A">
      <w:pPr>
        <w:pStyle w:val="ListParagraph"/>
        <w:numPr>
          <w:ilvl w:val="0"/>
          <w:numId w:val="21"/>
        </w:numPr>
        <w:spacing w:after="0" w:line="360" w:lineRule="auto"/>
        <w:jc w:val="both"/>
        <w:rPr>
          <w:rFonts w:ascii="Rockwell" w:hAnsi="Rockwell"/>
          <w:sz w:val="28"/>
          <w:szCs w:val="28"/>
        </w:rPr>
      </w:pPr>
      <w:r w:rsidRPr="007A590A">
        <w:rPr>
          <w:rFonts w:ascii="Rockwell" w:hAnsi="Rockwell"/>
          <w:sz w:val="28"/>
          <w:szCs w:val="28"/>
        </w:rPr>
        <w:t>Continue routine environmental cleaning supervision to sustain high standards.</w:t>
      </w:r>
    </w:p>
    <w:p w14:paraId="255A3060" w14:textId="3F2CFBAA" w:rsidR="008E75B0" w:rsidRDefault="008E7360" w:rsidP="007A590A">
      <w:pPr>
        <w:pStyle w:val="ListParagraph"/>
        <w:numPr>
          <w:ilvl w:val="0"/>
          <w:numId w:val="21"/>
        </w:numPr>
        <w:spacing w:after="0" w:line="360" w:lineRule="auto"/>
        <w:jc w:val="both"/>
        <w:rPr>
          <w:rFonts w:ascii="Rockwell" w:hAnsi="Rockwell"/>
          <w:sz w:val="28"/>
          <w:szCs w:val="28"/>
        </w:rPr>
      </w:pPr>
      <w:r w:rsidRPr="007A590A">
        <w:rPr>
          <w:rFonts w:ascii="Rockwell" w:hAnsi="Rockwell"/>
          <w:sz w:val="28"/>
          <w:szCs w:val="28"/>
        </w:rPr>
        <w:t>Integrate IPC performance monitoring into routine hospital quality management systems.</w:t>
      </w:r>
    </w:p>
    <w:p w14:paraId="40378A66" w14:textId="77777777" w:rsidR="007A590A" w:rsidRDefault="007A590A" w:rsidP="007A590A">
      <w:pPr>
        <w:spacing w:after="0" w:line="360" w:lineRule="auto"/>
        <w:jc w:val="both"/>
        <w:rPr>
          <w:rFonts w:ascii="Rockwell" w:hAnsi="Rockwell"/>
          <w:sz w:val="28"/>
          <w:szCs w:val="28"/>
        </w:rPr>
      </w:pPr>
    </w:p>
    <w:p w14:paraId="5507DFD9" w14:textId="77777777" w:rsidR="007A590A" w:rsidRPr="007A590A" w:rsidRDefault="007A590A" w:rsidP="007A590A">
      <w:pPr>
        <w:spacing w:after="0" w:line="360" w:lineRule="auto"/>
        <w:jc w:val="both"/>
        <w:rPr>
          <w:rFonts w:ascii="Rockwell" w:hAnsi="Rockwell"/>
          <w:sz w:val="28"/>
          <w:szCs w:val="28"/>
        </w:rPr>
      </w:pPr>
    </w:p>
    <w:p w14:paraId="08EDC07E" w14:textId="66ACB98F" w:rsidR="00B43213" w:rsidRPr="00211602" w:rsidRDefault="00211602" w:rsidP="006B7001">
      <w:pPr>
        <w:pStyle w:val="Heading1"/>
        <w:spacing w:line="360" w:lineRule="auto"/>
        <w:ind w:left="360"/>
        <w:rPr>
          <w:rFonts w:ascii="Rockwell" w:hAnsi="Rockwell"/>
          <w:b/>
          <w:bCs/>
          <w:sz w:val="32"/>
          <w:szCs w:val="32"/>
        </w:rPr>
      </w:pPr>
      <w:bookmarkStart w:id="13" w:name="_Toc204470681"/>
      <w:r>
        <w:rPr>
          <w:rFonts w:ascii="Rockwell" w:hAnsi="Rockwell"/>
          <w:b/>
          <w:bCs/>
          <w:sz w:val="32"/>
          <w:szCs w:val="32"/>
        </w:rPr>
        <w:lastRenderedPageBreak/>
        <w:t>7</w:t>
      </w:r>
      <w:r w:rsidR="00B43213" w:rsidRPr="00211602">
        <w:rPr>
          <w:rFonts w:ascii="Rockwell" w:hAnsi="Rockwell"/>
          <w:b/>
          <w:bCs/>
          <w:sz w:val="32"/>
          <w:szCs w:val="32"/>
        </w:rPr>
        <w:t>. Action Plan</w:t>
      </w:r>
      <w:bookmarkEnd w:id="13"/>
    </w:p>
    <w:tbl>
      <w:tblPr>
        <w:tblStyle w:val="TableGrid"/>
        <w:tblW w:w="11335" w:type="dxa"/>
        <w:tblLook w:val="04A0" w:firstRow="1" w:lastRow="0" w:firstColumn="1" w:lastColumn="0" w:noHBand="0" w:noVBand="1"/>
      </w:tblPr>
      <w:tblGrid>
        <w:gridCol w:w="2380"/>
        <w:gridCol w:w="1903"/>
        <w:gridCol w:w="2732"/>
        <w:gridCol w:w="2843"/>
        <w:gridCol w:w="1477"/>
      </w:tblGrid>
      <w:tr w:rsidR="008E7360" w:rsidRPr="008E7360" w14:paraId="7CB2F670" w14:textId="77777777" w:rsidTr="008E7360">
        <w:tc>
          <w:tcPr>
            <w:tcW w:w="2380" w:type="dxa"/>
            <w:hideMark/>
          </w:tcPr>
          <w:p w14:paraId="3BBF6EBE" w14:textId="77777777" w:rsidR="008E7360" w:rsidRPr="008E7360" w:rsidRDefault="008E7360" w:rsidP="008E7360">
            <w:pPr>
              <w:spacing w:after="160" w:line="360" w:lineRule="auto"/>
              <w:rPr>
                <w:rFonts w:ascii="Rockwell" w:hAnsi="Rockwell"/>
                <w:b/>
                <w:bCs/>
                <w:sz w:val="28"/>
                <w:szCs w:val="28"/>
              </w:rPr>
            </w:pPr>
            <w:r w:rsidRPr="008E7360">
              <w:rPr>
                <w:rFonts w:ascii="Rockwell" w:hAnsi="Rockwell"/>
                <w:b/>
                <w:bCs/>
                <w:sz w:val="28"/>
                <w:szCs w:val="28"/>
              </w:rPr>
              <w:t>Gap Identified</w:t>
            </w:r>
          </w:p>
        </w:tc>
        <w:tc>
          <w:tcPr>
            <w:tcW w:w="1903" w:type="dxa"/>
            <w:hideMark/>
          </w:tcPr>
          <w:p w14:paraId="3A083B87" w14:textId="77777777" w:rsidR="008E7360" w:rsidRPr="008E7360" w:rsidRDefault="008E7360" w:rsidP="008E7360">
            <w:pPr>
              <w:spacing w:after="160" w:line="360" w:lineRule="auto"/>
              <w:rPr>
                <w:rFonts w:ascii="Rockwell" w:hAnsi="Rockwell"/>
                <w:b/>
                <w:bCs/>
                <w:sz w:val="28"/>
                <w:szCs w:val="28"/>
              </w:rPr>
            </w:pPr>
            <w:r w:rsidRPr="008E7360">
              <w:rPr>
                <w:rFonts w:ascii="Rockwell" w:hAnsi="Rockwell"/>
                <w:b/>
                <w:bCs/>
                <w:sz w:val="28"/>
                <w:szCs w:val="28"/>
              </w:rPr>
              <w:t>Root Cause</w:t>
            </w:r>
          </w:p>
        </w:tc>
        <w:tc>
          <w:tcPr>
            <w:tcW w:w="2732" w:type="dxa"/>
            <w:hideMark/>
          </w:tcPr>
          <w:p w14:paraId="68E06EFA" w14:textId="77777777" w:rsidR="008E7360" w:rsidRPr="008E7360" w:rsidRDefault="008E7360" w:rsidP="008E7360">
            <w:pPr>
              <w:spacing w:after="160" w:line="360" w:lineRule="auto"/>
              <w:rPr>
                <w:rFonts w:ascii="Rockwell" w:hAnsi="Rockwell"/>
                <w:b/>
                <w:bCs/>
                <w:sz w:val="28"/>
                <w:szCs w:val="28"/>
              </w:rPr>
            </w:pPr>
            <w:r w:rsidRPr="008E7360">
              <w:rPr>
                <w:rFonts w:ascii="Rockwell" w:hAnsi="Rockwell"/>
                <w:b/>
                <w:bCs/>
                <w:sz w:val="28"/>
                <w:szCs w:val="28"/>
              </w:rPr>
              <w:t>Action to Be Taken</w:t>
            </w:r>
          </w:p>
        </w:tc>
        <w:tc>
          <w:tcPr>
            <w:tcW w:w="2843" w:type="dxa"/>
            <w:hideMark/>
          </w:tcPr>
          <w:p w14:paraId="050E4ADC" w14:textId="77777777" w:rsidR="008E7360" w:rsidRPr="008E7360" w:rsidRDefault="008E7360" w:rsidP="008E7360">
            <w:pPr>
              <w:spacing w:after="160" w:line="360" w:lineRule="auto"/>
              <w:rPr>
                <w:rFonts w:ascii="Rockwell" w:hAnsi="Rockwell"/>
                <w:b/>
                <w:bCs/>
                <w:sz w:val="28"/>
                <w:szCs w:val="28"/>
              </w:rPr>
            </w:pPr>
            <w:r w:rsidRPr="008E7360">
              <w:rPr>
                <w:rFonts w:ascii="Rockwell" w:hAnsi="Rockwell"/>
                <w:b/>
                <w:bCs/>
                <w:sz w:val="28"/>
                <w:szCs w:val="28"/>
              </w:rPr>
              <w:t>Responsible Body</w:t>
            </w:r>
          </w:p>
        </w:tc>
        <w:tc>
          <w:tcPr>
            <w:tcW w:w="1477" w:type="dxa"/>
            <w:hideMark/>
          </w:tcPr>
          <w:p w14:paraId="105A8BD4" w14:textId="77777777" w:rsidR="008E7360" w:rsidRPr="008E7360" w:rsidRDefault="008E7360" w:rsidP="008E7360">
            <w:pPr>
              <w:spacing w:after="160" w:line="360" w:lineRule="auto"/>
              <w:rPr>
                <w:rFonts w:ascii="Rockwell" w:hAnsi="Rockwell"/>
                <w:b/>
                <w:bCs/>
                <w:sz w:val="28"/>
                <w:szCs w:val="28"/>
              </w:rPr>
            </w:pPr>
            <w:r w:rsidRPr="008E7360">
              <w:rPr>
                <w:rFonts w:ascii="Rockwell" w:hAnsi="Rockwell"/>
                <w:b/>
                <w:bCs/>
                <w:sz w:val="28"/>
                <w:szCs w:val="28"/>
              </w:rPr>
              <w:t>Timeline</w:t>
            </w:r>
          </w:p>
        </w:tc>
      </w:tr>
      <w:tr w:rsidR="008E7360" w:rsidRPr="008E7360" w14:paraId="7549CB7A" w14:textId="77777777" w:rsidTr="008E7360">
        <w:tc>
          <w:tcPr>
            <w:tcW w:w="2380" w:type="dxa"/>
            <w:hideMark/>
          </w:tcPr>
          <w:p w14:paraId="78A53041" w14:textId="77777777" w:rsidR="008E7360" w:rsidRPr="008E7360" w:rsidRDefault="008E7360" w:rsidP="008E7360">
            <w:pPr>
              <w:spacing w:after="160" w:line="360" w:lineRule="auto"/>
              <w:rPr>
                <w:rFonts w:ascii="Rockwell" w:hAnsi="Rockwell"/>
                <w:sz w:val="28"/>
                <w:szCs w:val="28"/>
              </w:rPr>
            </w:pPr>
            <w:r w:rsidRPr="008E7360">
              <w:rPr>
                <w:rFonts w:ascii="Rockwell" w:hAnsi="Rockwell"/>
                <w:sz w:val="28"/>
                <w:szCs w:val="28"/>
              </w:rPr>
              <w:t>Lack of chemical waste bins</w:t>
            </w:r>
          </w:p>
        </w:tc>
        <w:tc>
          <w:tcPr>
            <w:tcW w:w="1903" w:type="dxa"/>
            <w:hideMark/>
          </w:tcPr>
          <w:p w14:paraId="74391A55" w14:textId="77777777" w:rsidR="008E7360" w:rsidRPr="008E7360" w:rsidRDefault="008E7360" w:rsidP="008E7360">
            <w:pPr>
              <w:spacing w:after="160" w:line="360" w:lineRule="auto"/>
              <w:rPr>
                <w:rFonts w:ascii="Rockwell" w:hAnsi="Rockwell"/>
                <w:sz w:val="28"/>
                <w:szCs w:val="28"/>
              </w:rPr>
            </w:pPr>
            <w:r w:rsidRPr="008E7360">
              <w:rPr>
                <w:rFonts w:ascii="Rockwell" w:hAnsi="Rockwell"/>
                <w:sz w:val="28"/>
                <w:szCs w:val="28"/>
              </w:rPr>
              <w:t>Procurement gaps</w:t>
            </w:r>
          </w:p>
        </w:tc>
        <w:tc>
          <w:tcPr>
            <w:tcW w:w="2732" w:type="dxa"/>
            <w:hideMark/>
          </w:tcPr>
          <w:p w14:paraId="4DB41E4C" w14:textId="77777777" w:rsidR="008E7360" w:rsidRPr="008E7360" w:rsidRDefault="008E7360" w:rsidP="008E7360">
            <w:pPr>
              <w:spacing w:after="160" w:line="360" w:lineRule="auto"/>
              <w:rPr>
                <w:rFonts w:ascii="Rockwell" w:hAnsi="Rockwell"/>
                <w:sz w:val="28"/>
                <w:szCs w:val="28"/>
              </w:rPr>
            </w:pPr>
            <w:r w:rsidRPr="008E7360">
              <w:rPr>
                <w:rFonts w:ascii="Rockwell" w:hAnsi="Rockwell"/>
                <w:sz w:val="28"/>
                <w:szCs w:val="28"/>
              </w:rPr>
              <w:t>Procure and distribute chemical bins</w:t>
            </w:r>
          </w:p>
        </w:tc>
        <w:tc>
          <w:tcPr>
            <w:tcW w:w="2843" w:type="dxa"/>
            <w:hideMark/>
          </w:tcPr>
          <w:p w14:paraId="11FB2759" w14:textId="77777777" w:rsidR="008E7360" w:rsidRPr="008E7360" w:rsidRDefault="008E7360" w:rsidP="008E7360">
            <w:pPr>
              <w:spacing w:after="160" w:line="360" w:lineRule="auto"/>
              <w:rPr>
                <w:rFonts w:ascii="Rockwell" w:hAnsi="Rockwell"/>
                <w:sz w:val="28"/>
                <w:szCs w:val="28"/>
              </w:rPr>
            </w:pPr>
            <w:r w:rsidRPr="008E7360">
              <w:rPr>
                <w:rFonts w:ascii="Rockwell" w:hAnsi="Rockwell"/>
                <w:sz w:val="28"/>
                <w:szCs w:val="28"/>
              </w:rPr>
              <w:t>Procurement Office</w:t>
            </w:r>
          </w:p>
        </w:tc>
        <w:tc>
          <w:tcPr>
            <w:tcW w:w="1477" w:type="dxa"/>
            <w:hideMark/>
          </w:tcPr>
          <w:p w14:paraId="6B213DB9" w14:textId="77777777" w:rsidR="008E7360" w:rsidRPr="008E7360" w:rsidRDefault="008E7360" w:rsidP="008E7360">
            <w:pPr>
              <w:spacing w:after="160" w:line="360" w:lineRule="auto"/>
              <w:rPr>
                <w:rFonts w:ascii="Rockwell" w:hAnsi="Rockwell"/>
                <w:sz w:val="28"/>
                <w:szCs w:val="28"/>
              </w:rPr>
            </w:pPr>
            <w:r w:rsidRPr="008E7360">
              <w:rPr>
                <w:rFonts w:ascii="Rockwell" w:hAnsi="Rockwell"/>
                <w:sz w:val="28"/>
                <w:szCs w:val="28"/>
              </w:rPr>
              <w:t>Within 2 weeks</w:t>
            </w:r>
          </w:p>
        </w:tc>
      </w:tr>
      <w:tr w:rsidR="008E7360" w:rsidRPr="008E7360" w14:paraId="24C5DFAA" w14:textId="77777777" w:rsidTr="008E7360">
        <w:tc>
          <w:tcPr>
            <w:tcW w:w="2380" w:type="dxa"/>
            <w:hideMark/>
          </w:tcPr>
          <w:p w14:paraId="2B100F77" w14:textId="77777777" w:rsidR="008E7360" w:rsidRPr="008E7360" w:rsidRDefault="008E7360" w:rsidP="008E7360">
            <w:pPr>
              <w:spacing w:after="160" w:line="360" w:lineRule="auto"/>
              <w:rPr>
                <w:rFonts w:ascii="Rockwell" w:hAnsi="Rockwell"/>
                <w:sz w:val="28"/>
                <w:szCs w:val="28"/>
              </w:rPr>
            </w:pPr>
            <w:r w:rsidRPr="008E7360">
              <w:rPr>
                <w:rFonts w:ascii="Rockwell" w:hAnsi="Rockwell"/>
                <w:sz w:val="28"/>
                <w:szCs w:val="28"/>
              </w:rPr>
              <w:t>Unrestricted patient transport</w:t>
            </w:r>
          </w:p>
        </w:tc>
        <w:tc>
          <w:tcPr>
            <w:tcW w:w="1903" w:type="dxa"/>
            <w:hideMark/>
          </w:tcPr>
          <w:p w14:paraId="222E23B8" w14:textId="77777777" w:rsidR="008E7360" w:rsidRPr="008E7360" w:rsidRDefault="008E7360" w:rsidP="008E7360">
            <w:pPr>
              <w:spacing w:after="160" w:line="360" w:lineRule="auto"/>
              <w:rPr>
                <w:rFonts w:ascii="Rockwell" w:hAnsi="Rockwell"/>
                <w:sz w:val="28"/>
                <w:szCs w:val="28"/>
              </w:rPr>
            </w:pPr>
            <w:r w:rsidRPr="008E7360">
              <w:rPr>
                <w:rFonts w:ascii="Rockwell" w:hAnsi="Rockwell"/>
                <w:sz w:val="28"/>
                <w:szCs w:val="28"/>
              </w:rPr>
              <w:t>Staff unawareness</w:t>
            </w:r>
          </w:p>
        </w:tc>
        <w:tc>
          <w:tcPr>
            <w:tcW w:w="2732" w:type="dxa"/>
            <w:hideMark/>
          </w:tcPr>
          <w:p w14:paraId="5F1D1B5D" w14:textId="77777777" w:rsidR="008E7360" w:rsidRPr="008E7360" w:rsidRDefault="008E7360" w:rsidP="008E7360">
            <w:pPr>
              <w:spacing w:after="160" w:line="360" w:lineRule="auto"/>
              <w:rPr>
                <w:rFonts w:ascii="Rockwell" w:hAnsi="Rockwell"/>
                <w:sz w:val="28"/>
                <w:szCs w:val="28"/>
              </w:rPr>
            </w:pPr>
            <w:r w:rsidRPr="008E7360">
              <w:rPr>
                <w:rFonts w:ascii="Rockwell" w:hAnsi="Rockwell"/>
                <w:sz w:val="28"/>
                <w:szCs w:val="28"/>
              </w:rPr>
              <w:t>Include transport protocols in IPC training</w:t>
            </w:r>
          </w:p>
        </w:tc>
        <w:tc>
          <w:tcPr>
            <w:tcW w:w="2843" w:type="dxa"/>
            <w:hideMark/>
          </w:tcPr>
          <w:p w14:paraId="7AAFB099" w14:textId="77777777" w:rsidR="008E7360" w:rsidRPr="008E7360" w:rsidRDefault="008E7360" w:rsidP="008E7360">
            <w:pPr>
              <w:spacing w:after="160" w:line="360" w:lineRule="auto"/>
              <w:rPr>
                <w:rFonts w:ascii="Rockwell" w:hAnsi="Rockwell"/>
                <w:sz w:val="28"/>
                <w:szCs w:val="28"/>
              </w:rPr>
            </w:pPr>
            <w:r w:rsidRPr="008E7360">
              <w:rPr>
                <w:rFonts w:ascii="Rockwell" w:hAnsi="Rockwell"/>
                <w:sz w:val="28"/>
                <w:szCs w:val="28"/>
              </w:rPr>
              <w:t>IPC Committee</w:t>
            </w:r>
          </w:p>
        </w:tc>
        <w:tc>
          <w:tcPr>
            <w:tcW w:w="1477" w:type="dxa"/>
            <w:hideMark/>
          </w:tcPr>
          <w:p w14:paraId="4116DA6A" w14:textId="77777777" w:rsidR="008E7360" w:rsidRPr="008E7360" w:rsidRDefault="008E7360" w:rsidP="008E7360">
            <w:pPr>
              <w:spacing w:after="160" w:line="360" w:lineRule="auto"/>
              <w:rPr>
                <w:rFonts w:ascii="Rockwell" w:hAnsi="Rockwell"/>
                <w:sz w:val="28"/>
                <w:szCs w:val="28"/>
              </w:rPr>
            </w:pPr>
            <w:r w:rsidRPr="008E7360">
              <w:rPr>
                <w:rFonts w:ascii="Rockwell" w:hAnsi="Rockwell"/>
                <w:sz w:val="28"/>
                <w:szCs w:val="28"/>
              </w:rPr>
              <w:t>Week 2</w:t>
            </w:r>
          </w:p>
        </w:tc>
      </w:tr>
    </w:tbl>
    <w:p w14:paraId="3B6A0586" w14:textId="77777777" w:rsidR="006B7001" w:rsidRDefault="006B7001" w:rsidP="00B43213">
      <w:pPr>
        <w:rPr>
          <w:rFonts w:ascii="Rockwell" w:hAnsi="Rockwell"/>
          <w:sz w:val="24"/>
          <w:szCs w:val="24"/>
        </w:rPr>
      </w:pPr>
    </w:p>
    <w:p w14:paraId="1F2642D9" w14:textId="77777777" w:rsidR="006B7001" w:rsidRDefault="006B7001" w:rsidP="00B43213">
      <w:pPr>
        <w:rPr>
          <w:rFonts w:ascii="Rockwell" w:hAnsi="Rockwell"/>
          <w:sz w:val="24"/>
          <w:szCs w:val="24"/>
        </w:rPr>
      </w:pPr>
    </w:p>
    <w:p w14:paraId="7ECC0B47" w14:textId="77777777" w:rsidR="007A590A" w:rsidRDefault="007A590A" w:rsidP="00B43213">
      <w:pPr>
        <w:rPr>
          <w:rFonts w:ascii="Rockwell" w:hAnsi="Rockwell"/>
          <w:sz w:val="24"/>
          <w:szCs w:val="24"/>
        </w:rPr>
      </w:pPr>
    </w:p>
    <w:p w14:paraId="53414263" w14:textId="77777777" w:rsidR="007A590A" w:rsidRDefault="007A590A" w:rsidP="00B43213">
      <w:pPr>
        <w:rPr>
          <w:rFonts w:ascii="Rockwell" w:hAnsi="Rockwell"/>
          <w:sz w:val="24"/>
          <w:szCs w:val="24"/>
        </w:rPr>
      </w:pPr>
    </w:p>
    <w:p w14:paraId="5E01BFC4" w14:textId="77777777" w:rsidR="007A590A" w:rsidRDefault="007A590A" w:rsidP="00B43213">
      <w:pPr>
        <w:rPr>
          <w:rFonts w:ascii="Rockwell" w:hAnsi="Rockwell"/>
          <w:sz w:val="24"/>
          <w:szCs w:val="24"/>
        </w:rPr>
      </w:pPr>
    </w:p>
    <w:p w14:paraId="40E74F50" w14:textId="77777777" w:rsidR="007A590A" w:rsidRDefault="007A590A" w:rsidP="00B43213">
      <w:pPr>
        <w:rPr>
          <w:rFonts w:ascii="Rockwell" w:hAnsi="Rockwell"/>
          <w:sz w:val="24"/>
          <w:szCs w:val="24"/>
        </w:rPr>
      </w:pPr>
    </w:p>
    <w:p w14:paraId="3F00F159" w14:textId="77777777" w:rsidR="007A590A" w:rsidRDefault="007A590A" w:rsidP="00B43213">
      <w:pPr>
        <w:rPr>
          <w:rFonts w:ascii="Rockwell" w:hAnsi="Rockwell"/>
          <w:sz w:val="24"/>
          <w:szCs w:val="24"/>
        </w:rPr>
      </w:pPr>
    </w:p>
    <w:p w14:paraId="5139A886" w14:textId="77777777" w:rsidR="007A590A" w:rsidRDefault="007A590A" w:rsidP="00B43213">
      <w:pPr>
        <w:rPr>
          <w:rFonts w:ascii="Rockwell" w:hAnsi="Rockwell"/>
          <w:sz w:val="24"/>
          <w:szCs w:val="24"/>
        </w:rPr>
      </w:pPr>
    </w:p>
    <w:p w14:paraId="68886D03" w14:textId="77777777" w:rsidR="007A590A" w:rsidRDefault="007A590A" w:rsidP="00B43213">
      <w:pPr>
        <w:rPr>
          <w:rFonts w:ascii="Rockwell" w:hAnsi="Rockwell"/>
          <w:sz w:val="24"/>
          <w:szCs w:val="24"/>
        </w:rPr>
      </w:pPr>
    </w:p>
    <w:p w14:paraId="77AEB7A1" w14:textId="77777777" w:rsidR="007A590A" w:rsidRDefault="007A590A" w:rsidP="00B43213">
      <w:pPr>
        <w:rPr>
          <w:rFonts w:ascii="Rockwell" w:hAnsi="Rockwell"/>
          <w:sz w:val="24"/>
          <w:szCs w:val="24"/>
        </w:rPr>
      </w:pPr>
    </w:p>
    <w:p w14:paraId="5C99F76C" w14:textId="77777777" w:rsidR="007A590A" w:rsidRDefault="007A590A" w:rsidP="00B43213">
      <w:pPr>
        <w:rPr>
          <w:rFonts w:ascii="Rockwell" w:hAnsi="Rockwell"/>
          <w:sz w:val="24"/>
          <w:szCs w:val="24"/>
        </w:rPr>
      </w:pPr>
    </w:p>
    <w:p w14:paraId="3E491836" w14:textId="77777777" w:rsidR="007A590A" w:rsidRDefault="007A590A" w:rsidP="00B43213">
      <w:pPr>
        <w:rPr>
          <w:rFonts w:ascii="Rockwell" w:hAnsi="Rockwell"/>
          <w:sz w:val="24"/>
          <w:szCs w:val="24"/>
        </w:rPr>
      </w:pPr>
    </w:p>
    <w:p w14:paraId="7C076E61" w14:textId="77777777" w:rsidR="007A590A" w:rsidRDefault="007A590A" w:rsidP="00B43213">
      <w:pPr>
        <w:rPr>
          <w:rFonts w:ascii="Rockwell" w:hAnsi="Rockwell"/>
          <w:sz w:val="24"/>
          <w:szCs w:val="24"/>
        </w:rPr>
      </w:pPr>
    </w:p>
    <w:p w14:paraId="0047E058" w14:textId="77777777" w:rsidR="007A590A" w:rsidRDefault="007A590A" w:rsidP="00B43213">
      <w:pPr>
        <w:rPr>
          <w:rFonts w:ascii="Rockwell" w:hAnsi="Rockwell"/>
          <w:sz w:val="24"/>
          <w:szCs w:val="24"/>
        </w:rPr>
      </w:pPr>
    </w:p>
    <w:p w14:paraId="06FC7C61" w14:textId="28DD3B7C" w:rsidR="00B43213" w:rsidRPr="00211602" w:rsidRDefault="00B229EF" w:rsidP="00211602">
      <w:pPr>
        <w:pStyle w:val="Heading1"/>
        <w:spacing w:line="360" w:lineRule="auto"/>
        <w:rPr>
          <w:rFonts w:ascii="Rockwell" w:hAnsi="Rockwell"/>
          <w:b/>
          <w:bCs/>
          <w:sz w:val="32"/>
          <w:szCs w:val="32"/>
        </w:rPr>
      </w:pPr>
      <w:bookmarkStart w:id="14" w:name="_Toc204470682"/>
      <w:r>
        <w:rPr>
          <w:rFonts w:ascii="Rockwell" w:hAnsi="Rockwell"/>
          <w:b/>
          <w:bCs/>
          <w:sz w:val="32"/>
          <w:szCs w:val="32"/>
        </w:rPr>
        <w:lastRenderedPageBreak/>
        <w:t>8</w:t>
      </w:r>
      <w:r w:rsidR="00B43213" w:rsidRPr="00211602">
        <w:rPr>
          <w:rFonts w:ascii="Rockwell" w:hAnsi="Rockwell"/>
          <w:b/>
          <w:bCs/>
          <w:sz w:val="32"/>
          <w:szCs w:val="32"/>
        </w:rPr>
        <w:t>. References</w:t>
      </w:r>
      <w:bookmarkEnd w:id="14"/>
    </w:p>
    <w:p w14:paraId="1F3C48F1" w14:textId="77777777" w:rsidR="00B43213" w:rsidRPr="00B229EF" w:rsidRDefault="00B43213" w:rsidP="00B229EF">
      <w:pPr>
        <w:pStyle w:val="ListParagraph"/>
        <w:numPr>
          <w:ilvl w:val="0"/>
          <w:numId w:val="18"/>
        </w:numPr>
        <w:spacing w:line="360" w:lineRule="auto"/>
        <w:jc w:val="both"/>
        <w:rPr>
          <w:rFonts w:ascii="Rockwell" w:hAnsi="Rockwell"/>
          <w:sz w:val="24"/>
          <w:szCs w:val="24"/>
        </w:rPr>
      </w:pPr>
      <w:r w:rsidRPr="00B229EF">
        <w:rPr>
          <w:rFonts w:ascii="Rockwell" w:hAnsi="Rockwell"/>
          <w:sz w:val="24"/>
          <w:szCs w:val="24"/>
        </w:rPr>
        <w:t xml:space="preserve">World Health Organization (WHO). (2021). </w:t>
      </w:r>
      <w:r w:rsidRPr="00B229EF">
        <w:rPr>
          <w:rFonts w:ascii="Rockwell" w:hAnsi="Rockwell"/>
          <w:i/>
          <w:iCs/>
          <w:sz w:val="24"/>
          <w:szCs w:val="24"/>
        </w:rPr>
        <w:t>Infection prevention and control during health care when coronavirus disease (COVID-19) is suspected or confirmed</w:t>
      </w:r>
      <w:r w:rsidRPr="00B229EF">
        <w:rPr>
          <w:rFonts w:ascii="Rockwell" w:hAnsi="Rockwell"/>
          <w:sz w:val="24"/>
          <w:szCs w:val="24"/>
        </w:rPr>
        <w:t xml:space="preserve">. Interim guidance. </w:t>
      </w:r>
      <w:hyperlink r:id="rId12" w:tgtFrame="_new" w:history="1">
        <w:r w:rsidRPr="00B229EF">
          <w:rPr>
            <w:rStyle w:val="Hyperlink"/>
            <w:rFonts w:ascii="Rockwell" w:hAnsi="Rockwell"/>
            <w:sz w:val="24"/>
            <w:szCs w:val="24"/>
          </w:rPr>
          <w:t>https://www.who.int/publications/i/item/WHO-2019-nCoV-IPC-2021.1</w:t>
        </w:r>
      </w:hyperlink>
    </w:p>
    <w:p w14:paraId="66C705C3" w14:textId="77777777" w:rsidR="00B43213" w:rsidRPr="00B229EF" w:rsidRDefault="00B43213" w:rsidP="00B229EF">
      <w:pPr>
        <w:pStyle w:val="ListParagraph"/>
        <w:numPr>
          <w:ilvl w:val="0"/>
          <w:numId w:val="18"/>
        </w:numPr>
        <w:spacing w:line="360" w:lineRule="auto"/>
        <w:jc w:val="both"/>
        <w:rPr>
          <w:rFonts w:ascii="Rockwell" w:hAnsi="Rockwell"/>
          <w:sz w:val="24"/>
          <w:szCs w:val="24"/>
        </w:rPr>
      </w:pPr>
      <w:r w:rsidRPr="00B229EF">
        <w:rPr>
          <w:rFonts w:ascii="Rockwell" w:hAnsi="Rockwell"/>
          <w:sz w:val="24"/>
          <w:szCs w:val="24"/>
        </w:rPr>
        <w:t xml:space="preserve">World Health Organization (WHO). (2022). </w:t>
      </w:r>
      <w:r w:rsidRPr="00B229EF">
        <w:rPr>
          <w:rFonts w:ascii="Rockwell" w:hAnsi="Rockwell"/>
          <w:i/>
          <w:iCs/>
          <w:sz w:val="24"/>
          <w:szCs w:val="24"/>
        </w:rPr>
        <w:t>Global Report on Infection Prevention and Control</w:t>
      </w:r>
      <w:r w:rsidRPr="00B229EF">
        <w:rPr>
          <w:rFonts w:ascii="Rockwell" w:hAnsi="Rockwell"/>
          <w:sz w:val="24"/>
          <w:szCs w:val="24"/>
        </w:rPr>
        <w:t xml:space="preserve">. Geneva: WHO. </w:t>
      </w:r>
      <w:hyperlink r:id="rId13" w:tgtFrame="_new" w:history="1">
        <w:r w:rsidRPr="00B229EF">
          <w:rPr>
            <w:rStyle w:val="Hyperlink"/>
            <w:rFonts w:ascii="Rockwell" w:hAnsi="Rockwell"/>
            <w:sz w:val="24"/>
            <w:szCs w:val="24"/>
          </w:rPr>
          <w:t>https://www.who.int/publications/i/item/9789240051164</w:t>
        </w:r>
      </w:hyperlink>
    </w:p>
    <w:p w14:paraId="7C34FD3A" w14:textId="77777777" w:rsidR="00B43213" w:rsidRPr="00B229EF" w:rsidRDefault="00B43213" w:rsidP="00B229EF">
      <w:pPr>
        <w:pStyle w:val="ListParagraph"/>
        <w:numPr>
          <w:ilvl w:val="0"/>
          <w:numId w:val="18"/>
        </w:numPr>
        <w:spacing w:line="360" w:lineRule="auto"/>
        <w:jc w:val="both"/>
        <w:rPr>
          <w:rFonts w:ascii="Rockwell" w:hAnsi="Rockwell"/>
          <w:sz w:val="24"/>
          <w:szCs w:val="24"/>
        </w:rPr>
      </w:pPr>
      <w:r w:rsidRPr="00B229EF">
        <w:rPr>
          <w:rFonts w:ascii="Rockwell" w:hAnsi="Rockwell"/>
          <w:sz w:val="24"/>
          <w:szCs w:val="24"/>
        </w:rPr>
        <w:t xml:space="preserve">Pittet, D., et al. (2022). </w:t>
      </w:r>
      <w:r w:rsidRPr="00B229EF">
        <w:rPr>
          <w:rFonts w:ascii="Rockwell" w:hAnsi="Rockwell"/>
          <w:i/>
          <w:iCs/>
          <w:sz w:val="24"/>
          <w:szCs w:val="24"/>
        </w:rPr>
        <w:t>Hand hygiene and infection control: Past, present, and future</w:t>
      </w:r>
      <w:r w:rsidRPr="00B229EF">
        <w:rPr>
          <w:rFonts w:ascii="Rockwell" w:hAnsi="Rockwell"/>
          <w:sz w:val="24"/>
          <w:szCs w:val="24"/>
        </w:rPr>
        <w:t xml:space="preserve">. </w:t>
      </w:r>
      <w:r w:rsidRPr="00B229EF">
        <w:rPr>
          <w:rFonts w:ascii="Rockwell" w:hAnsi="Rockwell"/>
          <w:i/>
          <w:iCs/>
          <w:sz w:val="24"/>
          <w:szCs w:val="24"/>
        </w:rPr>
        <w:t>Lancet Infectious Diseases</w:t>
      </w:r>
      <w:r w:rsidRPr="00B229EF">
        <w:rPr>
          <w:rFonts w:ascii="Rockwell" w:hAnsi="Rockwell"/>
          <w:sz w:val="24"/>
          <w:szCs w:val="24"/>
        </w:rPr>
        <w:t>, 22(5), e138–e148. doi:10.1016/S1473-3099(21)00780-6</w:t>
      </w:r>
    </w:p>
    <w:p w14:paraId="17E38FC9" w14:textId="77777777" w:rsidR="00B43213" w:rsidRPr="00B229EF" w:rsidRDefault="00B43213" w:rsidP="00B229EF">
      <w:pPr>
        <w:pStyle w:val="ListParagraph"/>
        <w:numPr>
          <w:ilvl w:val="0"/>
          <w:numId w:val="18"/>
        </w:numPr>
        <w:spacing w:line="360" w:lineRule="auto"/>
        <w:jc w:val="both"/>
        <w:rPr>
          <w:rFonts w:ascii="Rockwell" w:hAnsi="Rockwell"/>
          <w:sz w:val="24"/>
          <w:szCs w:val="24"/>
        </w:rPr>
      </w:pPr>
      <w:r w:rsidRPr="00B229EF">
        <w:rPr>
          <w:rFonts w:ascii="Rockwell" w:hAnsi="Rockwell"/>
          <w:sz w:val="24"/>
          <w:szCs w:val="24"/>
          <w:lang w:val="fi-FI"/>
        </w:rPr>
        <w:t xml:space="preserve">Chughtai, A. A., et al. </w:t>
      </w:r>
      <w:r w:rsidRPr="00B229EF">
        <w:rPr>
          <w:rFonts w:ascii="Rockwell" w:hAnsi="Rockwell"/>
          <w:sz w:val="24"/>
          <w:szCs w:val="24"/>
        </w:rPr>
        <w:t xml:space="preserve">(2020). </w:t>
      </w:r>
      <w:r w:rsidRPr="00B229EF">
        <w:rPr>
          <w:rFonts w:ascii="Rockwell" w:hAnsi="Rockwell"/>
          <w:i/>
          <w:iCs/>
          <w:sz w:val="24"/>
          <w:szCs w:val="24"/>
        </w:rPr>
        <w:t>Contamination by respiratory viruses on outer surface of medical masks used by hospital healthcare workers</w:t>
      </w:r>
      <w:r w:rsidRPr="00B229EF">
        <w:rPr>
          <w:rFonts w:ascii="Rockwell" w:hAnsi="Rockwell"/>
          <w:sz w:val="24"/>
          <w:szCs w:val="24"/>
        </w:rPr>
        <w:t xml:space="preserve">. </w:t>
      </w:r>
      <w:r w:rsidRPr="00B229EF">
        <w:rPr>
          <w:rFonts w:ascii="Rockwell" w:hAnsi="Rockwell"/>
          <w:i/>
          <w:iCs/>
          <w:sz w:val="24"/>
          <w:szCs w:val="24"/>
        </w:rPr>
        <w:t>BMC Infectious Diseases</w:t>
      </w:r>
      <w:r w:rsidRPr="00B229EF">
        <w:rPr>
          <w:rFonts w:ascii="Rockwell" w:hAnsi="Rockwell"/>
          <w:sz w:val="24"/>
          <w:szCs w:val="24"/>
        </w:rPr>
        <w:t>, 20(1), 202. doi:10.1186/s12879-020-4894-4</w:t>
      </w:r>
    </w:p>
    <w:p w14:paraId="100FD349" w14:textId="77777777" w:rsidR="00B43213" w:rsidRPr="00B229EF" w:rsidRDefault="00B43213" w:rsidP="00B229EF">
      <w:pPr>
        <w:pStyle w:val="ListParagraph"/>
        <w:numPr>
          <w:ilvl w:val="0"/>
          <w:numId w:val="18"/>
        </w:numPr>
        <w:spacing w:line="360" w:lineRule="auto"/>
        <w:jc w:val="both"/>
        <w:rPr>
          <w:rFonts w:ascii="Rockwell" w:hAnsi="Rockwell"/>
          <w:sz w:val="24"/>
          <w:szCs w:val="24"/>
        </w:rPr>
      </w:pPr>
      <w:r w:rsidRPr="00B229EF">
        <w:rPr>
          <w:rFonts w:ascii="Rockwell" w:hAnsi="Rockwell"/>
          <w:sz w:val="24"/>
          <w:szCs w:val="24"/>
          <w:lang w:val="fi-FI"/>
        </w:rPr>
        <w:t xml:space="preserve">Otter, J. A., et al. </w:t>
      </w:r>
      <w:r w:rsidRPr="00B229EF">
        <w:rPr>
          <w:rFonts w:ascii="Rockwell" w:hAnsi="Rockwell"/>
          <w:sz w:val="24"/>
          <w:szCs w:val="24"/>
        </w:rPr>
        <w:t xml:space="preserve">(2020). </w:t>
      </w:r>
      <w:r w:rsidRPr="00B229EF">
        <w:rPr>
          <w:rFonts w:ascii="Rockwell" w:hAnsi="Rockwell"/>
          <w:i/>
          <w:iCs/>
          <w:sz w:val="24"/>
          <w:szCs w:val="24"/>
        </w:rPr>
        <w:t>Transmission of SARS and MERS coronaviruses and influenza virus in healthcare settings: the possible role of dry surface contamination</w:t>
      </w:r>
      <w:r w:rsidRPr="00B229EF">
        <w:rPr>
          <w:rFonts w:ascii="Rockwell" w:hAnsi="Rockwell"/>
          <w:sz w:val="24"/>
          <w:szCs w:val="24"/>
        </w:rPr>
        <w:t xml:space="preserve">. </w:t>
      </w:r>
      <w:r w:rsidRPr="00B229EF">
        <w:rPr>
          <w:rFonts w:ascii="Rockwell" w:hAnsi="Rockwell"/>
          <w:i/>
          <w:iCs/>
          <w:sz w:val="24"/>
          <w:szCs w:val="24"/>
        </w:rPr>
        <w:t>Clinical Infectious Diseases</w:t>
      </w:r>
      <w:r w:rsidRPr="00B229EF">
        <w:rPr>
          <w:rFonts w:ascii="Rockwell" w:hAnsi="Rockwell"/>
          <w:sz w:val="24"/>
          <w:szCs w:val="24"/>
        </w:rPr>
        <w:t>, 71(4), 857–864. doi:10.1093/</w:t>
      </w:r>
      <w:proofErr w:type="spellStart"/>
      <w:r w:rsidRPr="00B229EF">
        <w:rPr>
          <w:rFonts w:ascii="Rockwell" w:hAnsi="Rockwell"/>
          <w:sz w:val="24"/>
          <w:szCs w:val="24"/>
        </w:rPr>
        <w:t>cid</w:t>
      </w:r>
      <w:proofErr w:type="spellEnd"/>
      <w:r w:rsidRPr="00B229EF">
        <w:rPr>
          <w:rFonts w:ascii="Rockwell" w:hAnsi="Rockwell"/>
          <w:sz w:val="24"/>
          <w:szCs w:val="24"/>
        </w:rPr>
        <w:t>/ciz686</w:t>
      </w:r>
    </w:p>
    <w:p w14:paraId="4A295303" w14:textId="77777777" w:rsidR="00B43213" w:rsidRPr="00B229EF" w:rsidRDefault="00B43213" w:rsidP="00B229EF">
      <w:pPr>
        <w:pStyle w:val="ListParagraph"/>
        <w:numPr>
          <w:ilvl w:val="0"/>
          <w:numId w:val="18"/>
        </w:numPr>
        <w:spacing w:line="360" w:lineRule="auto"/>
        <w:jc w:val="both"/>
        <w:rPr>
          <w:rFonts w:ascii="Rockwell" w:hAnsi="Rockwell"/>
          <w:sz w:val="24"/>
          <w:szCs w:val="24"/>
        </w:rPr>
      </w:pPr>
      <w:r w:rsidRPr="00B229EF">
        <w:rPr>
          <w:rFonts w:ascii="Rockwell" w:hAnsi="Rockwell"/>
          <w:sz w:val="24"/>
          <w:szCs w:val="24"/>
        </w:rPr>
        <w:t xml:space="preserve">Centers for Disease Control and Prevention (CDC). (2020). </w:t>
      </w:r>
      <w:r w:rsidRPr="00B229EF">
        <w:rPr>
          <w:rFonts w:ascii="Rockwell" w:hAnsi="Rockwell"/>
          <w:i/>
          <w:iCs/>
          <w:sz w:val="24"/>
          <w:szCs w:val="24"/>
        </w:rPr>
        <w:t>Guidelines for Environmental Infection Control in Health-Care Facilities</w:t>
      </w:r>
      <w:r w:rsidRPr="00B229EF">
        <w:rPr>
          <w:rFonts w:ascii="Rockwell" w:hAnsi="Rockwell"/>
          <w:sz w:val="24"/>
          <w:szCs w:val="24"/>
        </w:rPr>
        <w:t xml:space="preserve">. </w:t>
      </w:r>
      <w:hyperlink r:id="rId14" w:tgtFrame="_new" w:history="1">
        <w:r w:rsidRPr="00B229EF">
          <w:rPr>
            <w:rStyle w:val="Hyperlink"/>
            <w:rFonts w:ascii="Rockwell" w:hAnsi="Rockwell"/>
            <w:sz w:val="24"/>
            <w:szCs w:val="24"/>
          </w:rPr>
          <w:t>https://www.cdc.gov/infectioncontrol/guidelines/environmental/index.html</w:t>
        </w:r>
      </w:hyperlink>
    </w:p>
    <w:p w14:paraId="2E627C79" w14:textId="77777777" w:rsidR="00B43213" w:rsidRPr="00B229EF" w:rsidRDefault="00B43213" w:rsidP="00B229EF">
      <w:pPr>
        <w:pStyle w:val="ListParagraph"/>
        <w:numPr>
          <w:ilvl w:val="0"/>
          <w:numId w:val="18"/>
        </w:numPr>
        <w:spacing w:line="360" w:lineRule="auto"/>
        <w:jc w:val="both"/>
        <w:rPr>
          <w:rFonts w:ascii="Rockwell" w:hAnsi="Rockwell"/>
          <w:sz w:val="24"/>
          <w:szCs w:val="24"/>
        </w:rPr>
      </w:pPr>
      <w:proofErr w:type="spellStart"/>
      <w:r w:rsidRPr="00B229EF">
        <w:rPr>
          <w:rFonts w:ascii="Rockwell" w:hAnsi="Rockwell"/>
          <w:sz w:val="24"/>
          <w:szCs w:val="24"/>
        </w:rPr>
        <w:t>Debere</w:t>
      </w:r>
      <w:proofErr w:type="spellEnd"/>
      <w:r w:rsidRPr="00B229EF">
        <w:rPr>
          <w:rFonts w:ascii="Rockwell" w:hAnsi="Rockwell"/>
          <w:sz w:val="24"/>
          <w:szCs w:val="24"/>
        </w:rPr>
        <w:t xml:space="preserve">, M. K., et al. (2018). </w:t>
      </w:r>
      <w:r w:rsidRPr="00B229EF">
        <w:rPr>
          <w:rFonts w:ascii="Rockwell" w:hAnsi="Rockwell"/>
          <w:i/>
          <w:iCs/>
          <w:sz w:val="24"/>
          <w:szCs w:val="24"/>
        </w:rPr>
        <w:t>Assessment of health care waste management practices and associated factors among health workers in Addis Ababa public health facilities, Ethiopia</w:t>
      </w:r>
      <w:r w:rsidRPr="00B229EF">
        <w:rPr>
          <w:rFonts w:ascii="Rockwell" w:hAnsi="Rockwell"/>
          <w:sz w:val="24"/>
          <w:szCs w:val="24"/>
        </w:rPr>
        <w:t xml:space="preserve">. </w:t>
      </w:r>
      <w:r w:rsidRPr="00B229EF">
        <w:rPr>
          <w:rFonts w:ascii="Rockwell" w:hAnsi="Rockwell"/>
          <w:i/>
          <w:iCs/>
          <w:sz w:val="24"/>
          <w:szCs w:val="24"/>
        </w:rPr>
        <w:t>Waste Management &amp; Research</w:t>
      </w:r>
      <w:r w:rsidRPr="00B229EF">
        <w:rPr>
          <w:rFonts w:ascii="Rockwell" w:hAnsi="Rockwell"/>
          <w:sz w:val="24"/>
          <w:szCs w:val="24"/>
        </w:rPr>
        <w:t>, 36(11), 1051–1061. doi:10.1177/0734242X18793984</w:t>
      </w:r>
    </w:p>
    <w:p w14:paraId="134DF465" w14:textId="77777777" w:rsidR="00B43213" w:rsidRPr="00B229EF" w:rsidRDefault="00B43213" w:rsidP="00B229EF">
      <w:pPr>
        <w:pStyle w:val="ListParagraph"/>
        <w:numPr>
          <w:ilvl w:val="0"/>
          <w:numId w:val="18"/>
        </w:numPr>
        <w:spacing w:line="360" w:lineRule="auto"/>
        <w:jc w:val="both"/>
        <w:rPr>
          <w:rFonts w:ascii="Rockwell" w:hAnsi="Rockwell"/>
          <w:b/>
          <w:bCs/>
          <w:sz w:val="24"/>
          <w:szCs w:val="24"/>
        </w:rPr>
      </w:pPr>
      <w:r w:rsidRPr="00B229EF">
        <w:rPr>
          <w:rFonts w:ascii="Rockwell" w:hAnsi="Rockwell"/>
          <w:sz w:val="24"/>
          <w:szCs w:val="24"/>
        </w:rPr>
        <w:t xml:space="preserve">Weber, D. J., et al. (2019). </w:t>
      </w:r>
      <w:r w:rsidRPr="00B229EF">
        <w:rPr>
          <w:rFonts w:ascii="Rockwell" w:hAnsi="Rockwell"/>
          <w:i/>
          <w:iCs/>
          <w:sz w:val="24"/>
          <w:szCs w:val="24"/>
        </w:rPr>
        <w:t>The role of the environment in transmission of Clostridium difficile infection in healthcare facilities</w:t>
      </w:r>
      <w:r w:rsidRPr="00B229EF">
        <w:rPr>
          <w:rFonts w:ascii="Rockwell" w:hAnsi="Rockwell"/>
          <w:sz w:val="24"/>
          <w:szCs w:val="24"/>
        </w:rPr>
        <w:t xml:space="preserve">. </w:t>
      </w:r>
      <w:r w:rsidRPr="00B229EF">
        <w:rPr>
          <w:rFonts w:ascii="Rockwell" w:hAnsi="Rockwell"/>
          <w:i/>
          <w:iCs/>
          <w:sz w:val="24"/>
          <w:szCs w:val="24"/>
        </w:rPr>
        <w:t>American Journal of Infection Control</w:t>
      </w:r>
      <w:r w:rsidRPr="00B229EF">
        <w:rPr>
          <w:rFonts w:ascii="Rockwell" w:hAnsi="Rockwell"/>
          <w:sz w:val="24"/>
          <w:szCs w:val="24"/>
        </w:rPr>
        <w:t xml:space="preserve">, </w:t>
      </w:r>
      <w:r w:rsidRPr="00B229EF">
        <w:rPr>
          <w:rFonts w:ascii="Rockwell" w:hAnsi="Rockwell"/>
          <w:b/>
          <w:bCs/>
          <w:sz w:val="24"/>
          <w:szCs w:val="24"/>
        </w:rPr>
        <w:t xml:space="preserve">47(6), 756–759. </w:t>
      </w:r>
      <w:proofErr w:type="gramStart"/>
      <w:r w:rsidRPr="00B229EF">
        <w:rPr>
          <w:rFonts w:ascii="Rockwell" w:hAnsi="Rockwell"/>
          <w:b/>
          <w:bCs/>
          <w:sz w:val="24"/>
          <w:szCs w:val="24"/>
        </w:rPr>
        <w:t>doi:10.1016/j.ajic</w:t>
      </w:r>
      <w:proofErr w:type="gramEnd"/>
      <w:r w:rsidRPr="00B229EF">
        <w:rPr>
          <w:rFonts w:ascii="Rockwell" w:hAnsi="Rockwell"/>
          <w:b/>
          <w:bCs/>
          <w:sz w:val="24"/>
          <w:szCs w:val="24"/>
        </w:rPr>
        <w:t>.2019.01.015</w:t>
      </w:r>
    </w:p>
    <w:p w14:paraId="7F085889" w14:textId="77777777" w:rsidR="00B43213" w:rsidRDefault="00B43213" w:rsidP="00B43213">
      <w:pPr>
        <w:rPr>
          <w:rFonts w:ascii="Rockwell" w:hAnsi="Rockwell"/>
          <w:b/>
          <w:bCs/>
          <w:sz w:val="24"/>
          <w:szCs w:val="24"/>
        </w:rPr>
      </w:pPr>
    </w:p>
    <w:p w14:paraId="009B91DD" w14:textId="77777777" w:rsidR="00B43213" w:rsidRDefault="00B43213" w:rsidP="00B43213">
      <w:pPr>
        <w:rPr>
          <w:rFonts w:ascii="Rockwell" w:hAnsi="Rockwell"/>
          <w:b/>
          <w:bCs/>
          <w:sz w:val="24"/>
          <w:szCs w:val="24"/>
        </w:rPr>
      </w:pPr>
    </w:p>
    <w:p w14:paraId="4AEFD18C" w14:textId="77777777" w:rsidR="00B43213" w:rsidRDefault="00B43213" w:rsidP="00B43213">
      <w:pPr>
        <w:rPr>
          <w:rFonts w:ascii="Rockwell" w:hAnsi="Rockwell"/>
          <w:b/>
          <w:bCs/>
          <w:sz w:val="24"/>
          <w:szCs w:val="24"/>
        </w:rPr>
      </w:pPr>
    </w:p>
    <w:p w14:paraId="0C3F0106" w14:textId="77777777" w:rsidR="00B229EF" w:rsidRDefault="00B229EF" w:rsidP="00B43213">
      <w:pPr>
        <w:rPr>
          <w:rFonts w:ascii="Rockwell" w:hAnsi="Rockwell"/>
          <w:b/>
          <w:bCs/>
          <w:sz w:val="24"/>
          <w:szCs w:val="24"/>
        </w:rPr>
      </w:pPr>
    </w:p>
    <w:p w14:paraId="3B54A646" w14:textId="77777777" w:rsidR="00B14378" w:rsidRPr="00B43213" w:rsidRDefault="00B14378">
      <w:pPr>
        <w:rPr>
          <w:rFonts w:ascii="Rockwell" w:hAnsi="Rockwell"/>
          <w:sz w:val="24"/>
          <w:szCs w:val="24"/>
        </w:rPr>
      </w:pPr>
    </w:p>
    <w:p w14:paraId="23C600D7" w14:textId="77777777" w:rsidR="00B43213" w:rsidRPr="00B43213" w:rsidRDefault="00B43213">
      <w:pPr>
        <w:rPr>
          <w:rFonts w:ascii="Rockwell" w:hAnsi="Rockwell"/>
          <w:sz w:val="24"/>
          <w:szCs w:val="24"/>
        </w:rPr>
      </w:pPr>
    </w:p>
    <w:sectPr w:rsidR="00B43213" w:rsidRPr="00B43213" w:rsidSect="007A590A">
      <w:footerReference w:type="default" r:id="rId15"/>
      <w:pgSz w:w="12240" w:h="15840"/>
      <w:pgMar w:top="1440" w:right="630" w:bottom="1440" w:left="450" w:header="432" w:footer="432"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FF7DE8" w14:textId="77777777" w:rsidR="00E63612" w:rsidRDefault="00E63612" w:rsidP="00211602">
      <w:pPr>
        <w:spacing w:after="0" w:line="240" w:lineRule="auto"/>
      </w:pPr>
      <w:r>
        <w:separator/>
      </w:r>
    </w:p>
  </w:endnote>
  <w:endnote w:type="continuationSeparator" w:id="0">
    <w:p w14:paraId="3218F46E" w14:textId="77777777" w:rsidR="00E63612" w:rsidRDefault="00E63612" w:rsidP="002116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Rockwell">
    <w:panose1 w:val="02060603020205020403"/>
    <w:charset w:val="00"/>
    <w:family w:val="roman"/>
    <w:pitch w:val="variable"/>
    <w:sig w:usb0="00000007" w:usb1="00000000" w:usb2="00000000" w:usb3="00000000" w:csb0="00000003"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43906599"/>
      <w:docPartObj>
        <w:docPartGallery w:val="Page Numbers (Bottom of Page)"/>
        <w:docPartUnique/>
      </w:docPartObj>
    </w:sdtPr>
    <w:sdtContent>
      <w:p w14:paraId="51EBD65E" w14:textId="285FEECF" w:rsidR="000E15B6" w:rsidRDefault="00000000">
        <w:pPr>
          <w:pStyle w:val="Footer"/>
        </w:pPr>
        <w:r>
          <w:rPr>
            <w:noProof/>
          </w:rPr>
          <w:drawing>
            <wp:anchor distT="0" distB="0" distL="114300" distR="114300" simplePos="0" relativeHeight="251659264" behindDoc="0" locked="0" layoutInCell="1" allowOverlap="1" wp14:anchorId="104D6A2B" wp14:editId="04EE9DA9">
              <wp:simplePos x="0" y="0"/>
              <wp:positionH relativeFrom="column">
                <wp:posOffset>-2551790</wp:posOffset>
              </wp:positionH>
              <wp:positionV relativeFrom="paragraph">
                <wp:posOffset>85030</wp:posOffset>
              </wp:positionV>
              <wp:extent cx="934483" cy="227457"/>
              <wp:effectExtent l="0" t="0" r="0" b="1270"/>
              <wp:wrapNone/>
              <wp:docPr id="524588279" name="Picture 844023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588279" name="Picture 844023034"/>
                      <pic:cNvPicPr>
                        <a:picLocks noChangeAspect="1"/>
                      </pic:cNvPicPr>
                    </pic:nvPicPr>
                    <pic:blipFill>
                      <a:blip r:embed="rId1"/>
                      <a:stretch>
                        <a:fillRect/>
                      </a:stretch>
                    </pic:blipFill>
                    <pic:spPr>
                      <a:xfrm>
                        <a:off x="0" y="0"/>
                        <a:ext cx="934483" cy="227457"/>
                      </a:xfrm>
                      <a:prstGeom prst="rect">
                        <a:avLst/>
                      </a:prstGeom>
                    </pic:spPr>
                  </pic:pic>
                </a:graphicData>
              </a:graphic>
            </wp:anchor>
          </w:drawing>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40847765"/>
      <w:docPartObj>
        <w:docPartGallery w:val="Page Numbers (Bottom of Page)"/>
        <w:docPartUnique/>
      </w:docPartObj>
    </w:sdtPr>
    <w:sdtContent>
      <w:p w14:paraId="1A7DAF9C" w14:textId="0232B36C" w:rsidR="00211602" w:rsidRDefault="00B229EF">
        <w:pPr>
          <w:pStyle w:val="Footer"/>
        </w:pPr>
        <w:r>
          <w:rPr>
            <w:noProof/>
          </w:rPr>
          <mc:AlternateContent>
            <mc:Choice Requires="wps">
              <w:drawing>
                <wp:anchor distT="0" distB="0" distL="114300" distR="114300" simplePos="0" relativeHeight="251665408" behindDoc="0" locked="0" layoutInCell="1" allowOverlap="1" wp14:anchorId="2160713A" wp14:editId="408C4187">
                  <wp:simplePos x="0" y="0"/>
                  <wp:positionH relativeFrom="page">
                    <wp:align>left</wp:align>
                  </wp:positionH>
                  <wp:positionV relativeFrom="page">
                    <wp:posOffset>8394700</wp:posOffset>
                  </wp:positionV>
                  <wp:extent cx="1276350" cy="1616710"/>
                  <wp:effectExtent l="0" t="19050" r="38100" b="21590"/>
                  <wp:wrapNone/>
                  <wp:docPr id="1005241760" name="Isosceles Tri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1276350" cy="1616710"/>
                          </a:xfrm>
                          <a:prstGeom prst="triangle">
                            <a:avLst>
                              <a:gd name="adj" fmla="val 100000"/>
                            </a:avLst>
                          </a:prstGeom>
                          <a:ln/>
                        </wps:spPr>
                        <wps:style>
                          <a:lnRef idx="2">
                            <a:schemeClr val="accent6">
                              <a:shade val="15000"/>
                            </a:schemeClr>
                          </a:lnRef>
                          <a:fillRef idx="1">
                            <a:schemeClr val="accent6"/>
                          </a:fillRef>
                          <a:effectRef idx="0">
                            <a:schemeClr val="accent6"/>
                          </a:effectRef>
                          <a:fontRef idx="minor">
                            <a:schemeClr val="lt1"/>
                          </a:fontRef>
                        </wps:style>
                        <wps:txbx>
                          <w:txbxContent>
                            <w:p w14:paraId="027B40B1" w14:textId="77777777" w:rsidR="00211602" w:rsidRDefault="00211602">
                              <w:pPr>
                                <w:jc w:val="center"/>
                                <w:rPr>
                                  <w:rFonts w:ascii="Rockwell" w:hAnsi="Rockwell"/>
                                  <w:b/>
                                  <w:bCs/>
                                  <w:sz w:val="18"/>
                                  <w:szCs w:val="18"/>
                                </w:rPr>
                              </w:pPr>
                            </w:p>
                            <w:p w14:paraId="4D6D7B80" w14:textId="77777777" w:rsidR="00211602" w:rsidRPr="0078721D" w:rsidRDefault="00211602">
                              <w:pPr>
                                <w:jc w:val="center"/>
                                <w:rPr>
                                  <w:rFonts w:ascii="Rockwell" w:hAnsi="Rockwell"/>
                                  <w:b/>
                                  <w:bCs/>
                                  <w:szCs w:val="72"/>
                                </w:rPr>
                              </w:pPr>
                              <w:r w:rsidRPr="0078721D">
                                <w:rPr>
                                  <w:rFonts w:ascii="Rockwell" w:hAnsi="Rockwell" w:cs="Times New Roman"/>
                                  <w:b/>
                                  <w:bCs/>
                                </w:rPr>
                                <w:fldChar w:fldCharType="begin"/>
                              </w:r>
                              <w:r w:rsidRPr="0078721D">
                                <w:rPr>
                                  <w:rFonts w:ascii="Rockwell" w:hAnsi="Rockwell"/>
                                  <w:b/>
                                  <w:bCs/>
                                </w:rPr>
                                <w:instrText xml:space="preserve"> PAGE    \* MERGEFORMAT </w:instrText>
                              </w:r>
                              <w:r w:rsidRPr="0078721D">
                                <w:rPr>
                                  <w:rFonts w:ascii="Rockwell" w:hAnsi="Rockwell" w:cs="Times New Roman"/>
                                  <w:b/>
                                  <w:bCs/>
                                </w:rPr>
                                <w:fldChar w:fldCharType="separate"/>
                              </w:r>
                              <w:r w:rsidRPr="0078721D">
                                <w:rPr>
                                  <w:rFonts w:ascii="Rockwell" w:eastAsiaTheme="majorEastAsia" w:hAnsi="Rockwell" w:cstheme="majorBidi"/>
                                  <w:b/>
                                  <w:bCs/>
                                  <w:noProof/>
                                  <w:sz w:val="72"/>
                                  <w:szCs w:val="72"/>
                                </w:rPr>
                                <w:t>2</w:t>
                              </w:r>
                              <w:r w:rsidRPr="0078721D">
                                <w:rPr>
                                  <w:rFonts w:ascii="Rockwell" w:eastAsiaTheme="majorEastAsia" w:hAnsi="Rockwell" w:cstheme="majorBidi"/>
                                  <w:b/>
                                  <w:bCs/>
                                  <w:noProof/>
                                  <w:sz w:val="72"/>
                                  <w:szCs w:val="72"/>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160713A"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1" o:spid="_x0000_s1026" type="#_x0000_t5" style="position:absolute;margin-left:0;margin-top:661pt;width:100.5pt;height:127.3pt;flip:x;z-index:251665408;visibility:visible;mso-wrap-style:square;mso-width-percent:0;mso-height-percent:0;mso-wrap-distance-left:9pt;mso-wrap-distance-top:0;mso-wrap-distance-right:9pt;mso-wrap-distance-bottom:0;mso-position-horizontal:left;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" adj="21600" fillcolor="#4ea72e [3209]" strokecolor="#0b1807 [489]" strokeweight="1.5pt">
                  <v:textbox>
                    <w:txbxContent>
                      <w:p w14:paraId="027B40B1" w14:textId="77777777" w:rsidR="00211602" w:rsidRDefault="00211602">
                        <w:pPr>
                          <w:jc w:val="center"/>
                          <w:rPr>
                            <w:rFonts w:ascii="Rockwell" w:hAnsi="Rockwell"/>
                            <w:b/>
                            <w:bCs/>
                            <w:sz w:val="18"/>
                            <w:szCs w:val="18"/>
                          </w:rPr>
                        </w:pPr>
                      </w:p>
                      <w:p w14:paraId="4D6D7B80" w14:textId="77777777" w:rsidR="00211602" w:rsidRPr="0078721D" w:rsidRDefault="00211602">
                        <w:pPr>
                          <w:jc w:val="center"/>
                          <w:rPr>
                            <w:rFonts w:ascii="Rockwell" w:hAnsi="Rockwell"/>
                            <w:b/>
                            <w:bCs/>
                            <w:szCs w:val="72"/>
                          </w:rPr>
                        </w:pPr>
                        <w:r w:rsidRPr="0078721D">
                          <w:rPr>
                            <w:rFonts w:ascii="Rockwell" w:hAnsi="Rockwell" w:cs="Times New Roman"/>
                            <w:b/>
                            <w:bCs/>
                          </w:rPr>
                          <w:fldChar w:fldCharType="begin"/>
                        </w:r>
                        <w:r w:rsidRPr="0078721D">
                          <w:rPr>
                            <w:rFonts w:ascii="Rockwell" w:hAnsi="Rockwell"/>
                            <w:b/>
                            <w:bCs/>
                          </w:rPr>
                          <w:instrText xml:space="preserve"> PAGE    \* MERGEFORMAT </w:instrText>
                        </w:r>
                        <w:r w:rsidRPr="0078721D">
                          <w:rPr>
                            <w:rFonts w:ascii="Rockwell" w:hAnsi="Rockwell" w:cs="Times New Roman"/>
                            <w:b/>
                            <w:bCs/>
                          </w:rPr>
                          <w:fldChar w:fldCharType="separate"/>
                        </w:r>
                        <w:r w:rsidRPr="0078721D">
                          <w:rPr>
                            <w:rFonts w:ascii="Rockwell" w:eastAsiaTheme="majorEastAsia" w:hAnsi="Rockwell" w:cstheme="majorBidi"/>
                            <w:b/>
                            <w:bCs/>
                            <w:noProof/>
                            <w:sz w:val="72"/>
                            <w:szCs w:val="72"/>
                          </w:rPr>
                          <w:t>2</w:t>
                        </w:r>
                        <w:r w:rsidRPr="0078721D">
                          <w:rPr>
                            <w:rFonts w:ascii="Rockwell" w:eastAsiaTheme="majorEastAsia" w:hAnsi="Rockwell" w:cstheme="majorBidi"/>
                            <w:b/>
                            <w:bCs/>
                            <w:noProof/>
                            <w:sz w:val="72"/>
                            <w:szCs w:val="72"/>
                          </w:rPr>
                          <w:fldChar w:fldCharType="end"/>
                        </w:r>
                      </w:p>
                    </w:txbxContent>
                  </v:textbox>
                  <w10:wrap anchorx="page" anchory="page"/>
                </v:shape>
              </w:pict>
            </mc:Fallback>
          </mc:AlternateContent>
        </w:r>
        <w:r w:rsidR="00211602">
          <w:rPr>
            <w:noProof/>
          </w:rPr>
          <w:drawing>
            <wp:anchor distT="0" distB="0" distL="114300" distR="114300" simplePos="0" relativeHeight="251663360" behindDoc="0" locked="0" layoutInCell="1" allowOverlap="1" wp14:anchorId="62C6C185" wp14:editId="0B0268F3">
              <wp:simplePos x="0" y="0"/>
              <wp:positionH relativeFrom="column">
                <wp:posOffset>-2551790</wp:posOffset>
              </wp:positionH>
              <wp:positionV relativeFrom="paragraph">
                <wp:posOffset>85030</wp:posOffset>
              </wp:positionV>
              <wp:extent cx="934483" cy="227457"/>
              <wp:effectExtent l="0" t="0" r="0" b="1270"/>
              <wp:wrapNone/>
              <wp:docPr id="1839925596" name="Picture 844023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588279" name="Picture 844023034"/>
                      <pic:cNvPicPr>
                        <a:picLocks noChangeAspect="1"/>
                      </pic:cNvPicPr>
                    </pic:nvPicPr>
                    <pic:blipFill>
                      <a:blip r:embed="rId1"/>
                      <a:stretch>
                        <a:fillRect/>
                      </a:stretch>
                    </pic:blipFill>
                    <pic:spPr>
                      <a:xfrm>
                        <a:off x="0" y="0"/>
                        <a:ext cx="934483" cy="227457"/>
                      </a:xfrm>
                      <a:prstGeom prst="rect">
                        <a:avLst/>
                      </a:prstGeom>
                    </pic:spPr>
                  </pic:pic>
                </a:graphicData>
              </a:graphic>
            </wp:anchor>
          </w:drawing>
        </w:r>
        <w:r w:rsidR="00211602">
          <w:rPr>
            <w:noProof/>
          </w:rPr>
          <mc:AlternateContent>
            <mc:Choice Requires="wps">
              <w:drawing>
                <wp:anchor distT="0" distB="0" distL="114300" distR="114300" simplePos="0" relativeHeight="251664384" behindDoc="0" locked="0" layoutInCell="1" allowOverlap="1" wp14:anchorId="56AE107A" wp14:editId="6EBB0424">
                  <wp:simplePos x="0" y="0"/>
                  <wp:positionH relativeFrom="page">
                    <wp:align>right</wp:align>
                  </wp:positionH>
                  <wp:positionV relativeFrom="paragraph">
                    <wp:posOffset>-19685</wp:posOffset>
                  </wp:positionV>
                  <wp:extent cx="10011962" cy="50800"/>
                  <wp:effectExtent l="19050" t="19050" r="27940" b="25400"/>
                  <wp:wrapNone/>
                  <wp:docPr id="478727050" name="Straight Connector 2"/>
                  <wp:cNvGraphicFramePr/>
                  <a:graphic xmlns:a="http://schemas.openxmlformats.org/drawingml/2006/main">
                    <a:graphicData uri="http://schemas.microsoft.com/office/word/2010/wordprocessingShape">
                      <wps:wsp>
                        <wps:cNvCnPr/>
                        <wps:spPr>
                          <a:xfrm>
                            <a:off x="0" y="0"/>
                            <a:ext cx="10011962" cy="50800"/>
                          </a:xfrm>
                          <a:prstGeom prst="line">
                            <a:avLst/>
                          </a:prstGeom>
                          <a:ln w="38100"/>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5723FF2" id="Straight Connector 2" o:spid="_x0000_s1026" style="position:absolute;z-index:251664384;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 from="737.15pt,-1.55pt" to="1525.5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" strokecolor="#e97132 [3205]" strokeweight="3pt">
                  <v:stroke joinstyle="miter"/>
                  <w10:wrap anchorx="page"/>
                </v:line>
              </w:pict>
            </mc:Fallback>
          </mc:AlternateConten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42002330"/>
      <w:docPartObj>
        <w:docPartGallery w:val="Page Numbers (Bottom of Page)"/>
        <w:docPartUnique/>
      </w:docPartObj>
    </w:sdtPr>
    <w:sdtContent>
      <w:p w14:paraId="1926DB47" w14:textId="77777777" w:rsidR="00092D3F" w:rsidRDefault="00092D3F">
        <w:pPr>
          <w:pStyle w:val="Footer"/>
        </w:pPr>
        <w:r>
          <w:rPr>
            <w:noProof/>
          </w:rPr>
          <mc:AlternateContent>
            <mc:Choice Requires="wps">
              <w:drawing>
                <wp:anchor distT="0" distB="0" distL="114300" distR="114300" simplePos="0" relativeHeight="251669504" behindDoc="0" locked="0" layoutInCell="1" allowOverlap="1" wp14:anchorId="02B70298" wp14:editId="41EB45DA">
                  <wp:simplePos x="0" y="0"/>
                  <wp:positionH relativeFrom="page">
                    <wp:align>left</wp:align>
                  </wp:positionH>
                  <wp:positionV relativeFrom="page">
                    <wp:posOffset>8394700</wp:posOffset>
                  </wp:positionV>
                  <wp:extent cx="1276350" cy="1616710"/>
                  <wp:effectExtent l="0" t="19050" r="38100" b="21590"/>
                  <wp:wrapNone/>
                  <wp:docPr id="349985743" name="Isosceles Tri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1276350" cy="1616710"/>
                          </a:xfrm>
                          <a:prstGeom prst="triangle">
                            <a:avLst>
                              <a:gd name="adj" fmla="val 100000"/>
                            </a:avLst>
                          </a:prstGeom>
                          <a:ln/>
                        </wps:spPr>
                        <wps:style>
                          <a:lnRef idx="2">
                            <a:schemeClr val="accent6">
                              <a:shade val="15000"/>
                            </a:schemeClr>
                          </a:lnRef>
                          <a:fillRef idx="1">
                            <a:schemeClr val="accent6"/>
                          </a:fillRef>
                          <a:effectRef idx="0">
                            <a:schemeClr val="accent6"/>
                          </a:effectRef>
                          <a:fontRef idx="minor">
                            <a:schemeClr val="lt1"/>
                          </a:fontRef>
                        </wps:style>
                        <wps:txbx>
                          <w:txbxContent>
                            <w:p w14:paraId="39CE9D62" w14:textId="77777777" w:rsidR="00092D3F" w:rsidRDefault="00092D3F">
                              <w:pPr>
                                <w:jc w:val="center"/>
                                <w:rPr>
                                  <w:rFonts w:ascii="Rockwell" w:hAnsi="Rockwell"/>
                                  <w:b/>
                                  <w:bCs/>
                                  <w:sz w:val="18"/>
                                  <w:szCs w:val="18"/>
                                </w:rPr>
                              </w:pPr>
                            </w:p>
                            <w:p w14:paraId="467888DA" w14:textId="77777777" w:rsidR="00092D3F" w:rsidRPr="0078721D" w:rsidRDefault="00092D3F">
                              <w:pPr>
                                <w:jc w:val="center"/>
                                <w:rPr>
                                  <w:rFonts w:ascii="Rockwell" w:hAnsi="Rockwell"/>
                                  <w:b/>
                                  <w:bCs/>
                                  <w:szCs w:val="72"/>
                                </w:rPr>
                              </w:pPr>
                              <w:r w:rsidRPr="0078721D">
                                <w:rPr>
                                  <w:rFonts w:ascii="Rockwell" w:hAnsi="Rockwell" w:cs="Times New Roman"/>
                                  <w:b/>
                                  <w:bCs/>
                                </w:rPr>
                                <w:fldChar w:fldCharType="begin"/>
                              </w:r>
                              <w:r w:rsidRPr="0078721D">
                                <w:rPr>
                                  <w:rFonts w:ascii="Rockwell" w:hAnsi="Rockwell"/>
                                  <w:b/>
                                  <w:bCs/>
                                </w:rPr>
                                <w:instrText xml:space="preserve"> PAGE    \* MERGEFORMAT </w:instrText>
                              </w:r>
                              <w:r w:rsidRPr="0078721D">
                                <w:rPr>
                                  <w:rFonts w:ascii="Rockwell" w:hAnsi="Rockwell" w:cs="Times New Roman"/>
                                  <w:b/>
                                  <w:bCs/>
                                </w:rPr>
                                <w:fldChar w:fldCharType="separate"/>
                              </w:r>
                              <w:r w:rsidRPr="0078721D">
                                <w:rPr>
                                  <w:rFonts w:ascii="Rockwell" w:eastAsiaTheme="majorEastAsia" w:hAnsi="Rockwell" w:cstheme="majorBidi"/>
                                  <w:b/>
                                  <w:bCs/>
                                  <w:noProof/>
                                  <w:sz w:val="72"/>
                                  <w:szCs w:val="72"/>
                                </w:rPr>
                                <w:t>2</w:t>
                              </w:r>
                              <w:r w:rsidRPr="0078721D">
                                <w:rPr>
                                  <w:rFonts w:ascii="Rockwell" w:eastAsiaTheme="majorEastAsia" w:hAnsi="Rockwell" w:cstheme="majorBidi"/>
                                  <w:b/>
                                  <w:bCs/>
                                  <w:noProof/>
                                  <w:sz w:val="72"/>
                                  <w:szCs w:val="72"/>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2B70298"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_x0000_s1027" type="#_x0000_t5" style="position:absolute;margin-left:0;margin-top:661pt;width:100.5pt;height:127.3pt;flip:x;z-index:251669504;visibility:visible;mso-wrap-style:square;mso-width-percent:0;mso-height-percent:0;mso-wrap-distance-left:9pt;mso-wrap-distance-top:0;mso-wrap-distance-right:9pt;mso-wrap-distance-bottom:0;mso-position-horizontal:left;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" adj="21600" fillcolor="#4ea72e [3209]" strokecolor="#0b1807 [489]" strokeweight="1.5pt">
                  <v:textbox>
                    <w:txbxContent>
                      <w:p w14:paraId="39CE9D62" w14:textId="77777777" w:rsidR="00092D3F" w:rsidRDefault="00092D3F">
                        <w:pPr>
                          <w:jc w:val="center"/>
                          <w:rPr>
                            <w:rFonts w:ascii="Rockwell" w:hAnsi="Rockwell"/>
                            <w:b/>
                            <w:bCs/>
                            <w:sz w:val="18"/>
                            <w:szCs w:val="18"/>
                          </w:rPr>
                        </w:pPr>
                      </w:p>
                      <w:p w14:paraId="467888DA" w14:textId="77777777" w:rsidR="00092D3F" w:rsidRPr="0078721D" w:rsidRDefault="00092D3F">
                        <w:pPr>
                          <w:jc w:val="center"/>
                          <w:rPr>
                            <w:rFonts w:ascii="Rockwell" w:hAnsi="Rockwell"/>
                            <w:b/>
                            <w:bCs/>
                            <w:szCs w:val="72"/>
                          </w:rPr>
                        </w:pPr>
                        <w:r w:rsidRPr="0078721D">
                          <w:rPr>
                            <w:rFonts w:ascii="Rockwell" w:hAnsi="Rockwell" w:cs="Times New Roman"/>
                            <w:b/>
                            <w:bCs/>
                          </w:rPr>
                          <w:fldChar w:fldCharType="begin"/>
                        </w:r>
                        <w:r w:rsidRPr="0078721D">
                          <w:rPr>
                            <w:rFonts w:ascii="Rockwell" w:hAnsi="Rockwell"/>
                            <w:b/>
                            <w:bCs/>
                          </w:rPr>
                          <w:instrText xml:space="preserve"> PAGE    \* MERGEFORMAT </w:instrText>
                        </w:r>
                        <w:r w:rsidRPr="0078721D">
                          <w:rPr>
                            <w:rFonts w:ascii="Rockwell" w:hAnsi="Rockwell" w:cs="Times New Roman"/>
                            <w:b/>
                            <w:bCs/>
                          </w:rPr>
                          <w:fldChar w:fldCharType="separate"/>
                        </w:r>
                        <w:r w:rsidRPr="0078721D">
                          <w:rPr>
                            <w:rFonts w:ascii="Rockwell" w:eastAsiaTheme="majorEastAsia" w:hAnsi="Rockwell" w:cstheme="majorBidi"/>
                            <w:b/>
                            <w:bCs/>
                            <w:noProof/>
                            <w:sz w:val="72"/>
                            <w:szCs w:val="72"/>
                          </w:rPr>
                          <w:t>2</w:t>
                        </w:r>
                        <w:r w:rsidRPr="0078721D">
                          <w:rPr>
                            <w:rFonts w:ascii="Rockwell" w:eastAsiaTheme="majorEastAsia" w:hAnsi="Rockwell" w:cstheme="majorBidi"/>
                            <w:b/>
                            <w:bCs/>
                            <w:noProof/>
                            <w:sz w:val="72"/>
                            <w:szCs w:val="72"/>
                          </w:rPr>
                          <w:fldChar w:fldCharType="end"/>
                        </w:r>
                      </w:p>
                    </w:txbxContent>
                  </v:textbox>
                  <w10:wrap anchorx="page" anchory="page"/>
                </v:shape>
              </w:pict>
            </mc:Fallback>
          </mc:AlternateContent>
        </w:r>
        <w:r>
          <w:rPr>
            <w:noProof/>
          </w:rPr>
          <w:drawing>
            <wp:anchor distT="0" distB="0" distL="114300" distR="114300" simplePos="0" relativeHeight="251667456" behindDoc="0" locked="0" layoutInCell="1" allowOverlap="1" wp14:anchorId="79E3A4B8" wp14:editId="2D332699">
              <wp:simplePos x="0" y="0"/>
              <wp:positionH relativeFrom="column">
                <wp:posOffset>-2551790</wp:posOffset>
              </wp:positionH>
              <wp:positionV relativeFrom="paragraph">
                <wp:posOffset>85030</wp:posOffset>
              </wp:positionV>
              <wp:extent cx="934483" cy="227457"/>
              <wp:effectExtent l="0" t="0" r="0" b="1270"/>
              <wp:wrapNone/>
              <wp:docPr id="693172625" name="Picture 844023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588279" name="Picture 844023034"/>
                      <pic:cNvPicPr>
                        <a:picLocks noChangeAspect="1"/>
                      </pic:cNvPicPr>
                    </pic:nvPicPr>
                    <pic:blipFill>
                      <a:blip r:embed="rId1"/>
                      <a:stretch>
                        <a:fillRect/>
                      </a:stretch>
                    </pic:blipFill>
                    <pic:spPr>
                      <a:xfrm>
                        <a:off x="0" y="0"/>
                        <a:ext cx="934483" cy="227457"/>
                      </a:xfrm>
                      <a:prstGeom prst="rect">
                        <a:avLst/>
                      </a:prstGeom>
                    </pic:spPr>
                  </pic:pic>
                </a:graphicData>
              </a:graphic>
            </wp:anchor>
          </w:drawing>
        </w:r>
        <w:r>
          <w:rPr>
            <w:noProof/>
          </w:rPr>
          <mc:AlternateContent>
            <mc:Choice Requires="wps">
              <w:drawing>
                <wp:anchor distT="0" distB="0" distL="114300" distR="114300" simplePos="0" relativeHeight="251668480" behindDoc="0" locked="0" layoutInCell="1" allowOverlap="1" wp14:anchorId="1E5C89E2" wp14:editId="5F2275D2">
                  <wp:simplePos x="0" y="0"/>
                  <wp:positionH relativeFrom="page">
                    <wp:align>right</wp:align>
                  </wp:positionH>
                  <wp:positionV relativeFrom="paragraph">
                    <wp:posOffset>-19685</wp:posOffset>
                  </wp:positionV>
                  <wp:extent cx="10011962" cy="50800"/>
                  <wp:effectExtent l="19050" t="19050" r="27940" b="25400"/>
                  <wp:wrapNone/>
                  <wp:docPr id="2010427349" name="Straight Connector 2"/>
                  <wp:cNvGraphicFramePr/>
                  <a:graphic xmlns:a="http://schemas.openxmlformats.org/drawingml/2006/main">
                    <a:graphicData uri="http://schemas.microsoft.com/office/word/2010/wordprocessingShape">
                      <wps:wsp>
                        <wps:cNvCnPr/>
                        <wps:spPr>
                          <a:xfrm>
                            <a:off x="0" y="0"/>
                            <a:ext cx="10011962" cy="50800"/>
                          </a:xfrm>
                          <a:prstGeom prst="line">
                            <a:avLst/>
                          </a:prstGeom>
                          <a:ln w="38100"/>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88EB4B7" id="Straight Connector 2" o:spid="_x0000_s1026" style="position:absolute;z-index:251668480;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 from="737.15pt,-1.55pt" to="1525.5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" strokecolor="#e97132 [3205]" strokeweight="3pt">
                  <v:stroke joinstyle="miter"/>
                  <w10:wrap anchorx="page"/>
                </v:lin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6813CF" w14:textId="77777777" w:rsidR="00E63612" w:rsidRDefault="00E63612" w:rsidP="00211602">
      <w:pPr>
        <w:spacing w:after="0" w:line="240" w:lineRule="auto"/>
      </w:pPr>
      <w:r>
        <w:separator/>
      </w:r>
    </w:p>
  </w:footnote>
  <w:footnote w:type="continuationSeparator" w:id="0">
    <w:p w14:paraId="10F9EE53" w14:textId="77777777" w:rsidR="00E63612" w:rsidRDefault="00E63612" w:rsidP="0021160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61B96"/>
    <w:multiLevelType w:val="multilevel"/>
    <w:tmpl w:val="E72634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943F60"/>
    <w:multiLevelType w:val="hybridMultilevel"/>
    <w:tmpl w:val="0CBA96C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46F11BE"/>
    <w:multiLevelType w:val="multilevel"/>
    <w:tmpl w:val="9CFAD2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284345"/>
    <w:multiLevelType w:val="multilevel"/>
    <w:tmpl w:val="9B10612C"/>
    <w:lvl w:ilvl="0">
      <w:start w:val="1"/>
      <w:numFmt w:val="bullet"/>
      <w:lvlText w:val=""/>
      <w:lvlJc w:val="left"/>
      <w:pPr>
        <w:tabs>
          <w:tab w:val="num" w:pos="720"/>
        </w:tabs>
        <w:ind w:left="720" w:hanging="360"/>
      </w:pPr>
      <w:rPr>
        <w:rFonts w:ascii="Wingdings" w:hAnsi="Wingdings" w:hint="default"/>
        <w:color w:val="33CCFF"/>
        <w:w w:val="86"/>
        <w:sz w:val="36"/>
        <w:szCs w:val="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4957E4"/>
    <w:multiLevelType w:val="multilevel"/>
    <w:tmpl w:val="6AB2D05C"/>
    <w:lvl w:ilvl="0">
      <w:start w:val="1"/>
      <w:numFmt w:val="bullet"/>
      <w:lvlText w:val=""/>
      <w:lvlJc w:val="left"/>
      <w:pPr>
        <w:tabs>
          <w:tab w:val="num" w:pos="720"/>
        </w:tabs>
        <w:ind w:left="720" w:hanging="360"/>
      </w:pPr>
      <w:rPr>
        <w:rFonts w:ascii="Wingdings" w:hAnsi="Wingdings" w:hint="default"/>
        <w:color w:val="33CCFF"/>
        <w:w w:val="86"/>
        <w:sz w:val="36"/>
        <w:szCs w:val="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AB1E07"/>
    <w:multiLevelType w:val="multilevel"/>
    <w:tmpl w:val="3684E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0F57CE"/>
    <w:multiLevelType w:val="multilevel"/>
    <w:tmpl w:val="24AC3004"/>
    <w:lvl w:ilvl="0">
      <w:start w:val="1"/>
      <w:numFmt w:val="bullet"/>
      <w:lvlText w:val=""/>
      <w:lvlJc w:val="left"/>
      <w:pPr>
        <w:tabs>
          <w:tab w:val="num" w:pos="720"/>
        </w:tabs>
        <w:ind w:left="720" w:hanging="360"/>
      </w:pPr>
      <w:rPr>
        <w:rFonts w:ascii="Wingdings" w:hAnsi="Wingdings" w:hint="default"/>
        <w:color w:val="33CCFF"/>
        <w:w w:val="86"/>
        <w:sz w:val="36"/>
        <w:szCs w:val="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5961B9"/>
    <w:multiLevelType w:val="multilevel"/>
    <w:tmpl w:val="618CA5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90D0D72"/>
    <w:multiLevelType w:val="multilevel"/>
    <w:tmpl w:val="11AEAE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DB5477E"/>
    <w:multiLevelType w:val="hybridMultilevel"/>
    <w:tmpl w:val="F36AAC3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30C06993"/>
    <w:multiLevelType w:val="multilevel"/>
    <w:tmpl w:val="E7CE8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A853FB"/>
    <w:multiLevelType w:val="multilevel"/>
    <w:tmpl w:val="033ED1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5110FEE"/>
    <w:multiLevelType w:val="hybridMultilevel"/>
    <w:tmpl w:val="8BE42C08"/>
    <w:lvl w:ilvl="0" w:tplc="981AA828">
      <w:start w:val="1"/>
      <w:numFmt w:val="bullet"/>
      <w:lvlText w:val=""/>
      <w:lvlJc w:val="left"/>
      <w:pPr>
        <w:ind w:left="1080" w:hanging="360"/>
      </w:pPr>
      <w:rPr>
        <w:rFonts w:ascii="Wingdings" w:hAnsi="Wingdings" w:hint="default"/>
        <w:color w:val="33CCFF"/>
        <w:w w:val="86"/>
        <w:sz w:val="36"/>
        <w:szCs w:val="8"/>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3A4647A5"/>
    <w:multiLevelType w:val="hybridMultilevel"/>
    <w:tmpl w:val="9536BE7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3A521DCA"/>
    <w:multiLevelType w:val="multilevel"/>
    <w:tmpl w:val="E94238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1C376B7"/>
    <w:multiLevelType w:val="multilevel"/>
    <w:tmpl w:val="8742850A"/>
    <w:lvl w:ilvl="0">
      <w:start w:val="1"/>
      <w:numFmt w:val="bullet"/>
      <w:lvlText w:val=""/>
      <w:lvlJc w:val="left"/>
      <w:pPr>
        <w:tabs>
          <w:tab w:val="num" w:pos="720"/>
        </w:tabs>
        <w:ind w:left="720" w:hanging="360"/>
      </w:pPr>
      <w:rPr>
        <w:rFonts w:ascii="Wingdings" w:hAnsi="Wingdings" w:hint="default"/>
        <w:color w:val="33CCFF"/>
        <w:w w:val="86"/>
        <w:sz w:val="36"/>
        <w:szCs w:val="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FA3980"/>
    <w:multiLevelType w:val="multilevel"/>
    <w:tmpl w:val="6826F2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42674EE"/>
    <w:multiLevelType w:val="multilevel"/>
    <w:tmpl w:val="44E21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C862731"/>
    <w:multiLevelType w:val="hybridMultilevel"/>
    <w:tmpl w:val="6BB0D95A"/>
    <w:lvl w:ilvl="0" w:tplc="981AA828">
      <w:start w:val="1"/>
      <w:numFmt w:val="bullet"/>
      <w:lvlText w:val=""/>
      <w:lvlJc w:val="left"/>
      <w:pPr>
        <w:ind w:left="360" w:hanging="360"/>
      </w:pPr>
      <w:rPr>
        <w:rFonts w:ascii="Wingdings" w:hAnsi="Wingdings" w:hint="default"/>
        <w:color w:val="33CCFF"/>
        <w:w w:val="86"/>
        <w:sz w:val="36"/>
        <w:szCs w:val="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707204AD"/>
    <w:multiLevelType w:val="hybridMultilevel"/>
    <w:tmpl w:val="67162C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2D8117E"/>
    <w:multiLevelType w:val="multilevel"/>
    <w:tmpl w:val="7EF64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3545750">
    <w:abstractNumId w:val="11"/>
  </w:num>
  <w:num w:numId="2" w16cid:durableId="249855216">
    <w:abstractNumId w:val="20"/>
  </w:num>
  <w:num w:numId="3" w16cid:durableId="1359896050">
    <w:abstractNumId w:val="10"/>
  </w:num>
  <w:num w:numId="4" w16cid:durableId="1173882656">
    <w:abstractNumId w:val="16"/>
  </w:num>
  <w:num w:numId="5" w16cid:durableId="2129100">
    <w:abstractNumId w:val="17"/>
  </w:num>
  <w:num w:numId="6" w16cid:durableId="149491610">
    <w:abstractNumId w:val="7"/>
  </w:num>
  <w:num w:numId="7" w16cid:durableId="2004314613">
    <w:abstractNumId w:val="14"/>
  </w:num>
  <w:num w:numId="8" w16cid:durableId="606472324">
    <w:abstractNumId w:val="8"/>
  </w:num>
  <w:num w:numId="9" w16cid:durableId="561215302">
    <w:abstractNumId w:val="15"/>
  </w:num>
  <w:num w:numId="10" w16cid:durableId="1974480862">
    <w:abstractNumId w:val="3"/>
  </w:num>
  <w:num w:numId="11" w16cid:durableId="1089497632">
    <w:abstractNumId w:val="6"/>
  </w:num>
  <w:num w:numId="12" w16cid:durableId="1594821485">
    <w:abstractNumId w:val="5"/>
  </w:num>
  <w:num w:numId="13" w16cid:durableId="377242607">
    <w:abstractNumId w:val="18"/>
  </w:num>
  <w:num w:numId="14" w16cid:durableId="1155103805">
    <w:abstractNumId w:val="1"/>
  </w:num>
  <w:num w:numId="15" w16cid:durableId="45297000">
    <w:abstractNumId w:val="12"/>
  </w:num>
  <w:num w:numId="16" w16cid:durableId="372971709">
    <w:abstractNumId w:val="4"/>
  </w:num>
  <w:num w:numId="17" w16cid:durableId="239949035">
    <w:abstractNumId w:val="19"/>
  </w:num>
  <w:num w:numId="18" w16cid:durableId="1851066689">
    <w:abstractNumId w:val="13"/>
  </w:num>
  <w:num w:numId="19" w16cid:durableId="996424160">
    <w:abstractNumId w:val="0"/>
  </w:num>
  <w:num w:numId="20" w16cid:durableId="2037149819">
    <w:abstractNumId w:val="2"/>
  </w:num>
  <w:num w:numId="21" w16cid:durableId="45956755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3213"/>
    <w:rsid w:val="00092D3F"/>
    <w:rsid w:val="000E15B6"/>
    <w:rsid w:val="001951DB"/>
    <w:rsid w:val="00211602"/>
    <w:rsid w:val="002B1FCC"/>
    <w:rsid w:val="003418CB"/>
    <w:rsid w:val="003A1BD5"/>
    <w:rsid w:val="003E384C"/>
    <w:rsid w:val="00547BBF"/>
    <w:rsid w:val="00637557"/>
    <w:rsid w:val="0066617F"/>
    <w:rsid w:val="006B7001"/>
    <w:rsid w:val="006C541D"/>
    <w:rsid w:val="00707E01"/>
    <w:rsid w:val="0077445B"/>
    <w:rsid w:val="00775419"/>
    <w:rsid w:val="007A590A"/>
    <w:rsid w:val="007C3EF4"/>
    <w:rsid w:val="008E7360"/>
    <w:rsid w:val="008E75B0"/>
    <w:rsid w:val="00B14378"/>
    <w:rsid w:val="00B229EF"/>
    <w:rsid w:val="00B43213"/>
    <w:rsid w:val="00CE43BF"/>
    <w:rsid w:val="00D90EA5"/>
    <w:rsid w:val="00E028A3"/>
    <w:rsid w:val="00E636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DDF49E"/>
  <w15:chartTrackingRefBased/>
  <w15:docId w15:val="{02F902C7-E4E1-40AE-9A81-2E4610CAE9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32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432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432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32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32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32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32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32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32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32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432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432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32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32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32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32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32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3213"/>
    <w:rPr>
      <w:rFonts w:eastAsiaTheme="majorEastAsia" w:cstheme="majorBidi"/>
      <w:color w:val="272727" w:themeColor="text1" w:themeTint="D8"/>
    </w:rPr>
  </w:style>
  <w:style w:type="paragraph" w:styleId="Title">
    <w:name w:val="Title"/>
    <w:basedOn w:val="Normal"/>
    <w:next w:val="Normal"/>
    <w:link w:val="TitleChar"/>
    <w:uiPriority w:val="10"/>
    <w:qFormat/>
    <w:rsid w:val="00B432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32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32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32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3213"/>
    <w:pPr>
      <w:spacing w:before="160"/>
      <w:jc w:val="center"/>
    </w:pPr>
    <w:rPr>
      <w:i/>
      <w:iCs/>
      <w:color w:val="404040" w:themeColor="text1" w:themeTint="BF"/>
    </w:rPr>
  </w:style>
  <w:style w:type="character" w:customStyle="1" w:styleId="QuoteChar">
    <w:name w:val="Quote Char"/>
    <w:basedOn w:val="DefaultParagraphFont"/>
    <w:link w:val="Quote"/>
    <w:uiPriority w:val="29"/>
    <w:rsid w:val="00B43213"/>
    <w:rPr>
      <w:i/>
      <w:iCs/>
      <w:color w:val="404040" w:themeColor="text1" w:themeTint="BF"/>
    </w:rPr>
  </w:style>
  <w:style w:type="paragraph" w:styleId="ListParagraph">
    <w:name w:val="List Paragraph"/>
    <w:basedOn w:val="Normal"/>
    <w:uiPriority w:val="34"/>
    <w:qFormat/>
    <w:rsid w:val="00B43213"/>
    <w:pPr>
      <w:ind w:left="720"/>
      <w:contextualSpacing/>
    </w:pPr>
  </w:style>
  <w:style w:type="character" w:styleId="IntenseEmphasis">
    <w:name w:val="Intense Emphasis"/>
    <w:basedOn w:val="DefaultParagraphFont"/>
    <w:uiPriority w:val="21"/>
    <w:qFormat/>
    <w:rsid w:val="00B43213"/>
    <w:rPr>
      <w:i/>
      <w:iCs/>
      <w:color w:val="0F4761" w:themeColor="accent1" w:themeShade="BF"/>
    </w:rPr>
  </w:style>
  <w:style w:type="paragraph" w:styleId="IntenseQuote">
    <w:name w:val="Intense Quote"/>
    <w:basedOn w:val="Normal"/>
    <w:next w:val="Normal"/>
    <w:link w:val="IntenseQuoteChar"/>
    <w:uiPriority w:val="30"/>
    <w:qFormat/>
    <w:rsid w:val="00B432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3213"/>
    <w:rPr>
      <w:i/>
      <w:iCs/>
      <w:color w:val="0F4761" w:themeColor="accent1" w:themeShade="BF"/>
    </w:rPr>
  </w:style>
  <w:style w:type="character" w:styleId="IntenseReference">
    <w:name w:val="Intense Reference"/>
    <w:basedOn w:val="DefaultParagraphFont"/>
    <w:uiPriority w:val="32"/>
    <w:qFormat/>
    <w:rsid w:val="00B43213"/>
    <w:rPr>
      <w:b/>
      <w:bCs/>
      <w:smallCaps/>
      <w:color w:val="0F4761" w:themeColor="accent1" w:themeShade="BF"/>
      <w:spacing w:val="5"/>
    </w:rPr>
  </w:style>
  <w:style w:type="table" w:styleId="TableGrid">
    <w:name w:val="Table Grid"/>
    <w:basedOn w:val="TableNormal"/>
    <w:uiPriority w:val="39"/>
    <w:rsid w:val="00B432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43213"/>
    <w:rPr>
      <w:color w:val="467886" w:themeColor="hyperlink"/>
      <w:u w:val="single"/>
    </w:rPr>
  </w:style>
  <w:style w:type="character" w:styleId="UnresolvedMention">
    <w:name w:val="Unresolved Mention"/>
    <w:basedOn w:val="DefaultParagraphFont"/>
    <w:uiPriority w:val="99"/>
    <w:semiHidden/>
    <w:unhideWhenUsed/>
    <w:rsid w:val="00B43213"/>
    <w:rPr>
      <w:color w:val="605E5C"/>
      <w:shd w:val="clear" w:color="auto" w:fill="E1DFDD"/>
    </w:rPr>
  </w:style>
  <w:style w:type="paragraph" w:styleId="NoSpacing">
    <w:name w:val="No Spacing"/>
    <w:uiPriority w:val="1"/>
    <w:qFormat/>
    <w:rsid w:val="00211602"/>
    <w:pPr>
      <w:spacing w:after="0" w:line="240" w:lineRule="auto"/>
    </w:pPr>
    <w:rPr>
      <w:rFonts w:eastAsiaTheme="minorHAnsi"/>
      <w:sz w:val="24"/>
      <w:szCs w:val="24"/>
      <w:lang w:eastAsia="en-US"/>
    </w:rPr>
  </w:style>
  <w:style w:type="paragraph" w:styleId="Footer">
    <w:name w:val="footer"/>
    <w:basedOn w:val="Normal"/>
    <w:link w:val="FooterChar"/>
    <w:uiPriority w:val="99"/>
    <w:unhideWhenUsed/>
    <w:rsid w:val="00211602"/>
    <w:pPr>
      <w:tabs>
        <w:tab w:val="center" w:pos="4680"/>
        <w:tab w:val="right" w:pos="9360"/>
      </w:tabs>
      <w:spacing w:after="0" w:line="240" w:lineRule="auto"/>
    </w:pPr>
    <w:rPr>
      <w:rFonts w:ascii="Times New Roman" w:eastAsia="Times New Roman" w:hAnsi="Times New Roman" w:cs="Times New Roman"/>
      <w:kern w:val="0"/>
      <w:sz w:val="24"/>
      <w:szCs w:val="24"/>
      <w:lang w:eastAsia="en-US"/>
      <w14:ligatures w14:val="none"/>
    </w:rPr>
  </w:style>
  <w:style w:type="character" w:customStyle="1" w:styleId="FooterChar">
    <w:name w:val="Footer Char"/>
    <w:basedOn w:val="DefaultParagraphFont"/>
    <w:link w:val="Footer"/>
    <w:uiPriority w:val="99"/>
    <w:rsid w:val="00211602"/>
    <w:rPr>
      <w:rFonts w:ascii="Times New Roman" w:eastAsia="Times New Roman" w:hAnsi="Times New Roman" w:cs="Times New Roman"/>
      <w:kern w:val="0"/>
      <w:sz w:val="24"/>
      <w:szCs w:val="24"/>
      <w:lang w:eastAsia="en-US"/>
      <w14:ligatures w14:val="none"/>
    </w:rPr>
  </w:style>
  <w:style w:type="paragraph" w:styleId="TOC1">
    <w:name w:val="toc 1"/>
    <w:basedOn w:val="Normal"/>
    <w:next w:val="Normal"/>
    <w:autoRedefine/>
    <w:uiPriority w:val="39"/>
    <w:unhideWhenUsed/>
    <w:rsid w:val="00211602"/>
    <w:pPr>
      <w:spacing w:after="100"/>
    </w:pPr>
    <w:rPr>
      <w:rFonts w:eastAsiaTheme="minorHAnsi"/>
      <w:lang w:eastAsia="en-US"/>
    </w:rPr>
  </w:style>
  <w:style w:type="paragraph" w:styleId="TOC2">
    <w:name w:val="toc 2"/>
    <w:basedOn w:val="Normal"/>
    <w:next w:val="Normal"/>
    <w:autoRedefine/>
    <w:uiPriority w:val="39"/>
    <w:unhideWhenUsed/>
    <w:rsid w:val="00211602"/>
    <w:pPr>
      <w:spacing w:after="100" w:line="240" w:lineRule="auto"/>
      <w:ind w:left="240"/>
    </w:pPr>
    <w:rPr>
      <w:rFonts w:ascii="Times New Roman" w:eastAsia="Times New Roman" w:hAnsi="Times New Roman" w:cs="Times New Roman"/>
      <w:kern w:val="0"/>
      <w:sz w:val="24"/>
      <w:szCs w:val="24"/>
      <w:lang w:eastAsia="en-US"/>
      <w14:ligatures w14:val="none"/>
    </w:rPr>
  </w:style>
  <w:style w:type="paragraph" w:styleId="TableofFigures">
    <w:name w:val="table of figures"/>
    <w:basedOn w:val="Normal"/>
    <w:next w:val="Normal"/>
    <w:uiPriority w:val="99"/>
    <w:unhideWhenUsed/>
    <w:rsid w:val="00211602"/>
    <w:pPr>
      <w:spacing w:after="0" w:line="240" w:lineRule="auto"/>
    </w:pPr>
    <w:rPr>
      <w:rFonts w:ascii="Times New Roman" w:eastAsia="Times New Roman" w:hAnsi="Times New Roman" w:cs="Times New Roman"/>
      <w:kern w:val="0"/>
      <w:sz w:val="24"/>
      <w:szCs w:val="24"/>
      <w:lang w:eastAsia="en-US"/>
      <w14:ligatures w14:val="none"/>
    </w:rPr>
  </w:style>
  <w:style w:type="paragraph" w:styleId="Header">
    <w:name w:val="header"/>
    <w:basedOn w:val="Normal"/>
    <w:link w:val="HeaderChar"/>
    <w:uiPriority w:val="99"/>
    <w:unhideWhenUsed/>
    <w:rsid w:val="0021160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11602"/>
  </w:style>
  <w:style w:type="paragraph" w:styleId="Caption">
    <w:name w:val="caption"/>
    <w:basedOn w:val="Normal"/>
    <w:next w:val="Normal"/>
    <w:uiPriority w:val="35"/>
    <w:unhideWhenUsed/>
    <w:qFormat/>
    <w:rsid w:val="00775419"/>
    <w:pPr>
      <w:spacing w:after="200" w:line="240" w:lineRule="auto"/>
    </w:pPr>
    <w:rPr>
      <w:rFonts w:ascii="Times New Roman" w:eastAsia="Times New Roman" w:hAnsi="Times New Roman" w:cs="Times New Roman"/>
      <w:i/>
      <w:iCs/>
      <w:color w:val="0E2841" w:themeColor="text2"/>
      <w:kern w:val="0"/>
      <w:sz w:val="18"/>
      <w:szCs w:val="18"/>
      <w:lang w:eastAsia="en-US"/>
      <w14:ligatures w14:val="none"/>
    </w:rPr>
  </w:style>
  <w:style w:type="paragraph" w:styleId="NormalWeb">
    <w:name w:val="Normal (Web)"/>
    <w:basedOn w:val="Normal"/>
    <w:uiPriority w:val="99"/>
    <w:semiHidden/>
    <w:unhideWhenUsed/>
    <w:rsid w:val="00775419"/>
    <w:pPr>
      <w:spacing w:before="100" w:beforeAutospacing="1" w:after="100" w:afterAutospacing="1" w:line="240" w:lineRule="auto"/>
    </w:pPr>
    <w:rPr>
      <w:rFonts w:ascii="Times New Roman" w:eastAsia="Times New Roman" w:hAnsi="Times New Roman" w:cs="Times New Roman"/>
      <w:kern w:val="0"/>
      <w:sz w:val="24"/>
      <w:szCs w:val="24"/>
      <w:lang w:eastAsia="en-US"/>
      <w14:ligatures w14:val="none"/>
    </w:rPr>
  </w:style>
  <w:style w:type="character" w:styleId="PlaceholderText">
    <w:name w:val="Placeholder Text"/>
    <w:basedOn w:val="DefaultParagraphFont"/>
    <w:uiPriority w:val="99"/>
    <w:semiHidden/>
    <w:rsid w:val="008E75B0"/>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389070">
      <w:bodyDiv w:val="1"/>
      <w:marLeft w:val="0"/>
      <w:marRight w:val="0"/>
      <w:marTop w:val="0"/>
      <w:marBottom w:val="0"/>
      <w:divBdr>
        <w:top w:val="none" w:sz="0" w:space="0" w:color="auto"/>
        <w:left w:val="none" w:sz="0" w:space="0" w:color="auto"/>
        <w:bottom w:val="none" w:sz="0" w:space="0" w:color="auto"/>
        <w:right w:val="none" w:sz="0" w:space="0" w:color="auto"/>
      </w:divBdr>
    </w:div>
    <w:div w:id="143161684">
      <w:bodyDiv w:val="1"/>
      <w:marLeft w:val="0"/>
      <w:marRight w:val="0"/>
      <w:marTop w:val="0"/>
      <w:marBottom w:val="0"/>
      <w:divBdr>
        <w:top w:val="none" w:sz="0" w:space="0" w:color="auto"/>
        <w:left w:val="none" w:sz="0" w:space="0" w:color="auto"/>
        <w:bottom w:val="none" w:sz="0" w:space="0" w:color="auto"/>
        <w:right w:val="none" w:sz="0" w:space="0" w:color="auto"/>
      </w:divBdr>
    </w:div>
    <w:div w:id="209808181">
      <w:bodyDiv w:val="1"/>
      <w:marLeft w:val="0"/>
      <w:marRight w:val="0"/>
      <w:marTop w:val="0"/>
      <w:marBottom w:val="0"/>
      <w:divBdr>
        <w:top w:val="none" w:sz="0" w:space="0" w:color="auto"/>
        <w:left w:val="none" w:sz="0" w:space="0" w:color="auto"/>
        <w:bottom w:val="none" w:sz="0" w:space="0" w:color="auto"/>
        <w:right w:val="none" w:sz="0" w:space="0" w:color="auto"/>
      </w:divBdr>
    </w:div>
    <w:div w:id="409229347">
      <w:bodyDiv w:val="1"/>
      <w:marLeft w:val="0"/>
      <w:marRight w:val="0"/>
      <w:marTop w:val="0"/>
      <w:marBottom w:val="0"/>
      <w:divBdr>
        <w:top w:val="none" w:sz="0" w:space="0" w:color="auto"/>
        <w:left w:val="none" w:sz="0" w:space="0" w:color="auto"/>
        <w:bottom w:val="none" w:sz="0" w:space="0" w:color="auto"/>
        <w:right w:val="none" w:sz="0" w:space="0" w:color="auto"/>
      </w:divBdr>
    </w:div>
    <w:div w:id="453014484">
      <w:bodyDiv w:val="1"/>
      <w:marLeft w:val="0"/>
      <w:marRight w:val="0"/>
      <w:marTop w:val="0"/>
      <w:marBottom w:val="0"/>
      <w:divBdr>
        <w:top w:val="none" w:sz="0" w:space="0" w:color="auto"/>
        <w:left w:val="none" w:sz="0" w:space="0" w:color="auto"/>
        <w:bottom w:val="none" w:sz="0" w:space="0" w:color="auto"/>
        <w:right w:val="none" w:sz="0" w:space="0" w:color="auto"/>
      </w:divBdr>
    </w:div>
    <w:div w:id="504396559">
      <w:bodyDiv w:val="1"/>
      <w:marLeft w:val="0"/>
      <w:marRight w:val="0"/>
      <w:marTop w:val="0"/>
      <w:marBottom w:val="0"/>
      <w:divBdr>
        <w:top w:val="none" w:sz="0" w:space="0" w:color="auto"/>
        <w:left w:val="none" w:sz="0" w:space="0" w:color="auto"/>
        <w:bottom w:val="none" w:sz="0" w:space="0" w:color="auto"/>
        <w:right w:val="none" w:sz="0" w:space="0" w:color="auto"/>
      </w:divBdr>
    </w:div>
    <w:div w:id="782654855">
      <w:bodyDiv w:val="1"/>
      <w:marLeft w:val="0"/>
      <w:marRight w:val="0"/>
      <w:marTop w:val="0"/>
      <w:marBottom w:val="0"/>
      <w:divBdr>
        <w:top w:val="none" w:sz="0" w:space="0" w:color="auto"/>
        <w:left w:val="none" w:sz="0" w:space="0" w:color="auto"/>
        <w:bottom w:val="none" w:sz="0" w:space="0" w:color="auto"/>
        <w:right w:val="none" w:sz="0" w:space="0" w:color="auto"/>
      </w:divBdr>
    </w:div>
    <w:div w:id="971718149">
      <w:bodyDiv w:val="1"/>
      <w:marLeft w:val="0"/>
      <w:marRight w:val="0"/>
      <w:marTop w:val="0"/>
      <w:marBottom w:val="0"/>
      <w:divBdr>
        <w:top w:val="none" w:sz="0" w:space="0" w:color="auto"/>
        <w:left w:val="none" w:sz="0" w:space="0" w:color="auto"/>
        <w:bottom w:val="none" w:sz="0" w:space="0" w:color="auto"/>
        <w:right w:val="none" w:sz="0" w:space="0" w:color="auto"/>
      </w:divBdr>
    </w:div>
    <w:div w:id="1198659168">
      <w:bodyDiv w:val="1"/>
      <w:marLeft w:val="0"/>
      <w:marRight w:val="0"/>
      <w:marTop w:val="0"/>
      <w:marBottom w:val="0"/>
      <w:divBdr>
        <w:top w:val="none" w:sz="0" w:space="0" w:color="auto"/>
        <w:left w:val="none" w:sz="0" w:space="0" w:color="auto"/>
        <w:bottom w:val="none" w:sz="0" w:space="0" w:color="auto"/>
        <w:right w:val="none" w:sz="0" w:space="0" w:color="auto"/>
      </w:divBdr>
    </w:div>
    <w:div w:id="1249850600">
      <w:bodyDiv w:val="1"/>
      <w:marLeft w:val="0"/>
      <w:marRight w:val="0"/>
      <w:marTop w:val="0"/>
      <w:marBottom w:val="0"/>
      <w:divBdr>
        <w:top w:val="none" w:sz="0" w:space="0" w:color="auto"/>
        <w:left w:val="none" w:sz="0" w:space="0" w:color="auto"/>
        <w:bottom w:val="none" w:sz="0" w:space="0" w:color="auto"/>
        <w:right w:val="none" w:sz="0" w:space="0" w:color="auto"/>
      </w:divBdr>
    </w:div>
    <w:div w:id="1765110912">
      <w:bodyDiv w:val="1"/>
      <w:marLeft w:val="0"/>
      <w:marRight w:val="0"/>
      <w:marTop w:val="0"/>
      <w:marBottom w:val="0"/>
      <w:divBdr>
        <w:top w:val="none" w:sz="0" w:space="0" w:color="auto"/>
        <w:left w:val="none" w:sz="0" w:space="0" w:color="auto"/>
        <w:bottom w:val="none" w:sz="0" w:space="0" w:color="auto"/>
        <w:right w:val="none" w:sz="0" w:space="0" w:color="auto"/>
      </w:divBdr>
    </w:div>
    <w:div w:id="1877694105">
      <w:bodyDiv w:val="1"/>
      <w:marLeft w:val="0"/>
      <w:marRight w:val="0"/>
      <w:marTop w:val="0"/>
      <w:marBottom w:val="0"/>
      <w:divBdr>
        <w:top w:val="none" w:sz="0" w:space="0" w:color="auto"/>
        <w:left w:val="none" w:sz="0" w:space="0" w:color="auto"/>
        <w:bottom w:val="none" w:sz="0" w:space="0" w:color="auto"/>
        <w:right w:val="none" w:sz="0" w:space="0" w:color="auto"/>
      </w:divBdr>
    </w:div>
    <w:div w:id="20637950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www.who.int/publications/i/item/9789240051164"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who.int/publications/i/item/WHO-2019-nCoV-IPC-2021.1"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1.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www.cdc.gov/infectioncontrol/guidelines/environmental/index.html"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Rockwell" panose="02060603020205020403" pitchFamily="18" charset="0"/>
                <a:ea typeface="+mn-ea"/>
                <a:cs typeface="+mn-cs"/>
              </a:defRPr>
            </a:pPr>
            <a:r>
              <a:rPr lang="en-US"/>
              <a:t>DGH IPC compliance (%)</a:t>
            </a:r>
          </a:p>
        </c:rich>
      </c:tx>
      <c:overlay val="0"/>
      <c:spPr>
        <a:noFill/>
        <a:ln>
          <a:noFill/>
        </a:ln>
        <a:effectLst/>
      </c:spPr>
      <c:txPr>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Rockwell" panose="02060603020205020403" pitchFamily="18" charset="0"/>
              <a:ea typeface="+mn-ea"/>
              <a:cs typeface="+mn-cs"/>
            </a:defRPr>
          </a:pPr>
          <a:endParaRPr lang="en-US"/>
        </a:p>
      </c:txPr>
    </c:title>
    <c:autoTitleDeleted val="0"/>
    <c:plotArea>
      <c:layout/>
      <c:pieChart>
        <c:varyColors val="1"/>
        <c:ser>
          <c:idx val="0"/>
          <c:order val="0"/>
          <c:tx>
            <c:strRef>
              <c:f>Sheet1!$B$1</c:f>
              <c:strCache>
                <c:ptCount val="1"/>
                <c:pt idx="0">
                  <c:v>Sales</c:v>
                </c:pt>
              </c:strCache>
            </c:strRef>
          </c:tx>
          <c:dPt>
            <c:idx val="0"/>
            <c:bubble3D val="0"/>
            <c:spPr>
              <a:solidFill>
                <a:srgbClr val="00B050"/>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00C2-476A-AB40-E93D06EF4E01}"/>
              </c:ext>
            </c:extLst>
          </c:dPt>
          <c:dPt>
            <c:idx val="1"/>
            <c:bubble3D val="0"/>
            <c:spPr>
              <a:solidFill>
                <a:srgbClr val="EE0000"/>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00C2-476A-AB40-E93D06EF4E01}"/>
              </c:ext>
            </c:extLst>
          </c:dPt>
          <c:dLbls>
            <c:dLbl>
              <c:idx val="0"/>
              <c:tx>
                <c:rich>
                  <a:bodyPr/>
                  <a:lstStyle/>
                  <a:p>
                    <a:r>
                      <a:rPr lang="en-US" baseline="0"/>
                      <a:t>
</a:t>
                    </a:r>
                    <a:fld id="{333C98E9-D41B-4ACB-BE00-EE9892FFF87B}" type="PERCENTAGE">
                      <a:rPr lang="en-US" baseline="0"/>
                      <a:pPr/>
                      <a:t>[PERCENTAGE]</a:t>
                    </a:fld>
                    <a:endParaRPr lang="en-US" baseline="0"/>
                  </a:p>
                </c:rich>
              </c:tx>
              <c:dLblPos val="inEnd"/>
              <c:showLegendKey val="0"/>
              <c:showVal val="0"/>
              <c:showCatName val="1"/>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1-00C2-476A-AB40-E93D06EF4E01}"/>
                </c:ext>
              </c:extLst>
            </c:dLbl>
            <c:dLbl>
              <c:idx val="1"/>
              <c:tx>
                <c:rich>
                  <a:bodyPr/>
                  <a:lstStyle/>
                  <a:p>
                    <a:r>
                      <a:rPr lang="en-US" baseline="0"/>
                      <a:t>
</a:t>
                    </a:r>
                    <a:fld id="{99C053C0-3B6F-41CF-B429-6DFC6FD7DB38}" type="PERCENTAGE">
                      <a:rPr lang="en-US" baseline="0"/>
                      <a:pPr/>
                      <a:t>[PERCENTAGE]</a:t>
                    </a:fld>
                    <a:endParaRPr lang="en-US" baseline="0"/>
                  </a:p>
                </c:rich>
              </c:tx>
              <c:dLblPos val="inEnd"/>
              <c:showLegendKey val="0"/>
              <c:showVal val="0"/>
              <c:showCatName val="1"/>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3-00C2-476A-AB40-E93D06EF4E01}"/>
                </c:ext>
              </c:extLst>
            </c:dLbl>
            <c:spPr>
              <a:noFill/>
              <a:ln>
                <a:noFill/>
              </a:ln>
              <a:effectLst/>
            </c:spPr>
            <c:txPr>
              <a:bodyPr rot="0" spcFirstLastPara="1" vertOverflow="ellipsis" vert="horz" wrap="square" anchor="ctr" anchorCtr="1"/>
              <a:lstStyle/>
              <a:p>
                <a:pPr>
                  <a:defRPr sz="2400" b="1" i="0" u="none" strike="noStrike" kern="1200" baseline="0">
                    <a:solidFill>
                      <a:schemeClr val="lt1"/>
                    </a:solidFill>
                    <a:latin typeface="Rockwell" panose="02060603020205020403" pitchFamily="18" charset="0"/>
                    <a:ea typeface="+mn-ea"/>
                    <a:cs typeface="+mn-cs"/>
                  </a:defRPr>
                </a:pPr>
                <a:endParaRPr lang="en-US"/>
              </a:p>
            </c:txPr>
            <c:dLblPos val="inEnd"/>
            <c:showLegendKey val="0"/>
            <c:showVal val="0"/>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Sheet1!$A$2:$A$3</c:f>
              <c:strCache>
                <c:ptCount val="2"/>
                <c:pt idx="0">
                  <c:v>Compliant</c:v>
                </c:pt>
                <c:pt idx="1">
                  <c:v>Non-compliant</c:v>
                </c:pt>
              </c:strCache>
            </c:strRef>
          </c:cat>
          <c:val>
            <c:numRef>
              <c:f>Sheet1!$B$2:$B$3</c:f>
              <c:numCache>
                <c:formatCode>General</c:formatCode>
                <c:ptCount val="2"/>
                <c:pt idx="0">
                  <c:v>91</c:v>
                </c:pt>
                <c:pt idx="1">
                  <c:v>9</c:v>
                </c:pt>
              </c:numCache>
            </c:numRef>
          </c:val>
          <c:extLst>
            <c:ext xmlns:c16="http://schemas.microsoft.com/office/drawing/2014/chart" uri="{C3380CC4-5D6E-409C-BE32-E72D297353CC}">
              <c16:uniqueId val="{00000004-00C2-476A-AB40-E93D06EF4E01}"/>
            </c:ext>
          </c:extLst>
        </c:ser>
        <c:dLbls>
          <c:dLblPos val="inEnd"/>
          <c:showLegendKey val="0"/>
          <c:showVal val="0"/>
          <c:showCatName val="1"/>
          <c:showSerName val="0"/>
          <c:showPercent val="1"/>
          <c:showBubbleSize val="0"/>
          <c:showLeaderLines val="1"/>
        </c:dLbls>
        <c:firstSliceAng val="0"/>
      </c:pieChart>
      <c:spPr>
        <a:noFill/>
        <a:ln>
          <a:noFill/>
        </a:ln>
        <a:effectLst/>
      </c:spPr>
    </c:plotArea>
    <c:legend>
      <c:legendPos val="r"/>
      <c:layout>
        <c:manualLayout>
          <c:xMode val="edge"/>
          <c:yMode val="edge"/>
          <c:x val="0.7627791745610939"/>
          <c:y val="0.34209527968449349"/>
          <c:w val="0.22624186843982105"/>
          <c:h val="0.27920632104695753"/>
        </c:manualLayout>
      </c:layout>
      <c:overlay val="0"/>
      <c:spPr>
        <a:noFill/>
        <a:ln>
          <a:noFill/>
        </a:ln>
        <a:effectLst/>
      </c:spPr>
      <c:txPr>
        <a:bodyPr rot="0" spcFirstLastPara="1" vertOverflow="ellipsis" vert="horz" wrap="square" anchor="ctr" anchorCtr="1"/>
        <a:lstStyle/>
        <a:p>
          <a:pPr>
            <a:defRPr sz="1400" b="1" i="0" u="none" strike="noStrike" kern="1200" baseline="0">
              <a:solidFill>
                <a:schemeClr val="tx1">
                  <a:lumMod val="65000"/>
                  <a:lumOff val="35000"/>
                </a:schemeClr>
              </a:solidFill>
              <a:latin typeface="Rockwell" panose="02060603020205020403" pitchFamily="18" charset="0"/>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latin typeface="Rockwell" panose="02060603020205020403" pitchFamily="18" charset="0"/>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20DDC4-5B15-4D4B-94A3-490144C6E4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11</Pages>
  <Words>1747</Words>
  <Characters>9962</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Nuredin Yigezu</dc:creator>
  <cp:keywords/>
  <dc:description/>
  <cp:lastModifiedBy>Abdi Tofik</cp:lastModifiedBy>
  <cp:revision>10</cp:revision>
  <dcterms:created xsi:type="dcterms:W3CDTF">2025-07-26T21:43:00Z</dcterms:created>
  <dcterms:modified xsi:type="dcterms:W3CDTF">2025-07-26T22:04:00Z</dcterms:modified>
</cp:coreProperties>
</file>