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10449" w14:textId="3A0FA105" w:rsidR="008D68B1" w:rsidRDefault="005768D9" w:rsidP="008D68B1">
      <w:pPr>
        <w:rPr>
          <w:rFonts w:ascii="Rockwell" w:hAnsi="Rockwell"/>
          <w:b/>
          <w:bCs/>
          <w:sz w:val="28"/>
          <w:szCs w:val="28"/>
        </w:rPr>
      </w:pPr>
      <w:r w:rsidRPr="00CF6446">
        <w:rPr>
          <w:rFonts w:ascii="Rockwell" w:eastAsia="MS Mincho" w:hAnsi="Rockwell" w:cs="Times New Roman"/>
          <w:b/>
          <w:bCs/>
          <w:noProof/>
          <w:kern w:val="0"/>
          <w:sz w:val="36"/>
          <w:szCs w:val="36"/>
          <w14:ligatures w14:val="none"/>
        </w:rPr>
        <w:drawing>
          <wp:anchor distT="0" distB="0" distL="114300" distR="114300" simplePos="0" relativeHeight="251659264" behindDoc="1" locked="0" layoutInCell="1" allowOverlap="1" wp14:anchorId="3F563896" wp14:editId="2E42E26C">
            <wp:simplePos x="0" y="0"/>
            <wp:positionH relativeFrom="margin">
              <wp:posOffset>1939290</wp:posOffset>
            </wp:positionH>
            <wp:positionV relativeFrom="page">
              <wp:posOffset>408305</wp:posOffset>
            </wp:positionV>
            <wp:extent cx="1466850" cy="1466850"/>
            <wp:effectExtent l="0" t="0" r="0" b="0"/>
            <wp:wrapTight wrapText="bothSides">
              <wp:wrapPolygon edited="0">
                <wp:start x="0" y="0"/>
                <wp:lineTo x="0" y="21319"/>
                <wp:lineTo x="21319" y="21319"/>
                <wp:lineTo x="21319" y="0"/>
                <wp:lineTo x="0" y="0"/>
              </wp:wrapPolygon>
            </wp:wrapTight>
            <wp:docPr id="619279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6850" cy="1466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8B5FC9" w14:textId="389B54C3" w:rsidR="008D68B1" w:rsidRDefault="008D68B1" w:rsidP="008D68B1">
      <w:pPr>
        <w:jc w:val="center"/>
        <w:rPr>
          <w:rFonts w:ascii="Rockwell" w:hAnsi="Rockwell"/>
          <w:b/>
          <w:bCs/>
          <w:sz w:val="72"/>
          <w:szCs w:val="72"/>
        </w:rPr>
      </w:pPr>
    </w:p>
    <w:p w14:paraId="544CC630" w14:textId="5507877E" w:rsidR="00B43A75" w:rsidRPr="00B43A75" w:rsidRDefault="00B43A75" w:rsidP="00B43A75">
      <w:pPr>
        <w:jc w:val="center"/>
        <w:rPr>
          <w:rFonts w:ascii="Rockwell" w:hAnsi="Rockwell"/>
          <w:b/>
          <w:bCs/>
          <w:sz w:val="56"/>
          <w:szCs w:val="56"/>
        </w:rPr>
      </w:pPr>
      <w:r w:rsidRPr="00B43A75">
        <w:rPr>
          <w:rFonts w:ascii="Rockwell" w:hAnsi="Rockwell"/>
          <w:b/>
          <w:bCs/>
          <w:sz w:val="56"/>
          <w:szCs w:val="56"/>
        </w:rPr>
        <w:t xml:space="preserve">DEDER GENERAL HOSPITAL </w:t>
      </w:r>
    </w:p>
    <w:p w14:paraId="34B9B8EC" w14:textId="53583C33" w:rsidR="008D68B1" w:rsidRPr="00B43A75" w:rsidRDefault="00B43A75" w:rsidP="00B43A75">
      <w:pPr>
        <w:jc w:val="center"/>
        <w:rPr>
          <w:rFonts w:ascii="Rockwell" w:hAnsi="Rockwell"/>
          <w:b/>
          <w:bCs/>
          <w:sz w:val="72"/>
          <w:szCs w:val="72"/>
        </w:rPr>
      </w:pPr>
      <w:r>
        <w:rPr>
          <w:rFonts w:ascii="Rockwell" w:hAnsi="Rockwell"/>
          <w:b/>
          <w:bCs/>
          <w:sz w:val="72"/>
          <w:szCs w:val="72"/>
        </w:rPr>
        <w:t>IPC</w:t>
      </w:r>
      <w:r w:rsidR="008D68B1" w:rsidRPr="008D68B1">
        <w:rPr>
          <w:rFonts w:ascii="Rockwell" w:hAnsi="Rockwell"/>
          <w:b/>
          <w:bCs/>
          <w:sz w:val="72"/>
          <w:szCs w:val="72"/>
        </w:rPr>
        <w:t xml:space="preserve"> Program</w:t>
      </w:r>
    </w:p>
    <w:p w14:paraId="2D83AAF1" w14:textId="245C9370" w:rsidR="008D68B1" w:rsidRPr="00B43A75" w:rsidRDefault="008D68B1" w:rsidP="008D68B1">
      <w:pPr>
        <w:jc w:val="center"/>
        <w:rPr>
          <w:rFonts w:ascii="Rockwell" w:hAnsi="Rockwell"/>
          <w:b/>
          <w:bCs/>
          <w:sz w:val="56"/>
          <w:szCs w:val="56"/>
        </w:rPr>
      </w:pPr>
      <w:r w:rsidRPr="00B43A75">
        <w:rPr>
          <w:rFonts w:ascii="Rockwell" w:hAnsi="Rockwell"/>
          <w:b/>
          <w:bCs/>
          <w:sz w:val="56"/>
          <w:szCs w:val="56"/>
        </w:rPr>
        <w:t>Outbreak Preparedness and Response Plan</w:t>
      </w:r>
    </w:p>
    <w:p w14:paraId="481E1F4D" w14:textId="77777777" w:rsidR="008D68B1" w:rsidRDefault="008D68B1" w:rsidP="008D68B1">
      <w:pPr>
        <w:rPr>
          <w:rFonts w:ascii="Rockwell" w:hAnsi="Rockwell"/>
          <w:sz w:val="28"/>
          <w:szCs w:val="28"/>
        </w:rPr>
      </w:pPr>
    </w:p>
    <w:p w14:paraId="6098EC56" w14:textId="77777777" w:rsidR="008D68B1" w:rsidRDefault="008D68B1" w:rsidP="008D68B1">
      <w:pPr>
        <w:rPr>
          <w:rFonts w:ascii="Rockwell" w:hAnsi="Rockwell"/>
          <w:sz w:val="28"/>
          <w:szCs w:val="28"/>
        </w:rPr>
      </w:pPr>
    </w:p>
    <w:p w14:paraId="37988E87" w14:textId="77777777" w:rsidR="008D68B1" w:rsidRDefault="008D68B1" w:rsidP="008D68B1">
      <w:pPr>
        <w:rPr>
          <w:rFonts w:ascii="Rockwell" w:hAnsi="Rockwell"/>
          <w:sz w:val="28"/>
          <w:szCs w:val="28"/>
        </w:rPr>
      </w:pPr>
    </w:p>
    <w:p w14:paraId="42312FF7" w14:textId="77777777" w:rsidR="00B43A75" w:rsidRDefault="00B43A75" w:rsidP="008D68B1">
      <w:pPr>
        <w:ind w:left="5040"/>
        <w:rPr>
          <w:rFonts w:ascii="Rockwell" w:hAnsi="Rockwell"/>
          <w:sz w:val="28"/>
          <w:szCs w:val="28"/>
        </w:rPr>
      </w:pPr>
    </w:p>
    <w:p w14:paraId="39E0BF6C" w14:textId="77777777" w:rsidR="00B43A75" w:rsidRDefault="00B43A75" w:rsidP="008D68B1">
      <w:pPr>
        <w:ind w:left="5040"/>
        <w:rPr>
          <w:rFonts w:ascii="Rockwell" w:hAnsi="Rockwell"/>
          <w:sz w:val="28"/>
          <w:szCs w:val="28"/>
        </w:rPr>
      </w:pPr>
    </w:p>
    <w:p w14:paraId="22797171" w14:textId="77777777" w:rsidR="00B43A75" w:rsidRDefault="00B43A75" w:rsidP="008D68B1">
      <w:pPr>
        <w:ind w:left="5040"/>
        <w:rPr>
          <w:rFonts w:ascii="Rockwell" w:hAnsi="Rockwell"/>
          <w:sz w:val="28"/>
          <w:szCs w:val="28"/>
        </w:rPr>
      </w:pPr>
    </w:p>
    <w:p w14:paraId="63CE9EAE" w14:textId="77777777" w:rsidR="00B43A75" w:rsidRDefault="00B43A75" w:rsidP="008D68B1">
      <w:pPr>
        <w:ind w:left="5040"/>
        <w:rPr>
          <w:rFonts w:ascii="Rockwell" w:hAnsi="Rockwell"/>
          <w:sz w:val="28"/>
          <w:szCs w:val="28"/>
        </w:rPr>
      </w:pPr>
    </w:p>
    <w:p w14:paraId="09FEA2DD" w14:textId="77777777" w:rsidR="00B43A75" w:rsidRDefault="00B43A75" w:rsidP="008D68B1">
      <w:pPr>
        <w:ind w:left="5040"/>
        <w:rPr>
          <w:rFonts w:ascii="Rockwell" w:hAnsi="Rockwell"/>
          <w:sz w:val="28"/>
          <w:szCs w:val="28"/>
        </w:rPr>
      </w:pPr>
    </w:p>
    <w:p w14:paraId="7BC6B03C" w14:textId="77777777" w:rsidR="00B43A75" w:rsidRDefault="00B43A75" w:rsidP="008D68B1">
      <w:pPr>
        <w:ind w:left="5040"/>
        <w:rPr>
          <w:rFonts w:ascii="Rockwell" w:hAnsi="Rockwell"/>
          <w:sz w:val="28"/>
          <w:szCs w:val="28"/>
        </w:rPr>
      </w:pPr>
    </w:p>
    <w:p w14:paraId="623BA3F0" w14:textId="77777777" w:rsidR="00B43A75" w:rsidRDefault="00B43A75" w:rsidP="008D68B1">
      <w:pPr>
        <w:ind w:left="5040"/>
        <w:rPr>
          <w:rFonts w:ascii="Rockwell" w:hAnsi="Rockwell"/>
          <w:sz w:val="28"/>
          <w:szCs w:val="28"/>
        </w:rPr>
      </w:pPr>
    </w:p>
    <w:p w14:paraId="035AFF4B" w14:textId="77777777" w:rsidR="00B43A75" w:rsidRDefault="00B43A75" w:rsidP="008D68B1">
      <w:pPr>
        <w:ind w:left="5040"/>
        <w:rPr>
          <w:rFonts w:ascii="Rockwell" w:hAnsi="Rockwell"/>
          <w:sz w:val="28"/>
          <w:szCs w:val="28"/>
        </w:rPr>
      </w:pPr>
    </w:p>
    <w:p w14:paraId="103328C6" w14:textId="77777777" w:rsidR="00B43A75" w:rsidRDefault="00B43A75" w:rsidP="008D68B1">
      <w:pPr>
        <w:ind w:left="5040"/>
        <w:rPr>
          <w:rFonts w:ascii="Rockwell" w:hAnsi="Rockwell"/>
          <w:sz w:val="28"/>
          <w:szCs w:val="28"/>
        </w:rPr>
      </w:pPr>
    </w:p>
    <w:p w14:paraId="18503254" w14:textId="77777777" w:rsidR="00B43A75" w:rsidRDefault="00B43A75" w:rsidP="008D68B1">
      <w:pPr>
        <w:ind w:left="5040"/>
        <w:rPr>
          <w:rFonts w:ascii="Rockwell" w:hAnsi="Rockwell"/>
          <w:sz w:val="28"/>
          <w:szCs w:val="28"/>
        </w:rPr>
      </w:pPr>
    </w:p>
    <w:p w14:paraId="167B2C4A" w14:textId="57A76F6B" w:rsidR="008D68B1" w:rsidRPr="00B43A75" w:rsidRDefault="008D68B1" w:rsidP="00B43A75">
      <w:pPr>
        <w:ind w:left="5040"/>
        <w:jc w:val="right"/>
        <w:rPr>
          <w:rFonts w:ascii="Rockwell" w:hAnsi="Rockwell"/>
          <w:b/>
          <w:bCs/>
          <w:i/>
          <w:iCs/>
          <w:sz w:val="40"/>
          <w:szCs w:val="40"/>
        </w:rPr>
      </w:pPr>
      <w:r w:rsidRPr="00B43A75">
        <w:rPr>
          <w:rFonts w:ascii="Rockwell" w:hAnsi="Rockwell"/>
          <w:b/>
          <w:bCs/>
          <w:i/>
          <w:iCs/>
          <w:sz w:val="40"/>
          <w:szCs w:val="40"/>
        </w:rPr>
        <w:t>July, 2016 EC</w:t>
      </w:r>
    </w:p>
    <w:p w14:paraId="35024EA6" w14:textId="77777777" w:rsidR="00B43A75" w:rsidRDefault="008D68B1" w:rsidP="00B43A75">
      <w:pPr>
        <w:ind w:left="5040"/>
        <w:jc w:val="right"/>
        <w:rPr>
          <w:rFonts w:ascii="Rockwell" w:hAnsi="Rockwell"/>
          <w:b/>
          <w:bCs/>
          <w:i/>
          <w:iCs/>
          <w:sz w:val="40"/>
          <w:szCs w:val="40"/>
        </w:rPr>
        <w:sectPr w:rsidR="00B43A75" w:rsidSect="008D68B1">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r w:rsidRPr="00B43A75">
        <w:rPr>
          <w:rFonts w:ascii="Rockwell" w:hAnsi="Rockwell"/>
          <w:b/>
          <w:bCs/>
          <w:i/>
          <w:iCs/>
          <w:sz w:val="40"/>
          <w:szCs w:val="40"/>
        </w:rPr>
        <w:t xml:space="preserve">Deder, </w:t>
      </w:r>
      <w:r w:rsidR="00B43A75" w:rsidRPr="00B43A75">
        <w:rPr>
          <w:rFonts w:ascii="Rockwell" w:hAnsi="Rockwell"/>
          <w:b/>
          <w:bCs/>
          <w:i/>
          <w:iCs/>
          <w:sz w:val="40"/>
          <w:szCs w:val="40"/>
        </w:rPr>
        <w:t>Ethiopia</w:t>
      </w:r>
    </w:p>
    <w:sdt>
      <w:sdtPr>
        <w:id w:val="-1152440837"/>
        <w:docPartObj>
          <w:docPartGallery w:val="Table of Contents"/>
          <w:docPartUnique/>
        </w:docPartObj>
      </w:sdtPr>
      <w:sdtEndPr>
        <w:rPr>
          <w:rFonts w:asciiTheme="minorHAnsi" w:eastAsiaTheme="minorEastAsia" w:hAnsiTheme="minorHAnsi" w:cstheme="minorBidi"/>
          <w:b/>
          <w:bCs/>
          <w:noProof/>
          <w:color w:val="auto"/>
          <w:kern w:val="2"/>
          <w:sz w:val="22"/>
          <w:szCs w:val="22"/>
          <w:lang w:eastAsia="zh-CN"/>
          <w14:ligatures w14:val="standardContextual"/>
        </w:rPr>
      </w:sdtEndPr>
      <w:sdtContent>
        <w:p w14:paraId="24FF184E" w14:textId="0013AE22" w:rsidR="00B43A75" w:rsidRPr="00B43A75" w:rsidRDefault="00B43A75" w:rsidP="00B43A75">
          <w:pPr>
            <w:pStyle w:val="TOCHeading"/>
            <w:tabs>
              <w:tab w:val="left" w:pos="1890"/>
            </w:tabs>
            <w:jc w:val="center"/>
            <w:rPr>
              <w:rFonts w:ascii="Rockwell" w:hAnsi="Rockwell"/>
              <w:b/>
              <w:bCs/>
            </w:rPr>
          </w:pPr>
          <w:r w:rsidRPr="00B43A75">
            <w:rPr>
              <w:rFonts w:ascii="Rockwell" w:hAnsi="Rockwell"/>
              <w:b/>
              <w:bCs/>
            </w:rPr>
            <w:t>TABLE OF CONTENTS</w:t>
          </w:r>
        </w:p>
        <w:p w14:paraId="674EE385" w14:textId="15E0364C" w:rsidR="00B43A75" w:rsidRDefault="00B43A75">
          <w:pPr>
            <w:pStyle w:val="TOC1"/>
            <w:tabs>
              <w:tab w:val="right" w:leader="dot" w:pos="9350"/>
            </w:tabs>
            <w:rPr>
              <w:noProof/>
            </w:rPr>
          </w:pPr>
          <w:r>
            <w:fldChar w:fldCharType="begin"/>
          </w:r>
          <w:r>
            <w:instrText xml:space="preserve"> TOC \o "1-3" \h \z \u </w:instrText>
          </w:r>
          <w:r>
            <w:fldChar w:fldCharType="separate"/>
          </w:r>
          <w:hyperlink w:anchor="_Toc204300765" w:history="1">
            <w:r w:rsidRPr="00D76D14">
              <w:rPr>
                <w:rStyle w:val="Hyperlink"/>
                <w:rFonts w:ascii="Rockwell" w:hAnsi="Rockwell"/>
                <w:b/>
                <w:bCs/>
                <w:noProof/>
              </w:rPr>
              <w:t>Introduction</w:t>
            </w:r>
            <w:r>
              <w:rPr>
                <w:noProof/>
                <w:webHidden/>
              </w:rPr>
              <w:tab/>
            </w:r>
            <w:r>
              <w:rPr>
                <w:noProof/>
                <w:webHidden/>
              </w:rPr>
              <w:fldChar w:fldCharType="begin"/>
            </w:r>
            <w:r>
              <w:rPr>
                <w:noProof/>
                <w:webHidden/>
              </w:rPr>
              <w:instrText xml:space="preserve"> PAGEREF _Toc204300765 \h </w:instrText>
            </w:r>
            <w:r>
              <w:rPr>
                <w:noProof/>
                <w:webHidden/>
              </w:rPr>
            </w:r>
            <w:r>
              <w:rPr>
                <w:noProof/>
                <w:webHidden/>
              </w:rPr>
              <w:fldChar w:fldCharType="separate"/>
            </w:r>
            <w:r>
              <w:rPr>
                <w:noProof/>
                <w:webHidden/>
              </w:rPr>
              <w:t>1</w:t>
            </w:r>
            <w:r>
              <w:rPr>
                <w:noProof/>
                <w:webHidden/>
              </w:rPr>
              <w:fldChar w:fldCharType="end"/>
            </w:r>
          </w:hyperlink>
        </w:p>
        <w:p w14:paraId="587B479F" w14:textId="08AF35CD" w:rsidR="00B43A75" w:rsidRDefault="00B43A75">
          <w:pPr>
            <w:pStyle w:val="TOC1"/>
            <w:tabs>
              <w:tab w:val="right" w:leader="dot" w:pos="9350"/>
            </w:tabs>
            <w:rPr>
              <w:noProof/>
            </w:rPr>
          </w:pPr>
          <w:hyperlink w:anchor="_Toc204300766" w:history="1">
            <w:r w:rsidRPr="00D76D14">
              <w:rPr>
                <w:rStyle w:val="Hyperlink"/>
                <w:rFonts w:ascii="Rockwell" w:hAnsi="Rockwell"/>
                <w:b/>
                <w:bCs/>
                <w:noProof/>
              </w:rPr>
              <w:t>Purpose</w:t>
            </w:r>
            <w:r>
              <w:rPr>
                <w:noProof/>
                <w:webHidden/>
              </w:rPr>
              <w:tab/>
            </w:r>
            <w:r>
              <w:rPr>
                <w:noProof/>
                <w:webHidden/>
              </w:rPr>
              <w:fldChar w:fldCharType="begin"/>
            </w:r>
            <w:r>
              <w:rPr>
                <w:noProof/>
                <w:webHidden/>
              </w:rPr>
              <w:instrText xml:space="preserve"> PAGEREF _Toc204300766 \h </w:instrText>
            </w:r>
            <w:r>
              <w:rPr>
                <w:noProof/>
                <w:webHidden/>
              </w:rPr>
            </w:r>
            <w:r>
              <w:rPr>
                <w:noProof/>
                <w:webHidden/>
              </w:rPr>
              <w:fldChar w:fldCharType="separate"/>
            </w:r>
            <w:r>
              <w:rPr>
                <w:noProof/>
                <w:webHidden/>
              </w:rPr>
              <w:t>1</w:t>
            </w:r>
            <w:r>
              <w:rPr>
                <w:noProof/>
                <w:webHidden/>
              </w:rPr>
              <w:fldChar w:fldCharType="end"/>
            </w:r>
          </w:hyperlink>
        </w:p>
        <w:p w14:paraId="0C778498" w14:textId="22C9F51B" w:rsidR="00B43A75" w:rsidRDefault="00B43A75">
          <w:pPr>
            <w:pStyle w:val="TOC1"/>
            <w:tabs>
              <w:tab w:val="right" w:leader="dot" w:pos="9350"/>
            </w:tabs>
            <w:rPr>
              <w:noProof/>
            </w:rPr>
          </w:pPr>
          <w:hyperlink w:anchor="_Toc204300767" w:history="1">
            <w:r w:rsidRPr="00D76D14">
              <w:rPr>
                <w:rStyle w:val="Hyperlink"/>
                <w:rFonts w:ascii="Rockwell" w:hAnsi="Rockwell"/>
                <w:b/>
                <w:bCs/>
                <w:noProof/>
              </w:rPr>
              <w:t>Objectives</w:t>
            </w:r>
            <w:r>
              <w:rPr>
                <w:noProof/>
                <w:webHidden/>
              </w:rPr>
              <w:tab/>
            </w:r>
            <w:r>
              <w:rPr>
                <w:noProof/>
                <w:webHidden/>
              </w:rPr>
              <w:fldChar w:fldCharType="begin"/>
            </w:r>
            <w:r>
              <w:rPr>
                <w:noProof/>
                <w:webHidden/>
              </w:rPr>
              <w:instrText xml:space="preserve"> PAGEREF _Toc204300767 \h </w:instrText>
            </w:r>
            <w:r>
              <w:rPr>
                <w:noProof/>
                <w:webHidden/>
              </w:rPr>
            </w:r>
            <w:r>
              <w:rPr>
                <w:noProof/>
                <w:webHidden/>
              </w:rPr>
              <w:fldChar w:fldCharType="separate"/>
            </w:r>
            <w:r>
              <w:rPr>
                <w:noProof/>
                <w:webHidden/>
              </w:rPr>
              <w:t>2</w:t>
            </w:r>
            <w:r>
              <w:rPr>
                <w:noProof/>
                <w:webHidden/>
              </w:rPr>
              <w:fldChar w:fldCharType="end"/>
            </w:r>
          </w:hyperlink>
        </w:p>
        <w:p w14:paraId="602668EC" w14:textId="259158CF" w:rsidR="00B43A75" w:rsidRDefault="00B43A75">
          <w:pPr>
            <w:pStyle w:val="TOC1"/>
            <w:tabs>
              <w:tab w:val="right" w:leader="dot" w:pos="9350"/>
            </w:tabs>
            <w:rPr>
              <w:noProof/>
            </w:rPr>
          </w:pPr>
          <w:hyperlink w:anchor="_Toc204300768" w:history="1">
            <w:r w:rsidRPr="00D76D14">
              <w:rPr>
                <w:rStyle w:val="Hyperlink"/>
                <w:rFonts w:ascii="Rockwell" w:hAnsi="Rockwell"/>
                <w:b/>
                <w:bCs/>
                <w:noProof/>
              </w:rPr>
              <w:t>Key Components &amp; Activities</w:t>
            </w:r>
            <w:r>
              <w:rPr>
                <w:noProof/>
                <w:webHidden/>
              </w:rPr>
              <w:tab/>
            </w:r>
            <w:r>
              <w:rPr>
                <w:noProof/>
                <w:webHidden/>
              </w:rPr>
              <w:fldChar w:fldCharType="begin"/>
            </w:r>
            <w:r>
              <w:rPr>
                <w:noProof/>
                <w:webHidden/>
              </w:rPr>
              <w:instrText xml:space="preserve"> PAGEREF _Toc204300768 \h </w:instrText>
            </w:r>
            <w:r>
              <w:rPr>
                <w:noProof/>
                <w:webHidden/>
              </w:rPr>
            </w:r>
            <w:r>
              <w:rPr>
                <w:noProof/>
                <w:webHidden/>
              </w:rPr>
              <w:fldChar w:fldCharType="separate"/>
            </w:r>
            <w:r>
              <w:rPr>
                <w:noProof/>
                <w:webHidden/>
              </w:rPr>
              <w:t>2</w:t>
            </w:r>
            <w:r>
              <w:rPr>
                <w:noProof/>
                <w:webHidden/>
              </w:rPr>
              <w:fldChar w:fldCharType="end"/>
            </w:r>
          </w:hyperlink>
        </w:p>
        <w:p w14:paraId="3C941E4B" w14:textId="6FF545E9" w:rsidR="00B43A75" w:rsidRDefault="00B43A75">
          <w:pPr>
            <w:pStyle w:val="TOC1"/>
            <w:tabs>
              <w:tab w:val="right" w:leader="dot" w:pos="9350"/>
            </w:tabs>
            <w:rPr>
              <w:noProof/>
            </w:rPr>
          </w:pPr>
          <w:hyperlink w:anchor="_Toc204300769" w:history="1">
            <w:r w:rsidRPr="00D76D14">
              <w:rPr>
                <w:rStyle w:val="Hyperlink"/>
                <w:rFonts w:ascii="Rockwell" w:hAnsi="Rockwell"/>
                <w:b/>
                <w:bCs/>
                <w:noProof/>
              </w:rPr>
              <w:t>Roles of the Outbreak Response Committee (ORC)</w:t>
            </w:r>
            <w:r>
              <w:rPr>
                <w:noProof/>
                <w:webHidden/>
              </w:rPr>
              <w:tab/>
            </w:r>
            <w:r>
              <w:rPr>
                <w:noProof/>
                <w:webHidden/>
              </w:rPr>
              <w:fldChar w:fldCharType="begin"/>
            </w:r>
            <w:r>
              <w:rPr>
                <w:noProof/>
                <w:webHidden/>
              </w:rPr>
              <w:instrText xml:space="preserve"> PAGEREF _Toc204300769 \h </w:instrText>
            </w:r>
            <w:r>
              <w:rPr>
                <w:noProof/>
                <w:webHidden/>
              </w:rPr>
            </w:r>
            <w:r>
              <w:rPr>
                <w:noProof/>
                <w:webHidden/>
              </w:rPr>
              <w:fldChar w:fldCharType="separate"/>
            </w:r>
            <w:r>
              <w:rPr>
                <w:noProof/>
                <w:webHidden/>
              </w:rPr>
              <w:t>5</w:t>
            </w:r>
            <w:r>
              <w:rPr>
                <w:noProof/>
                <w:webHidden/>
              </w:rPr>
              <w:fldChar w:fldCharType="end"/>
            </w:r>
          </w:hyperlink>
        </w:p>
        <w:p w14:paraId="195B070E" w14:textId="0A9136BA" w:rsidR="00B43A75" w:rsidRDefault="00B43A75">
          <w:pPr>
            <w:pStyle w:val="TOC1"/>
            <w:tabs>
              <w:tab w:val="right" w:leader="dot" w:pos="9350"/>
            </w:tabs>
            <w:rPr>
              <w:noProof/>
            </w:rPr>
          </w:pPr>
          <w:hyperlink w:anchor="_Toc204300770" w:history="1">
            <w:r w:rsidRPr="00D76D14">
              <w:rPr>
                <w:rStyle w:val="Hyperlink"/>
                <w:rFonts w:ascii="Rockwell" w:hAnsi="Rockwell"/>
                <w:b/>
                <w:bCs/>
                <w:noProof/>
              </w:rPr>
              <w:t>Review and Update</w:t>
            </w:r>
            <w:r>
              <w:rPr>
                <w:noProof/>
                <w:webHidden/>
              </w:rPr>
              <w:tab/>
            </w:r>
            <w:r>
              <w:rPr>
                <w:noProof/>
                <w:webHidden/>
              </w:rPr>
              <w:fldChar w:fldCharType="begin"/>
            </w:r>
            <w:r>
              <w:rPr>
                <w:noProof/>
                <w:webHidden/>
              </w:rPr>
              <w:instrText xml:space="preserve"> PAGEREF _Toc204300770 \h </w:instrText>
            </w:r>
            <w:r>
              <w:rPr>
                <w:noProof/>
                <w:webHidden/>
              </w:rPr>
            </w:r>
            <w:r>
              <w:rPr>
                <w:noProof/>
                <w:webHidden/>
              </w:rPr>
              <w:fldChar w:fldCharType="separate"/>
            </w:r>
            <w:r>
              <w:rPr>
                <w:noProof/>
                <w:webHidden/>
              </w:rPr>
              <w:t>5</w:t>
            </w:r>
            <w:r>
              <w:rPr>
                <w:noProof/>
                <w:webHidden/>
              </w:rPr>
              <w:fldChar w:fldCharType="end"/>
            </w:r>
          </w:hyperlink>
        </w:p>
        <w:p w14:paraId="69542DCB" w14:textId="542A5576" w:rsidR="00B43A75" w:rsidRDefault="00B43A75">
          <w:r>
            <w:rPr>
              <w:b/>
              <w:bCs/>
              <w:noProof/>
            </w:rPr>
            <w:fldChar w:fldCharType="end"/>
          </w:r>
        </w:p>
      </w:sdtContent>
    </w:sdt>
    <w:p w14:paraId="43EEC7BE" w14:textId="183BD332" w:rsidR="008D68B1" w:rsidRPr="00B43A75" w:rsidRDefault="008D68B1" w:rsidP="00B43A75">
      <w:pPr>
        <w:pStyle w:val="NoSpacing"/>
      </w:pPr>
    </w:p>
    <w:p w14:paraId="10D704DE" w14:textId="77777777" w:rsidR="00B43A75" w:rsidRDefault="00B43A75" w:rsidP="008D68B1">
      <w:pPr>
        <w:rPr>
          <w:rFonts w:ascii="Rockwell" w:hAnsi="Rockwell"/>
          <w:sz w:val="28"/>
          <w:szCs w:val="28"/>
        </w:rPr>
      </w:pPr>
    </w:p>
    <w:p w14:paraId="402CDB5E" w14:textId="77777777" w:rsidR="00B43A75" w:rsidRDefault="00B43A75" w:rsidP="008D68B1">
      <w:pPr>
        <w:rPr>
          <w:rFonts w:ascii="Rockwell" w:hAnsi="Rockwell"/>
          <w:sz w:val="28"/>
          <w:szCs w:val="28"/>
        </w:rPr>
      </w:pPr>
    </w:p>
    <w:p w14:paraId="57AD54FB" w14:textId="77777777" w:rsidR="00B43A75" w:rsidRDefault="00B43A75" w:rsidP="008D68B1">
      <w:pPr>
        <w:rPr>
          <w:rFonts w:ascii="Rockwell" w:hAnsi="Rockwell"/>
          <w:sz w:val="28"/>
          <w:szCs w:val="28"/>
        </w:rPr>
      </w:pPr>
    </w:p>
    <w:p w14:paraId="74BD6020" w14:textId="77777777" w:rsidR="00B43A75" w:rsidRDefault="00B43A75" w:rsidP="008D68B1">
      <w:pPr>
        <w:rPr>
          <w:rFonts w:ascii="Rockwell" w:hAnsi="Rockwell"/>
          <w:sz w:val="28"/>
          <w:szCs w:val="28"/>
        </w:rPr>
      </w:pPr>
    </w:p>
    <w:p w14:paraId="29E61D56" w14:textId="77777777" w:rsidR="00B43A75" w:rsidRDefault="00B43A75" w:rsidP="008D68B1">
      <w:pPr>
        <w:rPr>
          <w:rFonts w:ascii="Rockwell" w:hAnsi="Rockwell"/>
          <w:sz w:val="28"/>
          <w:szCs w:val="28"/>
        </w:rPr>
      </w:pPr>
    </w:p>
    <w:p w14:paraId="31C9C296" w14:textId="77777777" w:rsidR="00B43A75" w:rsidRDefault="00B43A75" w:rsidP="008D68B1">
      <w:pPr>
        <w:rPr>
          <w:rFonts w:ascii="Rockwell" w:hAnsi="Rockwell"/>
          <w:sz w:val="28"/>
          <w:szCs w:val="28"/>
        </w:rPr>
      </w:pPr>
    </w:p>
    <w:p w14:paraId="7D837623" w14:textId="77777777" w:rsidR="00B43A75" w:rsidRDefault="00B43A75" w:rsidP="008D68B1">
      <w:pPr>
        <w:rPr>
          <w:rFonts w:ascii="Rockwell" w:hAnsi="Rockwell"/>
          <w:sz w:val="28"/>
          <w:szCs w:val="28"/>
        </w:rPr>
      </w:pPr>
    </w:p>
    <w:p w14:paraId="480A0FC2" w14:textId="77777777" w:rsidR="00B43A75" w:rsidRDefault="00B43A75" w:rsidP="008D68B1">
      <w:pPr>
        <w:rPr>
          <w:rFonts w:ascii="Rockwell" w:hAnsi="Rockwell"/>
          <w:sz w:val="28"/>
          <w:szCs w:val="28"/>
        </w:rPr>
      </w:pPr>
    </w:p>
    <w:p w14:paraId="620C444F" w14:textId="77777777" w:rsidR="00B43A75" w:rsidRDefault="00B43A75" w:rsidP="008D68B1">
      <w:pPr>
        <w:rPr>
          <w:rFonts w:ascii="Rockwell" w:hAnsi="Rockwell"/>
          <w:sz w:val="28"/>
          <w:szCs w:val="28"/>
        </w:rPr>
      </w:pPr>
    </w:p>
    <w:p w14:paraId="663C4F34" w14:textId="77777777" w:rsidR="00B43A75" w:rsidRDefault="00B43A75" w:rsidP="008D68B1">
      <w:pPr>
        <w:rPr>
          <w:rFonts w:ascii="Rockwell" w:hAnsi="Rockwell"/>
          <w:sz w:val="28"/>
          <w:szCs w:val="28"/>
        </w:rPr>
      </w:pPr>
    </w:p>
    <w:p w14:paraId="420EABAE" w14:textId="77777777" w:rsidR="00B43A75" w:rsidRDefault="00B43A75" w:rsidP="008D68B1">
      <w:pPr>
        <w:rPr>
          <w:rFonts w:ascii="Rockwell" w:hAnsi="Rockwell"/>
          <w:sz w:val="28"/>
          <w:szCs w:val="28"/>
        </w:rPr>
      </w:pPr>
    </w:p>
    <w:p w14:paraId="0427574A" w14:textId="77777777" w:rsidR="00B43A75" w:rsidRDefault="00B43A75" w:rsidP="008D68B1">
      <w:pPr>
        <w:rPr>
          <w:rFonts w:ascii="Rockwell" w:hAnsi="Rockwell"/>
          <w:sz w:val="28"/>
          <w:szCs w:val="28"/>
        </w:rPr>
      </w:pPr>
    </w:p>
    <w:p w14:paraId="31DC2BF7" w14:textId="77777777" w:rsidR="00B43A75" w:rsidRDefault="00B43A75" w:rsidP="008D68B1">
      <w:pPr>
        <w:rPr>
          <w:rFonts w:ascii="Rockwell" w:hAnsi="Rockwell"/>
          <w:sz w:val="28"/>
          <w:szCs w:val="28"/>
        </w:rPr>
      </w:pPr>
    </w:p>
    <w:p w14:paraId="28FE4679" w14:textId="77777777" w:rsidR="00B43A75" w:rsidRDefault="00B43A75" w:rsidP="008D68B1">
      <w:pPr>
        <w:rPr>
          <w:rFonts w:ascii="Rockwell" w:hAnsi="Rockwell"/>
          <w:sz w:val="28"/>
          <w:szCs w:val="28"/>
        </w:rPr>
      </w:pPr>
    </w:p>
    <w:p w14:paraId="2EBFEE49" w14:textId="77777777" w:rsidR="00B43A75" w:rsidRDefault="00B43A75" w:rsidP="008D68B1">
      <w:pPr>
        <w:rPr>
          <w:rFonts w:ascii="Rockwell" w:hAnsi="Rockwell"/>
          <w:sz w:val="28"/>
          <w:szCs w:val="28"/>
        </w:rPr>
      </w:pPr>
    </w:p>
    <w:p w14:paraId="3FBABAA5" w14:textId="77777777" w:rsidR="00B43A75" w:rsidRDefault="00B43A75" w:rsidP="008D68B1">
      <w:pPr>
        <w:rPr>
          <w:rFonts w:ascii="Rockwell" w:hAnsi="Rockwell"/>
          <w:sz w:val="28"/>
          <w:szCs w:val="28"/>
        </w:rPr>
      </w:pPr>
    </w:p>
    <w:p w14:paraId="38548706" w14:textId="77777777" w:rsidR="00B43A75" w:rsidRDefault="00B43A75" w:rsidP="008D68B1">
      <w:pPr>
        <w:rPr>
          <w:rFonts w:ascii="Rockwell" w:hAnsi="Rockwell"/>
          <w:sz w:val="28"/>
          <w:szCs w:val="28"/>
        </w:rPr>
      </w:pPr>
    </w:p>
    <w:p w14:paraId="554D4836" w14:textId="77777777" w:rsidR="00B43A75" w:rsidRDefault="00B43A75" w:rsidP="008D68B1">
      <w:pPr>
        <w:rPr>
          <w:rFonts w:ascii="Rockwell" w:hAnsi="Rockwell"/>
          <w:sz w:val="28"/>
          <w:szCs w:val="28"/>
        </w:rPr>
      </w:pPr>
    </w:p>
    <w:p w14:paraId="5D8AE865" w14:textId="77777777" w:rsidR="00B43A75" w:rsidRDefault="00B43A75" w:rsidP="008D68B1">
      <w:pPr>
        <w:rPr>
          <w:rFonts w:ascii="Rockwell" w:hAnsi="Rockwell"/>
          <w:sz w:val="28"/>
          <w:szCs w:val="28"/>
        </w:rPr>
        <w:sectPr w:rsidR="00B43A75" w:rsidSect="009E7EF6">
          <w:footerReference w:type="default" r:id="rId9"/>
          <w:pgSz w:w="12240" w:h="15840"/>
          <w:pgMar w:top="1440" w:right="1440" w:bottom="1440" w:left="1440" w:header="720" w:footer="720" w:gutter="0"/>
          <w:pgNumType w:fmt="lowerRoman" w:start="1"/>
          <w:cols w:space="720"/>
          <w:docGrid w:linePitch="360"/>
        </w:sectPr>
      </w:pPr>
    </w:p>
    <w:p w14:paraId="0A711144" w14:textId="10D81DCE" w:rsidR="008D68B1" w:rsidRPr="00B43A75" w:rsidRDefault="008D68B1" w:rsidP="00B43A75">
      <w:pPr>
        <w:pStyle w:val="Heading1"/>
        <w:spacing w:before="0" w:line="360" w:lineRule="auto"/>
        <w:rPr>
          <w:rFonts w:ascii="Rockwell" w:hAnsi="Rockwell"/>
          <w:b/>
          <w:bCs/>
          <w:sz w:val="32"/>
          <w:szCs w:val="32"/>
        </w:rPr>
      </w:pPr>
      <w:bookmarkStart w:id="0" w:name="_Toc204300765"/>
      <w:r w:rsidRPr="00B43A75">
        <w:rPr>
          <w:rFonts w:ascii="Rockwell" w:hAnsi="Rockwell"/>
          <w:b/>
          <w:bCs/>
          <w:sz w:val="32"/>
          <w:szCs w:val="32"/>
        </w:rPr>
        <w:lastRenderedPageBreak/>
        <w:t>Introduction</w:t>
      </w:r>
      <w:bookmarkEnd w:id="0"/>
    </w:p>
    <w:p w14:paraId="2EB01287" w14:textId="77777777" w:rsidR="008D68B1" w:rsidRPr="008D68B1" w:rsidRDefault="008D68B1" w:rsidP="00B43A75">
      <w:pPr>
        <w:spacing w:line="360" w:lineRule="auto"/>
        <w:jc w:val="both"/>
        <w:rPr>
          <w:rFonts w:ascii="Rockwell" w:hAnsi="Rockwell"/>
          <w:sz w:val="28"/>
          <w:szCs w:val="28"/>
        </w:rPr>
      </w:pPr>
      <w:r w:rsidRPr="008D68B1">
        <w:rPr>
          <w:rFonts w:ascii="Rockwell" w:hAnsi="Rockwell"/>
          <w:sz w:val="28"/>
          <w:szCs w:val="28"/>
        </w:rPr>
        <w:t>Infectious disease outbreaks pose significant risks to patient safety, healthcare worker well-being, and health system functionality. Healthcare facilities, especially general hospitals like Deder, must maintain a constant state of readiness to detect and respond to outbreaks such as COVID-19, tuberculosis (TB), measles, cholera, and other high-impact pathogens.</w:t>
      </w:r>
    </w:p>
    <w:p w14:paraId="33C3A10E" w14:textId="77777777" w:rsidR="008D68B1" w:rsidRPr="008D68B1" w:rsidRDefault="008D68B1" w:rsidP="00B43A75">
      <w:pPr>
        <w:spacing w:line="360" w:lineRule="auto"/>
        <w:jc w:val="both"/>
        <w:rPr>
          <w:rFonts w:ascii="Rockwell" w:hAnsi="Rockwell"/>
          <w:sz w:val="28"/>
          <w:szCs w:val="28"/>
        </w:rPr>
      </w:pPr>
      <w:r w:rsidRPr="008D68B1">
        <w:rPr>
          <w:rFonts w:ascii="Rockwell" w:hAnsi="Rockwell"/>
          <w:sz w:val="28"/>
          <w:szCs w:val="28"/>
        </w:rPr>
        <w:t>Preparedness is a critical part of infection prevention and control (IPC) and requires proactive planning, trained personnel, clear protocols, and strong coordination mechanisms. This Outbreak Preparedness and Response Plan outlines how Deder General Hospital will detect, respond to, and recover from potential infectious disease outbreaks while ensuring patient care continuity and minimizing transmission risks.</w:t>
      </w:r>
    </w:p>
    <w:p w14:paraId="7766F071" w14:textId="1F13F762" w:rsidR="008D68B1" w:rsidRPr="00B43A75" w:rsidRDefault="008D68B1" w:rsidP="00B43A75">
      <w:pPr>
        <w:pStyle w:val="Heading1"/>
        <w:spacing w:line="360" w:lineRule="auto"/>
        <w:rPr>
          <w:rFonts w:ascii="Rockwell" w:hAnsi="Rockwell"/>
          <w:b/>
          <w:bCs/>
          <w:sz w:val="32"/>
          <w:szCs w:val="32"/>
        </w:rPr>
      </w:pPr>
      <w:bookmarkStart w:id="1" w:name="_Toc204300766"/>
      <w:r w:rsidRPr="00B43A75">
        <w:rPr>
          <w:rFonts w:ascii="Rockwell" w:hAnsi="Rockwell"/>
          <w:b/>
          <w:bCs/>
          <w:sz w:val="32"/>
          <w:szCs w:val="32"/>
        </w:rPr>
        <w:t>Purpose</w:t>
      </w:r>
      <w:bookmarkEnd w:id="1"/>
    </w:p>
    <w:p w14:paraId="43230DF2" w14:textId="77777777" w:rsidR="008D68B1" w:rsidRDefault="008D68B1" w:rsidP="00B43A75">
      <w:pPr>
        <w:spacing w:line="360" w:lineRule="auto"/>
        <w:jc w:val="both"/>
        <w:rPr>
          <w:rFonts w:ascii="Rockwell" w:hAnsi="Rockwell"/>
          <w:sz w:val="28"/>
          <w:szCs w:val="28"/>
        </w:rPr>
      </w:pPr>
      <w:r w:rsidRPr="008D68B1">
        <w:rPr>
          <w:rFonts w:ascii="Rockwell" w:hAnsi="Rockwell"/>
          <w:sz w:val="28"/>
          <w:szCs w:val="28"/>
        </w:rPr>
        <w:t xml:space="preserve">To ensure that Deder General Hospital is fully prepared to detect, contain, and respond to infectious disease outbreaks in a </w:t>
      </w:r>
      <w:r w:rsidRPr="008D68B1">
        <w:rPr>
          <w:rFonts w:ascii="Rockwell" w:hAnsi="Rockwell"/>
          <w:b/>
          <w:bCs/>
          <w:sz w:val="28"/>
          <w:szCs w:val="28"/>
        </w:rPr>
        <w:t>timely, coordinated, and effective</w:t>
      </w:r>
      <w:r w:rsidRPr="008D68B1">
        <w:rPr>
          <w:rFonts w:ascii="Rockwell" w:hAnsi="Rockwell"/>
          <w:sz w:val="28"/>
          <w:szCs w:val="28"/>
        </w:rPr>
        <w:t xml:space="preserve"> manner. This plan aims to minimize the spread of disease within the facility, protect patients and staff, and maintain continuity of essential services.</w:t>
      </w:r>
    </w:p>
    <w:p w14:paraId="45BA25DD" w14:textId="77777777" w:rsidR="00B43A75" w:rsidRDefault="00B43A75" w:rsidP="00B43A75">
      <w:pPr>
        <w:spacing w:line="360" w:lineRule="auto"/>
        <w:jc w:val="both"/>
        <w:rPr>
          <w:rFonts w:ascii="Rockwell" w:hAnsi="Rockwell"/>
          <w:sz w:val="28"/>
          <w:szCs w:val="28"/>
        </w:rPr>
      </w:pPr>
    </w:p>
    <w:p w14:paraId="125AE157" w14:textId="77777777" w:rsidR="00B43A75" w:rsidRDefault="00B43A75" w:rsidP="00B43A75">
      <w:pPr>
        <w:spacing w:line="360" w:lineRule="auto"/>
        <w:jc w:val="both"/>
        <w:rPr>
          <w:rFonts w:ascii="Rockwell" w:hAnsi="Rockwell"/>
          <w:sz w:val="28"/>
          <w:szCs w:val="28"/>
        </w:rPr>
      </w:pPr>
    </w:p>
    <w:p w14:paraId="249C1890" w14:textId="77777777" w:rsidR="00B43A75" w:rsidRDefault="00B43A75" w:rsidP="00B43A75">
      <w:pPr>
        <w:spacing w:line="360" w:lineRule="auto"/>
        <w:jc w:val="both"/>
        <w:rPr>
          <w:rFonts w:ascii="Rockwell" w:hAnsi="Rockwell"/>
          <w:sz w:val="28"/>
          <w:szCs w:val="28"/>
        </w:rPr>
      </w:pPr>
    </w:p>
    <w:p w14:paraId="75410E15" w14:textId="77777777" w:rsidR="00B43A75" w:rsidRPr="008D68B1" w:rsidRDefault="00B43A75" w:rsidP="00B43A75">
      <w:pPr>
        <w:spacing w:line="360" w:lineRule="auto"/>
        <w:jc w:val="both"/>
        <w:rPr>
          <w:rFonts w:ascii="Rockwell" w:hAnsi="Rockwell"/>
          <w:sz w:val="28"/>
          <w:szCs w:val="28"/>
        </w:rPr>
      </w:pPr>
    </w:p>
    <w:p w14:paraId="0F70872B" w14:textId="526C3849" w:rsidR="008D68B1" w:rsidRPr="00B43A75" w:rsidRDefault="008D68B1" w:rsidP="00B43A75">
      <w:pPr>
        <w:pStyle w:val="Heading1"/>
        <w:spacing w:line="360" w:lineRule="auto"/>
        <w:rPr>
          <w:rFonts w:ascii="Rockwell" w:hAnsi="Rockwell"/>
          <w:b/>
          <w:bCs/>
          <w:sz w:val="28"/>
          <w:szCs w:val="28"/>
        </w:rPr>
      </w:pPr>
      <w:bookmarkStart w:id="2" w:name="_Toc204300767"/>
      <w:r w:rsidRPr="00B43A75">
        <w:rPr>
          <w:rFonts w:ascii="Rockwell" w:hAnsi="Rockwell"/>
          <w:b/>
          <w:bCs/>
          <w:sz w:val="28"/>
          <w:szCs w:val="28"/>
        </w:rPr>
        <w:lastRenderedPageBreak/>
        <w:t>Objectives</w:t>
      </w:r>
      <w:bookmarkEnd w:id="2"/>
    </w:p>
    <w:p w14:paraId="6AFE4107" w14:textId="77777777" w:rsidR="008D68B1" w:rsidRPr="008D68B1" w:rsidRDefault="008D68B1" w:rsidP="00B43A75">
      <w:pPr>
        <w:numPr>
          <w:ilvl w:val="0"/>
          <w:numId w:val="1"/>
        </w:numPr>
        <w:jc w:val="both"/>
        <w:rPr>
          <w:rFonts w:ascii="Rockwell" w:hAnsi="Rockwell"/>
          <w:sz w:val="28"/>
          <w:szCs w:val="28"/>
        </w:rPr>
      </w:pPr>
      <w:r w:rsidRPr="008D68B1">
        <w:rPr>
          <w:rFonts w:ascii="Rockwell" w:hAnsi="Rockwell"/>
          <w:sz w:val="28"/>
          <w:szCs w:val="28"/>
        </w:rPr>
        <w:t>Establish early warning systems for outbreak detection.</w:t>
      </w:r>
    </w:p>
    <w:p w14:paraId="3711A387" w14:textId="77777777" w:rsidR="008D68B1" w:rsidRPr="008D68B1" w:rsidRDefault="008D68B1" w:rsidP="008D68B1">
      <w:pPr>
        <w:numPr>
          <w:ilvl w:val="0"/>
          <w:numId w:val="1"/>
        </w:numPr>
        <w:rPr>
          <w:rFonts w:ascii="Rockwell" w:hAnsi="Rockwell"/>
          <w:sz w:val="28"/>
          <w:szCs w:val="28"/>
        </w:rPr>
      </w:pPr>
      <w:r w:rsidRPr="008D68B1">
        <w:rPr>
          <w:rFonts w:ascii="Rockwell" w:hAnsi="Rockwell"/>
          <w:sz w:val="28"/>
          <w:szCs w:val="28"/>
        </w:rPr>
        <w:t>Define clear outbreak response roles and escalation protocols.</w:t>
      </w:r>
    </w:p>
    <w:p w14:paraId="3ABB40CB" w14:textId="77777777" w:rsidR="008D68B1" w:rsidRPr="008D68B1" w:rsidRDefault="008D68B1" w:rsidP="008D68B1">
      <w:pPr>
        <w:numPr>
          <w:ilvl w:val="0"/>
          <w:numId w:val="1"/>
        </w:numPr>
        <w:rPr>
          <w:rFonts w:ascii="Rockwell" w:hAnsi="Rockwell"/>
          <w:sz w:val="28"/>
          <w:szCs w:val="28"/>
        </w:rPr>
      </w:pPr>
      <w:r w:rsidRPr="008D68B1">
        <w:rPr>
          <w:rFonts w:ascii="Rockwell" w:hAnsi="Rockwell"/>
          <w:sz w:val="28"/>
          <w:szCs w:val="28"/>
        </w:rPr>
        <w:t>Ensure readiness of triage, isolation, and referral systems.</w:t>
      </w:r>
    </w:p>
    <w:p w14:paraId="3CB181EA" w14:textId="77777777" w:rsidR="008D68B1" w:rsidRPr="008D68B1" w:rsidRDefault="008D68B1" w:rsidP="008D68B1">
      <w:pPr>
        <w:numPr>
          <w:ilvl w:val="0"/>
          <w:numId w:val="1"/>
        </w:numPr>
        <w:rPr>
          <w:rFonts w:ascii="Rockwell" w:hAnsi="Rockwell"/>
          <w:sz w:val="28"/>
          <w:szCs w:val="28"/>
        </w:rPr>
      </w:pPr>
      <w:r w:rsidRPr="008D68B1">
        <w:rPr>
          <w:rFonts w:ascii="Rockwell" w:hAnsi="Rockwell"/>
          <w:sz w:val="28"/>
          <w:szCs w:val="28"/>
        </w:rPr>
        <w:t>Maintain sufficient IPC supplies and trained staff for emergencies.</w:t>
      </w:r>
    </w:p>
    <w:p w14:paraId="00D1C381" w14:textId="77777777" w:rsidR="008D68B1" w:rsidRPr="008D68B1" w:rsidRDefault="008D68B1" w:rsidP="008D68B1">
      <w:pPr>
        <w:numPr>
          <w:ilvl w:val="0"/>
          <w:numId w:val="1"/>
        </w:numPr>
        <w:rPr>
          <w:rFonts w:ascii="Rockwell" w:hAnsi="Rockwell"/>
          <w:sz w:val="28"/>
          <w:szCs w:val="28"/>
        </w:rPr>
      </w:pPr>
      <w:r w:rsidRPr="008D68B1">
        <w:rPr>
          <w:rFonts w:ascii="Rockwell" w:hAnsi="Rockwell"/>
          <w:sz w:val="28"/>
          <w:szCs w:val="28"/>
        </w:rPr>
        <w:t>Facilitate coordination with public health authorities for reporting and support.</w:t>
      </w:r>
    </w:p>
    <w:p w14:paraId="17E8FD54" w14:textId="312E80B1" w:rsidR="008D68B1" w:rsidRPr="008D68B1" w:rsidRDefault="008D68B1" w:rsidP="008D68B1">
      <w:pPr>
        <w:numPr>
          <w:ilvl w:val="0"/>
          <w:numId w:val="1"/>
        </w:numPr>
        <w:rPr>
          <w:rFonts w:ascii="Rockwell" w:hAnsi="Rockwell"/>
          <w:sz w:val="28"/>
          <w:szCs w:val="28"/>
        </w:rPr>
      </w:pPr>
      <w:r w:rsidRPr="008D68B1">
        <w:rPr>
          <w:rFonts w:ascii="Rockwell" w:hAnsi="Rockwell"/>
          <w:sz w:val="28"/>
          <w:szCs w:val="28"/>
        </w:rPr>
        <w:t>Conduct simulation exercises and periodic reviews of outbreak protocols.</w:t>
      </w:r>
    </w:p>
    <w:p w14:paraId="62F88A94" w14:textId="6CEDB5C4" w:rsidR="008D68B1" w:rsidRPr="00B43A75" w:rsidRDefault="008D68B1" w:rsidP="00B43A75">
      <w:pPr>
        <w:pStyle w:val="Heading1"/>
        <w:rPr>
          <w:rFonts w:ascii="Rockwell" w:hAnsi="Rockwell"/>
          <w:b/>
          <w:bCs/>
          <w:sz w:val="32"/>
          <w:szCs w:val="32"/>
        </w:rPr>
      </w:pPr>
      <w:bookmarkStart w:id="3" w:name="_Toc204300768"/>
      <w:r w:rsidRPr="00B43A75">
        <w:rPr>
          <w:rFonts w:ascii="Rockwell" w:hAnsi="Rockwell"/>
          <w:b/>
          <w:bCs/>
          <w:sz w:val="32"/>
          <w:szCs w:val="32"/>
        </w:rPr>
        <w:t>Key Components &amp; Activities</w:t>
      </w:r>
      <w:bookmarkEnd w:id="3"/>
    </w:p>
    <w:tbl>
      <w:tblPr>
        <w:tblStyle w:val="TableGrid"/>
        <w:tblW w:w="11589" w:type="dxa"/>
        <w:tblInd w:w="-1175" w:type="dxa"/>
        <w:tblLook w:val="04A0" w:firstRow="1" w:lastRow="0" w:firstColumn="1" w:lastColumn="0" w:noHBand="0" w:noVBand="1"/>
      </w:tblPr>
      <w:tblGrid>
        <w:gridCol w:w="2520"/>
        <w:gridCol w:w="3060"/>
        <w:gridCol w:w="3359"/>
        <w:gridCol w:w="2650"/>
      </w:tblGrid>
      <w:tr w:rsidR="008D68B1" w:rsidRPr="008D68B1" w14:paraId="034497F9" w14:textId="77777777" w:rsidTr="00B43A75">
        <w:trPr>
          <w:trHeight w:val="777"/>
        </w:trPr>
        <w:tc>
          <w:tcPr>
            <w:tcW w:w="2520" w:type="dxa"/>
            <w:hideMark/>
          </w:tcPr>
          <w:p w14:paraId="73E93690" w14:textId="77777777" w:rsidR="008D68B1" w:rsidRPr="008D68B1" w:rsidRDefault="008D68B1" w:rsidP="008D68B1">
            <w:pPr>
              <w:spacing w:after="160" w:line="259" w:lineRule="auto"/>
              <w:rPr>
                <w:rFonts w:ascii="Rockwell" w:hAnsi="Rockwell"/>
                <w:b/>
                <w:bCs/>
                <w:sz w:val="28"/>
                <w:szCs w:val="28"/>
              </w:rPr>
            </w:pPr>
            <w:r w:rsidRPr="008D68B1">
              <w:rPr>
                <w:rFonts w:ascii="Rockwell" w:hAnsi="Rockwell"/>
                <w:b/>
                <w:bCs/>
                <w:sz w:val="28"/>
                <w:szCs w:val="28"/>
              </w:rPr>
              <w:t>Component</w:t>
            </w:r>
          </w:p>
        </w:tc>
        <w:tc>
          <w:tcPr>
            <w:tcW w:w="3060" w:type="dxa"/>
            <w:hideMark/>
          </w:tcPr>
          <w:p w14:paraId="54DF3A9B" w14:textId="77777777" w:rsidR="008D68B1" w:rsidRPr="008D68B1" w:rsidRDefault="008D68B1" w:rsidP="008D68B1">
            <w:pPr>
              <w:spacing w:after="160" w:line="259" w:lineRule="auto"/>
              <w:rPr>
                <w:rFonts w:ascii="Rockwell" w:hAnsi="Rockwell"/>
                <w:b/>
                <w:bCs/>
                <w:sz w:val="28"/>
                <w:szCs w:val="28"/>
              </w:rPr>
            </w:pPr>
            <w:r w:rsidRPr="008D68B1">
              <w:rPr>
                <w:rFonts w:ascii="Rockwell" w:hAnsi="Rockwell"/>
                <w:b/>
                <w:bCs/>
                <w:sz w:val="28"/>
                <w:szCs w:val="28"/>
              </w:rPr>
              <w:t>Planned Activities</w:t>
            </w:r>
          </w:p>
        </w:tc>
        <w:tc>
          <w:tcPr>
            <w:tcW w:w="3359" w:type="dxa"/>
            <w:hideMark/>
          </w:tcPr>
          <w:p w14:paraId="12D835BC" w14:textId="77777777" w:rsidR="008D68B1" w:rsidRPr="008D68B1" w:rsidRDefault="008D68B1" w:rsidP="008D68B1">
            <w:pPr>
              <w:spacing w:after="160" w:line="259" w:lineRule="auto"/>
              <w:rPr>
                <w:rFonts w:ascii="Rockwell" w:hAnsi="Rockwell"/>
                <w:b/>
                <w:bCs/>
                <w:sz w:val="28"/>
                <w:szCs w:val="28"/>
              </w:rPr>
            </w:pPr>
            <w:r w:rsidRPr="008D68B1">
              <w:rPr>
                <w:rFonts w:ascii="Rockwell" w:hAnsi="Rockwell"/>
                <w:b/>
                <w:bCs/>
                <w:sz w:val="28"/>
                <w:szCs w:val="28"/>
              </w:rPr>
              <w:t>Frequency / Timeline</w:t>
            </w:r>
          </w:p>
        </w:tc>
        <w:tc>
          <w:tcPr>
            <w:tcW w:w="0" w:type="auto"/>
            <w:hideMark/>
          </w:tcPr>
          <w:p w14:paraId="0B923695" w14:textId="77777777" w:rsidR="008D68B1" w:rsidRPr="008D68B1" w:rsidRDefault="008D68B1" w:rsidP="008D68B1">
            <w:pPr>
              <w:spacing w:after="160" w:line="259" w:lineRule="auto"/>
              <w:rPr>
                <w:rFonts w:ascii="Rockwell" w:hAnsi="Rockwell"/>
                <w:b/>
                <w:bCs/>
                <w:sz w:val="28"/>
                <w:szCs w:val="28"/>
              </w:rPr>
            </w:pPr>
            <w:r w:rsidRPr="008D68B1">
              <w:rPr>
                <w:rFonts w:ascii="Rockwell" w:hAnsi="Rockwell"/>
                <w:b/>
                <w:bCs/>
                <w:sz w:val="28"/>
                <w:szCs w:val="28"/>
              </w:rPr>
              <w:t>Responsible Units</w:t>
            </w:r>
          </w:p>
        </w:tc>
      </w:tr>
      <w:tr w:rsidR="008D68B1" w:rsidRPr="008D68B1" w14:paraId="7D9E84F5" w14:textId="77777777" w:rsidTr="00B43A75">
        <w:trPr>
          <w:trHeight w:val="2980"/>
        </w:trPr>
        <w:tc>
          <w:tcPr>
            <w:tcW w:w="2520" w:type="dxa"/>
            <w:hideMark/>
          </w:tcPr>
          <w:p w14:paraId="7986D484" w14:textId="77777777" w:rsidR="008D68B1" w:rsidRPr="008D68B1" w:rsidRDefault="008D68B1" w:rsidP="008D68B1">
            <w:pPr>
              <w:spacing w:after="160" w:line="259" w:lineRule="auto"/>
              <w:rPr>
                <w:rFonts w:ascii="Rockwell" w:hAnsi="Rockwell"/>
                <w:sz w:val="28"/>
                <w:szCs w:val="28"/>
              </w:rPr>
            </w:pPr>
            <w:r w:rsidRPr="008D68B1">
              <w:rPr>
                <w:rFonts w:ascii="Rockwell" w:hAnsi="Rockwell"/>
                <w:b/>
                <w:bCs/>
                <w:sz w:val="28"/>
                <w:szCs w:val="28"/>
              </w:rPr>
              <w:t>A. Surveillance &amp; Early Detection</w:t>
            </w:r>
          </w:p>
        </w:tc>
        <w:tc>
          <w:tcPr>
            <w:tcW w:w="3060" w:type="dxa"/>
            <w:hideMark/>
          </w:tcPr>
          <w:p w14:paraId="4493BA7A" w14:textId="77777777" w:rsidR="008D68B1" w:rsidRPr="008D68B1" w:rsidRDefault="008D68B1" w:rsidP="008D68B1">
            <w:pPr>
              <w:spacing w:after="160" w:line="259" w:lineRule="auto"/>
              <w:rPr>
                <w:rFonts w:ascii="Rockwell" w:hAnsi="Rockwell"/>
                <w:sz w:val="28"/>
                <w:szCs w:val="28"/>
              </w:rPr>
            </w:pPr>
            <w:r w:rsidRPr="008D68B1">
              <w:rPr>
                <w:rFonts w:ascii="Rockwell" w:hAnsi="Rockwell"/>
                <w:sz w:val="28"/>
                <w:szCs w:val="28"/>
              </w:rPr>
              <w:t>- Implement daily syndromic surveillance in high-risk wards (e.g., Emergency, Maternity, TB clinic). - Use WHO/MOH case definitions. - Activate Outbreak Task Force upon threshold breach.</w:t>
            </w:r>
          </w:p>
        </w:tc>
        <w:tc>
          <w:tcPr>
            <w:tcW w:w="3359" w:type="dxa"/>
            <w:hideMark/>
          </w:tcPr>
          <w:p w14:paraId="7265A1B9" w14:textId="77777777" w:rsidR="008D68B1" w:rsidRPr="008D68B1" w:rsidRDefault="008D68B1" w:rsidP="008D68B1">
            <w:pPr>
              <w:spacing w:after="160" w:line="259" w:lineRule="auto"/>
              <w:rPr>
                <w:rFonts w:ascii="Rockwell" w:hAnsi="Rockwell"/>
                <w:sz w:val="28"/>
                <w:szCs w:val="28"/>
              </w:rPr>
            </w:pPr>
            <w:r w:rsidRPr="008D68B1">
              <w:rPr>
                <w:rFonts w:ascii="Rockwell" w:hAnsi="Rockwell"/>
                <w:sz w:val="28"/>
                <w:szCs w:val="28"/>
              </w:rPr>
              <w:t>Continuous</w:t>
            </w:r>
          </w:p>
        </w:tc>
        <w:tc>
          <w:tcPr>
            <w:tcW w:w="0" w:type="auto"/>
            <w:hideMark/>
          </w:tcPr>
          <w:p w14:paraId="3FFA3A62" w14:textId="77777777" w:rsidR="008D68B1" w:rsidRPr="008D68B1" w:rsidRDefault="008D68B1" w:rsidP="008D68B1">
            <w:pPr>
              <w:spacing w:after="160" w:line="259" w:lineRule="auto"/>
              <w:rPr>
                <w:rFonts w:ascii="Rockwell" w:hAnsi="Rockwell"/>
                <w:sz w:val="28"/>
                <w:szCs w:val="28"/>
              </w:rPr>
            </w:pPr>
            <w:r w:rsidRPr="008D68B1">
              <w:rPr>
                <w:rFonts w:ascii="Rockwell" w:hAnsi="Rockwell"/>
                <w:sz w:val="28"/>
                <w:szCs w:val="28"/>
              </w:rPr>
              <w:t>IPC Team, M&amp;E Unit, Department Heads</w:t>
            </w:r>
          </w:p>
        </w:tc>
      </w:tr>
      <w:tr w:rsidR="008D68B1" w:rsidRPr="008D68B1" w14:paraId="29E91118" w14:textId="77777777" w:rsidTr="00B43A75">
        <w:trPr>
          <w:trHeight w:val="620"/>
        </w:trPr>
        <w:tc>
          <w:tcPr>
            <w:tcW w:w="2520" w:type="dxa"/>
            <w:hideMark/>
          </w:tcPr>
          <w:p w14:paraId="455FB685" w14:textId="77777777" w:rsidR="008D68B1" w:rsidRPr="008D68B1" w:rsidRDefault="008D68B1" w:rsidP="008D68B1">
            <w:pPr>
              <w:spacing w:after="160" w:line="259" w:lineRule="auto"/>
              <w:rPr>
                <w:rFonts w:ascii="Rockwell" w:hAnsi="Rockwell"/>
                <w:sz w:val="28"/>
                <w:szCs w:val="28"/>
              </w:rPr>
            </w:pPr>
            <w:r w:rsidRPr="008D68B1">
              <w:rPr>
                <w:rFonts w:ascii="Rockwell" w:hAnsi="Rockwell"/>
                <w:b/>
                <w:bCs/>
                <w:sz w:val="28"/>
                <w:szCs w:val="28"/>
              </w:rPr>
              <w:t>B. Rapid Response Activation</w:t>
            </w:r>
          </w:p>
        </w:tc>
        <w:tc>
          <w:tcPr>
            <w:tcW w:w="3060" w:type="dxa"/>
            <w:hideMark/>
          </w:tcPr>
          <w:p w14:paraId="03E9EE8D" w14:textId="77777777" w:rsidR="008D68B1" w:rsidRPr="008D68B1" w:rsidRDefault="008D68B1" w:rsidP="008D68B1">
            <w:pPr>
              <w:spacing w:after="160" w:line="259" w:lineRule="auto"/>
              <w:rPr>
                <w:rFonts w:ascii="Rockwell" w:hAnsi="Rockwell"/>
                <w:sz w:val="28"/>
                <w:szCs w:val="28"/>
              </w:rPr>
            </w:pPr>
            <w:r w:rsidRPr="008D68B1">
              <w:rPr>
                <w:rFonts w:ascii="Rockwell" w:hAnsi="Rockwell"/>
                <w:sz w:val="28"/>
                <w:szCs w:val="28"/>
              </w:rPr>
              <w:t xml:space="preserve">- Notify Outbreak Response Committee within 24 hours. - Classify outbreak risk (internal cluster vs. external community). - Initiate outbreak </w:t>
            </w:r>
            <w:r w:rsidRPr="008D68B1">
              <w:rPr>
                <w:rFonts w:ascii="Rockwell" w:hAnsi="Rockwell"/>
                <w:sz w:val="28"/>
                <w:szCs w:val="28"/>
              </w:rPr>
              <w:lastRenderedPageBreak/>
              <w:t>investigation and contact tracing.</w:t>
            </w:r>
          </w:p>
        </w:tc>
        <w:tc>
          <w:tcPr>
            <w:tcW w:w="3359" w:type="dxa"/>
            <w:hideMark/>
          </w:tcPr>
          <w:p w14:paraId="40714FB8" w14:textId="77777777" w:rsidR="008D68B1" w:rsidRPr="008D68B1" w:rsidRDefault="008D68B1" w:rsidP="008D68B1">
            <w:pPr>
              <w:spacing w:after="160" w:line="259" w:lineRule="auto"/>
              <w:rPr>
                <w:rFonts w:ascii="Rockwell" w:hAnsi="Rockwell"/>
                <w:sz w:val="28"/>
                <w:szCs w:val="28"/>
              </w:rPr>
            </w:pPr>
            <w:r w:rsidRPr="008D68B1">
              <w:rPr>
                <w:rFonts w:ascii="Rockwell" w:hAnsi="Rockwell"/>
                <w:sz w:val="28"/>
                <w:szCs w:val="28"/>
              </w:rPr>
              <w:lastRenderedPageBreak/>
              <w:t xml:space="preserve">Within 24 </w:t>
            </w:r>
            <w:proofErr w:type="spellStart"/>
            <w:r w:rsidRPr="008D68B1">
              <w:rPr>
                <w:rFonts w:ascii="Rockwell" w:hAnsi="Rockwell"/>
                <w:sz w:val="28"/>
                <w:szCs w:val="28"/>
              </w:rPr>
              <w:t>hrs</w:t>
            </w:r>
            <w:proofErr w:type="spellEnd"/>
            <w:r w:rsidRPr="008D68B1">
              <w:rPr>
                <w:rFonts w:ascii="Rockwell" w:hAnsi="Rockwell"/>
                <w:sz w:val="28"/>
                <w:szCs w:val="28"/>
              </w:rPr>
              <w:t xml:space="preserve"> of case cluster</w:t>
            </w:r>
          </w:p>
        </w:tc>
        <w:tc>
          <w:tcPr>
            <w:tcW w:w="0" w:type="auto"/>
            <w:hideMark/>
          </w:tcPr>
          <w:p w14:paraId="560C1E09" w14:textId="77777777" w:rsidR="008D68B1" w:rsidRPr="008D68B1" w:rsidRDefault="008D68B1" w:rsidP="008D68B1">
            <w:pPr>
              <w:spacing w:after="160" w:line="259" w:lineRule="auto"/>
              <w:rPr>
                <w:rFonts w:ascii="Rockwell" w:hAnsi="Rockwell"/>
                <w:sz w:val="28"/>
                <w:szCs w:val="28"/>
              </w:rPr>
            </w:pPr>
            <w:r w:rsidRPr="008D68B1">
              <w:rPr>
                <w:rFonts w:ascii="Rockwell" w:hAnsi="Rockwell"/>
                <w:sz w:val="28"/>
                <w:szCs w:val="28"/>
              </w:rPr>
              <w:t>Medical Director, IPC Focal</w:t>
            </w:r>
          </w:p>
        </w:tc>
      </w:tr>
      <w:tr w:rsidR="008D68B1" w:rsidRPr="008D68B1" w14:paraId="1F6FA0B9" w14:textId="77777777" w:rsidTr="00B43A75">
        <w:trPr>
          <w:trHeight w:val="2030"/>
        </w:trPr>
        <w:tc>
          <w:tcPr>
            <w:tcW w:w="2520" w:type="dxa"/>
            <w:hideMark/>
          </w:tcPr>
          <w:p w14:paraId="6D4186AE" w14:textId="77777777" w:rsidR="008D68B1" w:rsidRPr="008D68B1" w:rsidRDefault="008D68B1" w:rsidP="008D68B1">
            <w:pPr>
              <w:spacing w:after="160" w:line="259" w:lineRule="auto"/>
              <w:rPr>
                <w:rFonts w:ascii="Rockwell" w:hAnsi="Rockwell"/>
                <w:sz w:val="28"/>
                <w:szCs w:val="28"/>
              </w:rPr>
            </w:pPr>
            <w:r w:rsidRPr="008D68B1">
              <w:rPr>
                <w:rFonts w:ascii="Rockwell" w:hAnsi="Rockwell"/>
                <w:b/>
                <w:bCs/>
                <w:sz w:val="28"/>
                <w:szCs w:val="28"/>
              </w:rPr>
              <w:t>C. Triage &amp; Isolation Protocols</w:t>
            </w:r>
          </w:p>
        </w:tc>
        <w:tc>
          <w:tcPr>
            <w:tcW w:w="3060" w:type="dxa"/>
            <w:hideMark/>
          </w:tcPr>
          <w:p w14:paraId="05D8AD90" w14:textId="77777777" w:rsidR="008D68B1" w:rsidRPr="008D68B1" w:rsidRDefault="008D68B1" w:rsidP="008D68B1">
            <w:pPr>
              <w:spacing w:after="160" w:line="259" w:lineRule="auto"/>
              <w:rPr>
                <w:rFonts w:ascii="Rockwell" w:hAnsi="Rockwell"/>
                <w:sz w:val="28"/>
                <w:szCs w:val="28"/>
              </w:rPr>
            </w:pPr>
            <w:r w:rsidRPr="008D68B1">
              <w:rPr>
                <w:rFonts w:ascii="Rockwell" w:hAnsi="Rockwell"/>
                <w:sz w:val="28"/>
                <w:szCs w:val="28"/>
              </w:rPr>
              <w:t>- Set up respiratory triage stations at all main entry points. - Designate and equip isolation rooms. - Train frontline staff in emergency triage.</w:t>
            </w:r>
          </w:p>
        </w:tc>
        <w:tc>
          <w:tcPr>
            <w:tcW w:w="3359" w:type="dxa"/>
            <w:hideMark/>
          </w:tcPr>
          <w:p w14:paraId="64871399" w14:textId="77777777" w:rsidR="008D68B1" w:rsidRPr="008D68B1" w:rsidRDefault="008D68B1" w:rsidP="008D68B1">
            <w:pPr>
              <w:spacing w:after="160" w:line="259" w:lineRule="auto"/>
              <w:rPr>
                <w:rFonts w:ascii="Rockwell" w:hAnsi="Rockwell"/>
                <w:sz w:val="28"/>
                <w:szCs w:val="28"/>
              </w:rPr>
            </w:pPr>
            <w:r w:rsidRPr="008D68B1">
              <w:rPr>
                <w:rFonts w:ascii="Rockwell" w:hAnsi="Rockwell"/>
                <w:sz w:val="28"/>
                <w:szCs w:val="28"/>
              </w:rPr>
              <w:t>Quarterly drills Real-time during outbreaks</w:t>
            </w:r>
          </w:p>
        </w:tc>
        <w:tc>
          <w:tcPr>
            <w:tcW w:w="0" w:type="auto"/>
            <w:hideMark/>
          </w:tcPr>
          <w:p w14:paraId="2D07CDD1" w14:textId="77777777" w:rsidR="008D68B1" w:rsidRPr="008D68B1" w:rsidRDefault="008D68B1" w:rsidP="008D68B1">
            <w:pPr>
              <w:spacing w:after="160" w:line="259" w:lineRule="auto"/>
              <w:rPr>
                <w:rFonts w:ascii="Rockwell" w:hAnsi="Rockwell"/>
                <w:sz w:val="28"/>
                <w:szCs w:val="28"/>
              </w:rPr>
            </w:pPr>
            <w:r w:rsidRPr="008D68B1">
              <w:rPr>
                <w:rFonts w:ascii="Rockwell" w:hAnsi="Rockwell"/>
                <w:sz w:val="28"/>
                <w:szCs w:val="28"/>
              </w:rPr>
              <w:t>Emergency Dept., IPC Team, Facility Management</w:t>
            </w:r>
          </w:p>
        </w:tc>
      </w:tr>
      <w:tr w:rsidR="008D68B1" w:rsidRPr="008D68B1" w14:paraId="70631153" w14:textId="77777777" w:rsidTr="00B43A75">
        <w:trPr>
          <w:trHeight w:val="2353"/>
        </w:trPr>
        <w:tc>
          <w:tcPr>
            <w:tcW w:w="2520" w:type="dxa"/>
            <w:hideMark/>
          </w:tcPr>
          <w:p w14:paraId="18758BDC" w14:textId="77777777" w:rsidR="008D68B1" w:rsidRPr="008D68B1" w:rsidRDefault="008D68B1" w:rsidP="008D68B1">
            <w:pPr>
              <w:spacing w:after="160" w:line="259" w:lineRule="auto"/>
              <w:rPr>
                <w:rFonts w:ascii="Rockwell" w:hAnsi="Rockwell"/>
                <w:sz w:val="28"/>
                <w:szCs w:val="28"/>
              </w:rPr>
            </w:pPr>
            <w:r w:rsidRPr="008D68B1">
              <w:rPr>
                <w:rFonts w:ascii="Rockwell" w:hAnsi="Rockwell"/>
                <w:b/>
                <w:bCs/>
                <w:sz w:val="28"/>
                <w:szCs w:val="28"/>
              </w:rPr>
              <w:t>D. Supplies &amp; Logistics</w:t>
            </w:r>
          </w:p>
        </w:tc>
        <w:tc>
          <w:tcPr>
            <w:tcW w:w="3060" w:type="dxa"/>
            <w:hideMark/>
          </w:tcPr>
          <w:p w14:paraId="708348AA" w14:textId="77777777" w:rsidR="008D68B1" w:rsidRPr="008D68B1" w:rsidRDefault="008D68B1" w:rsidP="008D68B1">
            <w:pPr>
              <w:spacing w:after="160" w:line="259" w:lineRule="auto"/>
              <w:rPr>
                <w:rFonts w:ascii="Rockwell" w:hAnsi="Rockwell"/>
                <w:sz w:val="28"/>
                <w:szCs w:val="28"/>
              </w:rPr>
            </w:pPr>
            <w:r w:rsidRPr="008D68B1">
              <w:rPr>
                <w:rFonts w:ascii="Rockwell" w:hAnsi="Rockwell"/>
                <w:sz w:val="28"/>
                <w:szCs w:val="28"/>
              </w:rPr>
              <w:t>- Maintain buffer stock of PPE, disinfectants, specimen kits. - Activate emergency procurement protocols. - Monitor and log PPE usage daily during outbreak.</w:t>
            </w:r>
          </w:p>
        </w:tc>
        <w:tc>
          <w:tcPr>
            <w:tcW w:w="3359" w:type="dxa"/>
            <w:hideMark/>
          </w:tcPr>
          <w:p w14:paraId="7787A87A" w14:textId="77777777" w:rsidR="008D68B1" w:rsidRPr="008D68B1" w:rsidRDefault="008D68B1" w:rsidP="008D68B1">
            <w:pPr>
              <w:spacing w:after="160" w:line="259" w:lineRule="auto"/>
              <w:rPr>
                <w:rFonts w:ascii="Rockwell" w:hAnsi="Rockwell"/>
                <w:sz w:val="28"/>
                <w:szCs w:val="28"/>
              </w:rPr>
            </w:pPr>
            <w:r w:rsidRPr="008D68B1">
              <w:rPr>
                <w:rFonts w:ascii="Rockwell" w:hAnsi="Rockwell"/>
                <w:sz w:val="28"/>
                <w:szCs w:val="28"/>
              </w:rPr>
              <w:t>Monthly stock reviews Emergency activation</w:t>
            </w:r>
          </w:p>
        </w:tc>
        <w:tc>
          <w:tcPr>
            <w:tcW w:w="0" w:type="auto"/>
            <w:hideMark/>
          </w:tcPr>
          <w:p w14:paraId="2A5740F0" w14:textId="77777777" w:rsidR="008D68B1" w:rsidRPr="008D68B1" w:rsidRDefault="008D68B1" w:rsidP="008D68B1">
            <w:pPr>
              <w:spacing w:after="160" w:line="259" w:lineRule="auto"/>
              <w:rPr>
                <w:rFonts w:ascii="Rockwell" w:hAnsi="Rockwell"/>
                <w:sz w:val="28"/>
                <w:szCs w:val="28"/>
              </w:rPr>
            </w:pPr>
            <w:r w:rsidRPr="008D68B1">
              <w:rPr>
                <w:rFonts w:ascii="Rockwell" w:hAnsi="Rockwell"/>
                <w:sz w:val="28"/>
                <w:szCs w:val="28"/>
              </w:rPr>
              <w:t>Pharmacy, Procurement, IPC Store Manager</w:t>
            </w:r>
          </w:p>
        </w:tc>
      </w:tr>
      <w:tr w:rsidR="008D68B1" w:rsidRPr="008D68B1" w14:paraId="2B878885" w14:textId="77777777" w:rsidTr="00B43A75">
        <w:trPr>
          <w:trHeight w:val="2353"/>
        </w:trPr>
        <w:tc>
          <w:tcPr>
            <w:tcW w:w="2520" w:type="dxa"/>
            <w:hideMark/>
          </w:tcPr>
          <w:p w14:paraId="239C8AB3" w14:textId="77777777" w:rsidR="008D68B1" w:rsidRPr="008D68B1" w:rsidRDefault="008D68B1" w:rsidP="008D68B1">
            <w:pPr>
              <w:spacing w:after="160" w:line="259" w:lineRule="auto"/>
              <w:rPr>
                <w:rFonts w:ascii="Rockwell" w:hAnsi="Rockwell"/>
                <w:sz w:val="28"/>
                <w:szCs w:val="28"/>
              </w:rPr>
            </w:pPr>
            <w:r w:rsidRPr="008D68B1">
              <w:rPr>
                <w:rFonts w:ascii="Rockwell" w:hAnsi="Rockwell"/>
                <w:b/>
                <w:bCs/>
                <w:sz w:val="28"/>
                <w:szCs w:val="28"/>
              </w:rPr>
              <w:t>E. Communication &amp; Coordination</w:t>
            </w:r>
          </w:p>
        </w:tc>
        <w:tc>
          <w:tcPr>
            <w:tcW w:w="3060" w:type="dxa"/>
            <w:hideMark/>
          </w:tcPr>
          <w:p w14:paraId="4781BE15" w14:textId="77777777" w:rsidR="008D68B1" w:rsidRPr="008D68B1" w:rsidRDefault="008D68B1" w:rsidP="008D68B1">
            <w:pPr>
              <w:spacing w:after="160" w:line="259" w:lineRule="auto"/>
              <w:rPr>
                <w:rFonts w:ascii="Rockwell" w:hAnsi="Rockwell"/>
                <w:sz w:val="28"/>
                <w:szCs w:val="28"/>
              </w:rPr>
            </w:pPr>
            <w:r w:rsidRPr="008D68B1">
              <w:rPr>
                <w:rFonts w:ascii="Rockwell" w:hAnsi="Rockwell"/>
                <w:sz w:val="28"/>
                <w:szCs w:val="28"/>
              </w:rPr>
              <w:t>- Assign spokesperson for internal/external updates. - Use visual alerts, SMS, and staff briefings. - Submit reports to Woreda/Zonal Health Office.</w:t>
            </w:r>
          </w:p>
        </w:tc>
        <w:tc>
          <w:tcPr>
            <w:tcW w:w="3359" w:type="dxa"/>
            <w:hideMark/>
          </w:tcPr>
          <w:p w14:paraId="5766094A" w14:textId="77777777" w:rsidR="008D68B1" w:rsidRPr="008D68B1" w:rsidRDefault="008D68B1" w:rsidP="008D68B1">
            <w:pPr>
              <w:spacing w:after="160" w:line="259" w:lineRule="auto"/>
              <w:rPr>
                <w:rFonts w:ascii="Rockwell" w:hAnsi="Rockwell"/>
                <w:sz w:val="28"/>
                <w:szCs w:val="28"/>
              </w:rPr>
            </w:pPr>
            <w:r w:rsidRPr="008D68B1">
              <w:rPr>
                <w:rFonts w:ascii="Rockwell" w:hAnsi="Rockwell"/>
                <w:sz w:val="28"/>
                <w:szCs w:val="28"/>
              </w:rPr>
              <w:t>Weekly (during outbreak)</w:t>
            </w:r>
          </w:p>
        </w:tc>
        <w:tc>
          <w:tcPr>
            <w:tcW w:w="0" w:type="auto"/>
            <w:hideMark/>
          </w:tcPr>
          <w:p w14:paraId="007F37AD" w14:textId="77777777" w:rsidR="008D68B1" w:rsidRPr="008D68B1" w:rsidRDefault="008D68B1" w:rsidP="008D68B1">
            <w:pPr>
              <w:spacing w:after="160" w:line="259" w:lineRule="auto"/>
              <w:rPr>
                <w:rFonts w:ascii="Rockwell" w:hAnsi="Rockwell"/>
                <w:sz w:val="28"/>
                <w:szCs w:val="28"/>
              </w:rPr>
            </w:pPr>
            <w:r w:rsidRPr="008D68B1">
              <w:rPr>
                <w:rFonts w:ascii="Rockwell" w:hAnsi="Rockwell"/>
                <w:sz w:val="28"/>
                <w:szCs w:val="28"/>
              </w:rPr>
              <w:t>IPC Focal, Hospital Communications Officer</w:t>
            </w:r>
          </w:p>
        </w:tc>
      </w:tr>
      <w:tr w:rsidR="008D68B1" w:rsidRPr="008D68B1" w14:paraId="2360326B" w14:textId="77777777" w:rsidTr="00B43A75">
        <w:trPr>
          <w:trHeight w:val="2353"/>
        </w:trPr>
        <w:tc>
          <w:tcPr>
            <w:tcW w:w="2520" w:type="dxa"/>
            <w:hideMark/>
          </w:tcPr>
          <w:p w14:paraId="098D114A" w14:textId="77777777" w:rsidR="008D68B1" w:rsidRPr="008D68B1" w:rsidRDefault="008D68B1" w:rsidP="008D68B1">
            <w:pPr>
              <w:spacing w:after="160" w:line="259" w:lineRule="auto"/>
              <w:rPr>
                <w:rFonts w:ascii="Rockwell" w:hAnsi="Rockwell"/>
                <w:sz w:val="28"/>
                <w:szCs w:val="28"/>
              </w:rPr>
            </w:pPr>
            <w:r w:rsidRPr="008D68B1">
              <w:rPr>
                <w:rFonts w:ascii="Rockwell" w:hAnsi="Rockwell"/>
                <w:b/>
                <w:bCs/>
                <w:sz w:val="28"/>
                <w:szCs w:val="28"/>
              </w:rPr>
              <w:lastRenderedPageBreak/>
              <w:t>F. Staff Protection &amp; Support</w:t>
            </w:r>
          </w:p>
        </w:tc>
        <w:tc>
          <w:tcPr>
            <w:tcW w:w="3060" w:type="dxa"/>
            <w:hideMark/>
          </w:tcPr>
          <w:p w14:paraId="03DD00FE" w14:textId="77777777" w:rsidR="008D68B1" w:rsidRPr="008D68B1" w:rsidRDefault="008D68B1" w:rsidP="008D68B1">
            <w:pPr>
              <w:spacing w:after="160" w:line="259" w:lineRule="auto"/>
              <w:rPr>
                <w:rFonts w:ascii="Rockwell" w:hAnsi="Rockwell"/>
                <w:sz w:val="28"/>
                <w:szCs w:val="28"/>
              </w:rPr>
            </w:pPr>
            <w:r w:rsidRPr="008D68B1">
              <w:rPr>
                <w:rFonts w:ascii="Rockwell" w:hAnsi="Rockwell"/>
                <w:sz w:val="28"/>
                <w:szCs w:val="28"/>
              </w:rPr>
              <w:t>- Enforce PPE compliance and exposure monitoring. - Offer PEP/testing for exposed staff. - Modify duty rosters to minimize cross-unit transmission.</w:t>
            </w:r>
          </w:p>
        </w:tc>
        <w:tc>
          <w:tcPr>
            <w:tcW w:w="3359" w:type="dxa"/>
            <w:hideMark/>
          </w:tcPr>
          <w:p w14:paraId="507BB57A" w14:textId="77777777" w:rsidR="008D68B1" w:rsidRPr="008D68B1" w:rsidRDefault="008D68B1" w:rsidP="008D68B1">
            <w:pPr>
              <w:spacing w:after="160" w:line="259" w:lineRule="auto"/>
              <w:rPr>
                <w:rFonts w:ascii="Rockwell" w:hAnsi="Rockwell"/>
                <w:sz w:val="28"/>
                <w:szCs w:val="28"/>
              </w:rPr>
            </w:pPr>
            <w:r w:rsidRPr="008D68B1">
              <w:rPr>
                <w:rFonts w:ascii="Rockwell" w:hAnsi="Rockwell"/>
                <w:sz w:val="28"/>
                <w:szCs w:val="28"/>
              </w:rPr>
              <w:t>Daily monitoring</w:t>
            </w:r>
          </w:p>
        </w:tc>
        <w:tc>
          <w:tcPr>
            <w:tcW w:w="0" w:type="auto"/>
            <w:hideMark/>
          </w:tcPr>
          <w:p w14:paraId="34EDD70F" w14:textId="77777777" w:rsidR="008D68B1" w:rsidRPr="008D68B1" w:rsidRDefault="008D68B1" w:rsidP="008D68B1">
            <w:pPr>
              <w:spacing w:after="160" w:line="259" w:lineRule="auto"/>
              <w:rPr>
                <w:rFonts w:ascii="Rockwell" w:hAnsi="Rockwell"/>
                <w:sz w:val="28"/>
                <w:szCs w:val="28"/>
              </w:rPr>
            </w:pPr>
            <w:r w:rsidRPr="008D68B1">
              <w:rPr>
                <w:rFonts w:ascii="Rockwell" w:hAnsi="Rockwell"/>
                <w:sz w:val="28"/>
                <w:szCs w:val="28"/>
              </w:rPr>
              <w:t>HR Unit, Occupational Health, IPC Committee</w:t>
            </w:r>
          </w:p>
        </w:tc>
      </w:tr>
      <w:tr w:rsidR="008D68B1" w:rsidRPr="008D68B1" w14:paraId="06222D01" w14:textId="77777777" w:rsidTr="00B43A75">
        <w:trPr>
          <w:trHeight w:val="1727"/>
        </w:trPr>
        <w:tc>
          <w:tcPr>
            <w:tcW w:w="2520" w:type="dxa"/>
            <w:hideMark/>
          </w:tcPr>
          <w:p w14:paraId="3C7AEFCA" w14:textId="77777777" w:rsidR="008D68B1" w:rsidRPr="008D68B1" w:rsidRDefault="008D68B1" w:rsidP="008D68B1">
            <w:pPr>
              <w:spacing w:after="160" w:line="259" w:lineRule="auto"/>
              <w:rPr>
                <w:rFonts w:ascii="Rockwell" w:hAnsi="Rockwell"/>
                <w:sz w:val="28"/>
                <w:szCs w:val="28"/>
              </w:rPr>
            </w:pPr>
            <w:r w:rsidRPr="008D68B1">
              <w:rPr>
                <w:rFonts w:ascii="Rockwell" w:hAnsi="Rockwell"/>
                <w:b/>
                <w:bCs/>
                <w:sz w:val="28"/>
                <w:szCs w:val="28"/>
              </w:rPr>
              <w:t>G. Training &amp; Simulation Drills</w:t>
            </w:r>
          </w:p>
        </w:tc>
        <w:tc>
          <w:tcPr>
            <w:tcW w:w="3060" w:type="dxa"/>
            <w:hideMark/>
          </w:tcPr>
          <w:p w14:paraId="534DE5B5" w14:textId="77777777" w:rsidR="008D68B1" w:rsidRPr="008D68B1" w:rsidRDefault="008D68B1" w:rsidP="008D68B1">
            <w:pPr>
              <w:spacing w:after="160" w:line="259" w:lineRule="auto"/>
              <w:rPr>
                <w:rFonts w:ascii="Rockwell" w:hAnsi="Rockwell"/>
                <w:sz w:val="28"/>
                <w:szCs w:val="28"/>
              </w:rPr>
            </w:pPr>
            <w:r w:rsidRPr="008D68B1">
              <w:rPr>
                <w:rFonts w:ascii="Rockwell" w:hAnsi="Rockwell"/>
                <w:sz w:val="28"/>
                <w:szCs w:val="28"/>
              </w:rPr>
              <w:t>- Conduct biannual simulation drills (e.g., COVID-19, TB, cholera). - Refresh triage, isolation, reporting procedures.</w:t>
            </w:r>
          </w:p>
        </w:tc>
        <w:tc>
          <w:tcPr>
            <w:tcW w:w="3359" w:type="dxa"/>
            <w:hideMark/>
          </w:tcPr>
          <w:p w14:paraId="6E723BF9" w14:textId="77777777" w:rsidR="008D68B1" w:rsidRPr="008D68B1" w:rsidRDefault="008D68B1" w:rsidP="008D68B1">
            <w:pPr>
              <w:spacing w:after="160" w:line="259" w:lineRule="auto"/>
              <w:rPr>
                <w:rFonts w:ascii="Rockwell" w:hAnsi="Rockwell"/>
                <w:sz w:val="28"/>
                <w:szCs w:val="28"/>
              </w:rPr>
            </w:pPr>
            <w:r w:rsidRPr="008D68B1">
              <w:rPr>
                <w:rFonts w:ascii="Rockwell" w:hAnsi="Rockwell"/>
                <w:sz w:val="28"/>
                <w:szCs w:val="28"/>
              </w:rPr>
              <w:t>Biannually</w:t>
            </w:r>
          </w:p>
        </w:tc>
        <w:tc>
          <w:tcPr>
            <w:tcW w:w="0" w:type="auto"/>
            <w:hideMark/>
          </w:tcPr>
          <w:p w14:paraId="2F73BCE3" w14:textId="77777777" w:rsidR="008D68B1" w:rsidRPr="008D68B1" w:rsidRDefault="008D68B1" w:rsidP="008D68B1">
            <w:pPr>
              <w:spacing w:after="160" w:line="259" w:lineRule="auto"/>
              <w:rPr>
                <w:rFonts w:ascii="Rockwell" w:hAnsi="Rockwell"/>
                <w:sz w:val="28"/>
                <w:szCs w:val="28"/>
              </w:rPr>
            </w:pPr>
            <w:r w:rsidRPr="008D68B1">
              <w:rPr>
                <w:rFonts w:ascii="Rockwell" w:hAnsi="Rockwell"/>
                <w:sz w:val="28"/>
                <w:szCs w:val="28"/>
              </w:rPr>
              <w:t>IPC Unit, Emergency Preparedness Team</w:t>
            </w:r>
          </w:p>
        </w:tc>
      </w:tr>
      <w:tr w:rsidR="008D68B1" w:rsidRPr="008D68B1" w14:paraId="5F73CFD9" w14:textId="77777777" w:rsidTr="00B43A75">
        <w:trPr>
          <w:trHeight w:val="1717"/>
        </w:trPr>
        <w:tc>
          <w:tcPr>
            <w:tcW w:w="2520" w:type="dxa"/>
            <w:hideMark/>
          </w:tcPr>
          <w:p w14:paraId="68253F5A" w14:textId="77777777" w:rsidR="008D68B1" w:rsidRPr="008D68B1" w:rsidRDefault="008D68B1" w:rsidP="008D68B1">
            <w:pPr>
              <w:spacing w:after="160" w:line="259" w:lineRule="auto"/>
              <w:rPr>
                <w:rFonts w:ascii="Rockwell" w:hAnsi="Rockwell"/>
                <w:sz w:val="28"/>
                <w:szCs w:val="28"/>
              </w:rPr>
            </w:pPr>
            <w:r w:rsidRPr="008D68B1">
              <w:rPr>
                <w:rFonts w:ascii="Rockwell" w:hAnsi="Rockwell"/>
                <w:b/>
                <w:bCs/>
                <w:sz w:val="28"/>
                <w:szCs w:val="28"/>
              </w:rPr>
              <w:t>H. Post-Outbreak Review &amp; Learning</w:t>
            </w:r>
          </w:p>
        </w:tc>
        <w:tc>
          <w:tcPr>
            <w:tcW w:w="3060" w:type="dxa"/>
            <w:hideMark/>
          </w:tcPr>
          <w:p w14:paraId="77FC3E2D" w14:textId="77777777" w:rsidR="008D68B1" w:rsidRPr="008D68B1" w:rsidRDefault="008D68B1" w:rsidP="008D68B1">
            <w:pPr>
              <w:spacing w:after="160" w:line="259" w:lineRule="auto"/>
              <w:rPr>
                <w:rFonts w:ascii="Rockwell" w:hAnsi="Rockwell"/>
                <w:sz w:val="28"/>
                <w:szCs w:val="28"/>
              </w:rPr>
            </w:pPr>
            <w:r w:rsidRPr="008D68B1">
              <w:rPr>
                <w:rFonts w:ascii="Rockwell" w:hAnsi="Rockwell"/>
                <w:sz w:val="28"/>
                <w:szCs w:val="28"/>
              </w:rPr>
              <w:t>- Debrief within 1 week of outbreak resolution. - Analyze gaps and update SOPs. - Submit report to hospital management.</w:t>
            </w:r>
          </w:p>
        </w:tc>
        <w:tc>
          <w:tcPr>
            <w:tcW w:w="3359" w:type="dxa"/>
            <w:hideMark/>
          </w:tcPr>
          <w:p w14:paraId="22EA466D" w14:textId="77777777" w:rsidR="008D68B1" w:rsidRPr="008D68B1" w:rsidRDefault="008D68B1" w:rsidP="008D68B1">
            <w:pPr>
              <w:spacing w:after="160" w:line="259" w:lineRule="auto"/>
              <w:rPr>
                <w:rFonts w:ascii="Rockwell" w:hAnsi="Rockwell"/>
                <w:sz w:val="28"/>
                <w:szCs w:val="28"/>
              </w:rPr>
            </w:pPr>
            <w:r w:rsidRPr="008D68B1">
              <w:rPr>
                <w:rFonts w:ascii="Rockwell" w:hAnsi="Rockwell"/>
                <w:sz w:val="28"/>
                <w:szCs w:val="28"/>
              </w:rPr>
              <w:t>Post-outbreak</w:t>
            </w:r>
          </w:p>
        </w:tc>
        <w:tc>
          <w:tcPr>
            <w:tcW w:w="0" w:type="auto"/>
            <w:hideMark/>
          </w:tcPr>
          <w:p w14:paraId="109C83AA" w14:textId="77777777" w:rsidR="008D68B1" w:rsidRPr="008D68B1" w:rsidRDefault="008D68B1" w:rsidP="008D68B1">
            <w:pPr>
              <w:spacing w:after="160" w:line="259" w:lineRule="auto"/>
              <w:rPr>
                <w:rFonts w:ascii="Rockwell" w:hAnsi="Rockwell"/>
                <w:sz w:val="28"/>
                <w:szCs w:val="28"/>
              </w:rPr>
            </w:pPr>
            <w:r w:rsidRPr="008D68B1">
              <w:rPr>
                <w:rFonts w:ascii="Rockwell" w:hAnsi="Rockwell"/>
                <w:sz w:val="28"/>
                <w:szCs w:val="28"/>
              </w:rPr>
              <w:t>ORC, M&amp;E Officer, IPC Focal</w:t>
            </w:r>
          </w:p>
        </w:tc>
      </w:tr>
    </w:tbl>
    <w:p w14:paraId="69EA5599" w14:textId="77777777" w:rsidR="008D68B1" w:rsidRDefault="008D68B1" w:rsidP="008D68B1">
      <w:pPr>
        <w:rPr>
          <w:rFonts w:ascii="Rockwell" w:hAnsi="Rockwell"/>
          <w:sz w:val="28"/>
          <w:szCs w:val="28"/>
        </w:rPr>
      </w:pPr>
    </w:p>
    <w:p w14:paraId="3EF3C12B" w14:textId="77777777" w:rsidR="008D68B1" w:rsidRDefault="008D68B1" w:rsidP="008D68B1">
      <w:pPr>
        <w:rPr>
          <w:rFonts w:ascii="Rockwell" w:hAnsi="Rockwell"/>
          <w:sz w:val="28"/>
          <w:szCs w:val="28"/>
        </w:rPr>
      </w:pPr>
    </w:p>
    <w:p w14:paraId="3169F9CC" w14:textId="77777777" w:rsidR="008D68B1" w:rsidRDefault="008D68B1" w:rsidP="008D68B1">
      <w:pPr>
        <w:rPr>
          <w:rFonts w:ascii="Rockwell" w:hAnsi="Rockwell"/>
          <w:sz w:val="28"/>
          <w:szCs w:val="28"/>
        </w:rPr>
      </w:pPr>
    </w:p>
    <w:p w14:paraId="043D308E" w14:textId="77777777" w:rsidR="00B43A75" w:rsidRDefault="00B43A75" w:rsidP="008D68B1">
      <w:pPr>
        <w:rPr>
          <w:rFonts w:ascii="Rockwell" w:hAnsi="Rockwell"/>
          <w:sz w:val="28"/>
          <w:szCs w:val="28"/>
        </w:rPr>
      </w:pPr>
    </w:p>
    <w:p w14:paraId="52A85089" w14:textId="77777777" w:rsidR="00B43A75" w:rsidRDefault="00B43A75" w:rsidP="008D68B1">
      <w:pPr>
        <w:rPr>
          <w:rFonts w:ascii="Rockwell" w:hAnsi="Rockwell"/>
          <w:sz w:val="28"/>
          <w:szCs w:val="28"/>
        </w:rPr>
      </w:pPr>
    </w:p>
    <w:p w14:paraId="44263C3D" w14:textId="77777777" w:rsidR="00B43A75" w:rsidRDefault="00B43A75" w:rsidP="008D68B1">
      <w:pPr>
        <w:rPr>
          <w:rFonts w:ascii="Rockwell" w:hAnsi="Rockwell"/>
          <w:sz w:val="28"/>
          <w:szCs w:val="28"/>
        </w:rPr>
      </w:pPr>
    </w:p>
    <w:p w14:paraId="386AD884" w14:textId="77777777" w:rsidR="00B43A75" w:rsidRDefault="00B43A75" w:rsidP="008D68B1">
      <w:pPr>
        <w:rPr>
          <w:rFonts w:ascii="Rockwell" w:hAnsi="Rockwell"/>
          <w:sz w:val="28"/>
          <w:szCs w:val="28"/>
        </w:rPr>
      </w:pPr>
    </w:p>
    <w:p w14:paraId="1FFFF82F" w14:textId="77777777" w:rsidR="00B43A75" w:rsidRDefault="00B43A75" w:rsidP="008D68B1">
      <w:pPr>
        <w:rPr>
          <w:rFonts w:ascii="Rockwell" w:hAnsi="Rockwell"/>
          <w:sz w:val="28"/>
          <w:szCs w:val="28"/>
        </w:rPr>
      </w:pPr>
    </w:p>
    <w:p w14:paraId="3A672D05" w14:textId="77777777" w:rsidR="008D68B1" w:rsidRDefault="008D68B1" w:rsidP="008D68B1">
      <w:pPr>
        <w:rPr>
          <w:rFonts w:ascii="Rockwell" w:hAnsi="Rockwell"/>
          <w:sz w:val="28"/>
          <w:szCs w:val="28"/>
        </w:rPr>
      </w:pPr>
    </w:p>
    <w:p w14:paraId="1900090A" w14:textId="01CE7EFD" w:rsidR="008D68B1" w:rsidRPr="008D68B1" w:rsidRDefault="008D68B1" w:rsidP="008D68B1">
      <w:pPr>
        <w:rPr>
          <w:rFonts w:ascii="Rockwell" w:hAnsi="Rockwell"/>
          <w:b/>
          <w:bCs/>
          <w:sz w:val="28"/>
          <w:szCs w:val="28"/>
        </w:rPr>
      </w:pPr>
      <w:r w:rsidRPr="008D68B1">
        <w:rPr>
          <w:rFonts w:ascii="Rockwell" w:hAnsi="Rockwell"/>
          <w:b/>
          <w:bCs/>
          <w:sz w:val="28"/>
          <w:szCs w:val="28"/>
        </w:rPr>
        <w:lastRenderedPageBreak/>
        <w:t>Preparedness Resources Checklist</w:t>
      </w:r>
    </w:p>
    <w:tbl>
      <w:tblPr>
        <w:tblStyle w:val="TableGrid"/>
        <w:tblW w:w="11092" w:type="dxa"/>
        <w:tblInd w:w="-905" w:type="dxa"/>
        <w:tblLook w:val="04A0" w:firstRow="1" w:lastRow="0" w:firstColumn="1" w:lastColumn="0" w:noHBand="0" w:noVBand="1"/>
      </w:tblPr>
      <w:tblGrid>
        <w:gridCol w:w="4910"/>
        <w:gridCol w:w="6182"/>
      </w:tblGrid>
      <w:tr w:rsidR="008D68B1" w:rsidRPr="008D68B1" w14:paraId="3257330D" w14:textId="77777777" w:rsidTr="008D68B1">
        <w:trPr>
          <w:trHeight w:val="527"/>
        </w:trPr>
        <w:tc>
          <w:tcPr>
            <w:tcW w:w="4910" w:type="dxa"/>
            <w:hideMark/>
          </w:tcPr>
          <w:p w14:paraId="31678034" w14:textId="77777777" w:rsidR="008D68B1" w:rsidRPr="008D68B1" w:rsidRDefault="008D68B1" w:rsidP="00B43A75">
            <w:pPr>
              <w:spacing w:after="160" w:line="360" w:lineRule="auto"/>
              <w:rPr>
                <w:rFonts w:ascii="Rockwell" w:hAnsi="Rockwell"/>
                <w:b/>
                <w:bCs/>
                <w:sz w:val="28"/>
                <w:szCs w:val="28"/>
              </w:rPr>
            </w:pPr>
            <w:r w:rsidRPr="008D68B1">
              <w:rPr>
                <w:rFonts w:ascii="Rockwell" w:hAnsi="Rockwell"/>
                <w:b/>
                <w:bCs/>
                <w:sz w:val="28"/>
                <w:szCs w:val="28"/>
              </w:rPr>
              <w:t>Item</w:t>
            </w:r>
          </w:p>
        </w:tc>
        <w:tc>
          <w:tcPr>
            <w:tcW w:w="0" w:type="auto"/>
            <w:hideMark/>
          </w:tcPr>
          <w:p w14:paraId="6AAE0DE0" w14:textId="77777777" w:rsidR="008D68B1" w:rsidRPr="008D68B1" w:rsidRDefault="008D68B1" w:rsidP="00B43A75">
            <w:pPr>
              <w:spacing w:after="160" w:line="360" w:lineRule="auto"/>
              <w:rPr>
                <w:rFonts w:ascii="Rockwell" w:hAnsi="Rockwell"/>
                <w:b/>
                <w:bCs/>
                <w:sz w:val="28"/>
                <w:szCs w:val="28"/>
              </w:rPr>
            </w:pPr>
            <w:r w:rsidRPr="008D68B1">
              <w:rPr>
                <w:rFonts w:ascii="Rockwell" w:hAnsi="Rockwell"/>
                <w:b/>
                <w:bCs/>
                <w:sz w:val="28"/>
                <w:szCs w:val="28"/>
              </w:rPr>
              <w:t>Target Level</w:t>
            </w:r>
          </w:p>
        </w:tc>
      </w:tr>
      <w:tr w:rsidR="008D68B1" w:rsidRPr="008D68B1" w14:paraId="6086F0D2" w14:textId="77777777" w:rsidTr="008D68B1">
        <w:trPr>
          <w:trHeight w:val="540"/>
        </w:trPr>
        <w:tc>
          <w:tcPr>
            <w:tcW w:w="4910" w:type="dxa"/>
            <w:hideMark/>
          </w:tcPr>
          <w:p w14:paraId="564E4A0B" w14:textId="77777777" w:rsidR="008D68B1" w:rsidRPr="008D68B1" w:rsidRDefault="008D68B1" w:rsidP="00B43A75">
            <w:pPr>
              <w:spacing w:after="160" w:line="360" w:lineRule="auto"/>
              <w:rPr>
                <w:rFonts w:ascii="Rockwell" w:hAnsi="Rockwell"/>
                <w:sz w:val="28"/>
                <w:szCs w:val="28"/>
              </w:rPr>
            </w:pPr>
            <w:r w:rsidRPr="008D68B1">
              <w:rPr>
                <w:rFonts w:ascii="Rockwell" w:hAnsi="Rockwell"/>
                <w:sz w:val="28"/>
                <w:szCs w:val="28"/>
              </w:rPr>
              <w:t>Functional isolation rooms</w:t>
            </w:r>
          </w:p>
        </w:tc>
        <w:tc>
          <w:tcPr>
            <w:tcW w:w="0" w:type="auto"/>
            <w:hideMark/>
          </w:tcPr>
          <w:p w14:paraId="147B7D69" w14:textId="77777777" w:rsidR="008D68B1" w:rsidRPr="008D68B1" w:rsidRDefault="008D68B1" w:rsidP="00B43A75">
            <w:pPr>
              <w:spacing w:after="160" w:line="360" w:lineRule="auto"/>
              <w:rPr>
                <w:rFonts w:ascii="Rockwell" w:hAnsi="Rockwell"/>
                <w:sz w:val="28"/>
                <w:szCs w:val="28"/>
              </w:rPr>
            </w:pPr>
            <w:r w:rsidRPr="008D68B1">
              <w:rPr>
                <w:rFonts w:ascii="Rockwell" w:hAnsi="Rockwell"/>
                <w:sz w:val="28"/>
                <w:szCs w:val="28"/>
              </w:rPr>
              <w:t>≥2 per facility</w:t>
            </w:r>
          </w:p>
        </w:tc>
      </w:tr>
      <w:tr w:rsidR="008D68B1" w:rsidRPr="008D68B1" w14:paraId="3A61E033" w14:textId="77777777" w:rsidTr="008D68B1">
        <w:trPr>
          <w:trHeight w:val="527"/>
        </w:trPr>
        <w:tc>
          <w:tcPr>
            <w:tcW w:w="4910" w:type="dxa"/>
            <w:hideMark/>
          </w:tcPr>
          <w:p w14:paraId="33D193AA" w14:textId="77777777" w:rsidR="008D68B1" w:rsidRPr="008D68B1" w:rsidRDefault="008D68B1" w:rsidP="00B43A75">
            <w:pPr>
              <w:spacing w:after="160" w:line="360" w:lineRule="auto"/>
              <w:rPr>
                <w:rFonts w:ascii="Rockwell" w:hAnsi="Rockwell"/>
                <w:sz w:val="28"/>
                <w:szCs w:val="28"/>
              </w:rPr>
            </w:pPr>
            <w:r w:rsidRPr="008D68B1">
              <w:rPr>
                <w:rFonts w:ascii="Rockwell" w:hAnsi="Rockwell"/>
                <w:sz w:val="28"/>
                <w:szCs w:val="28"/>
              </w:rPr>
              <w:t>Triage stations</w:t>
            </w:r>
          </w:p>
        </w:tc>
        <w:tc>
          <w:tcPr>
            <w:tcW w:w="0" w:type="auto"/>
            <w:hideMark/>
          </w:tcPr>
          <w:p w14:paraId="0A1A9F67" w14:textId="77777777" w:rsidR="008D68B1" w:rsidRPr="008D68B1" w:rsidRDefault="008D68B1" w:rsidP="00B43A75">
            <w:pPr>
              <w:spacing w:after="160" w:line="360" w:lineRule="auto"/>
              <w:rPr>
                <w:rFonts w:ascii="Rockwell" w:hAnsi="Rockwell"/>
                <w:sz w:val="28"/>
                <w:szCs w:val="28"/>
              </w:rPr>
            </w:pPr>
            <w:r w:rsidRPr="008D68B1">
              <w:rPr>
                <w:rFonts w:ascii="Rockwell" w:hAnsi="Rockwell"/>
                <w:sz w:val="28"/>
                <w:szCs w:val="28"/>
              </w:rPr>
              <w:t>All outpatient and emergency entry points</w:t>
            </w:r>
          </w:p>
        </w:tc>
      </w:tr>
      <w:tr w:rsidR="008D68B1" w:rsidRPr="008D68B1" w14:paraId="32C8D1AA" w14:textId="77777777" w:rsidTr="008D68B1">
        <w:trPr>
          <w:trHeight w:val="527"/>
        </w:trPr>
        <w:tc>
          <w:tcPr>
            <w:tcW w:w="4910" w:type="dxa"/>
            <w:hideMark/>
          </w:tcPr>
          <w:p w14:paraId="57E2DDB1" w14:textId="77777777" w:rsidR="008D68B1" w:rsidRPr="008D68B1" w:rsidRDefault="008D68B1" w:rsidP="00B43A75">
            <w:pPr>
              <w:spacing w:after="160" w:line="360" w:lineRule="auto"/>
              <w:rPr>
                <w:rFonts w:ascii="Rockwell" w:hAnsi="Rockwell"/>
                <w:sz w:val="28"/>
                <w:szCs w:val="28"/>
              </w:rPr>
            </w:pPr>
            <w:r w:rsidRPr="008D68B1">
              <w:rPr>
                <w:rFonts w:ascii="Rockwell" w:hAnsi="Rockwell"/>
                <w:sz w:val="28"/>
                <w:szCs w:val="28"/>
              </w:rPr>
              <w:t>N95/Respirators</w:t>
            </w:r>
          </w:p>
        </w:tc>
        <w:tc>
          <w:tcPr>
            <w:tcW w:w="0" w:type="auto"/>
            <w:hideMark/>
          </w:tcPr>
          <w:p w14:paraId="355FAEFC" w14:textId="77777777" w:rsidR="008D68B1" w:rsidRPr="008D68B1" w:rsidRDefault="008D68B1" w:rsidP="00B43A75">
            <w:pPr>
              <w:spacing w:after="160" w:line="360" w:lineRule="auto"/>
              <w:rPr>
                <w:rFonts w:ascii="Rockwell" w:hAnsi="Rockwell"/>
                <w:sz w:val="28"/>
                <w:szCs w:val="28"/>
              </w:rPr>
            </w:pPr>
            <w:r w:rsidRPr="008D68B1">
              <w:rPr>
                <w:rFonts w:ascii="Rockwell" w:hAnsi="Rockwell"/>
                <w:sz w:val="28"/>
                <w:szCs w:val="28"/>
              </w:rPr>
              <w:t>2-week stock for all high-risk units</w:t>
            </w:r>
          </w:p>
        </w:tc>
      </w:tr>
      <w:tr w:rsidR="008D68B1" w:rsidRPr="008D68B1" w14:paraId="4BFC7FDF" w14:textId="77777777" w:rsidTr="008D68B1">
        <w:trPr>
          <w:trHeight w:val="527"/>
        </w:trPr>
        <w:tc>
          <w:tcPr>
            <w:tcW w:w="4910" w:type="dxa"/>
            <w:hideMark/>
          </w:tcPr>
          <w:p w14:paraId="5D20319C" w14:textId="77777777" w:rsidR="008D68B1" w:rsidRPr="008D68B1" w:rsidRDefault="008D68B1" w:rsidP="00B43A75">
            <w:pPr>
              <w:spacing w:after="160" w:line="360" w:lineRule="auto"/>
              <w:rPr>
                <w:rFonts w:ascii="Rockwell" w:hAnsi="Rockwell"/>
                <w:sz w:val="28"/>
                <w:szCs w:val="28"/>
              </w:rPr>
            </w:pPr>
            <w:r w:rsidRPr="008D68B1">
              <w:rPr>
                <w:rFonts w:ascii="Rockwell" w:hAnsi="Rockwell"/>
                <w:sz w:val="28"/>
                <w:szCs w:val="28"/>
              </w:rPr>
              <w:t>Outbreak SOPs</w:t>
            </w:r>
          </w:p>
        </w:tc>
        <w:tc>
          <w:tcPr>
            <w:tcW w:w="0" w:type="auto"/>
            <w:hideMark/>
          </w:tcPr>
          <w:p w14:paraId="371C191F" w14:textId="77777777" w:rsidR="008D68B1" w:rsidRPr="008D68B1" w:rsidRDefault="008D68B1" w:rsidP="00B43A75">
            <w:pPr>
              <w:spacing w:after="160" w:line="360" w:lineRule="auto"/>
              <w:rPr>
                <w:rFonts w:ascii="Rockwell" w:hAnsi="Rockwell"/>
                <w:sz w:val="28"/>
                <w:szCs w:val="28"/>
              </w:rPr>
            </w:pPr>
            <w:r w:rsidRPr="008D68B1">
              <w:rPr>
                <w:rFonts w:ascii="Rockwell" w:hAnsi="Rockwell"/>
                <w:sz w:val="28"/>
                <w:szCs w:val="28"/>
              </w:rPr>
              <w:t>Posted in all departments</w:t>
            </w:r>
          </w:p>
        </w:tc>
      </w:tr>
      <w:tr w:rsidR="008D68B1" w:rsidRPr="008D68B1" w14:paraId="74C1D95C" w14:textId="77777777" w:rsidTr="008D68B1">
        <w:trPr>
          <w:trHeight w:val="540"/>
        </w:trPr>
        <w:tc>
          <w:tcPr>
            <w:tcW w:w="4910" w:type="dxa"/>
            <w:hideMark/>
          </w:tcPr>
          <w:p w14:paraId="30C25E09" w14:textId="77777777" w:rsidR="008D68B1" w:rsidRPr="008D68B1" w:rsidRDefault="008D68B1" w:rsidP="00B43A75">
            <w:pPr>
              <w:spacing w:after="160" w:line="360" w:lineRule="auto"/>
              <w:rPr>
                <w:rFonts w:ascii="Rockwell" w:hAnsi="Rockwell"/>
                <w:sz w:val="28"/>
                <w:szCs w:val="28"/>
              </w:rPr>
            </w:pPr>
            <w:r w:rsidRPr="008D68B1">
              <w:rPr>
                <w:rFonts w:ascii="Rockwell" w:hAnsi="Rockwell"/>
                <w:sz w:val="28"/>
                <w:szCs w:val="28"/>
              </w:rPr>
              <w:t>Emergency contact list</w:t>
            </w:r>
          </w:p>
        </w:tc>
        <w:tc>
          <w:tcPr>
            <w:tcW w:w="0" w:type="auto"/>
            <w:hideMark/>
          </w:tcPr>
          <w:p w14:paraId="2B9E58CF" w14:textId="77777777" w:rsidR="008D68B1" w:rsidRPr="008D68B1" w:rsidRDefault="008D68B1" w:rsidP="00B43A75">
            <w:pPr>
              <w:spacing w:after="160" w:line="360" w:lineRule="auto"/>
              <w:rPr>
                <w:rFonts w:ascii="Rockwell" w:hAnsi="Rockwell"/>
                <w:sz w:val="28"/>
                <w:szCs w:val="28"/>
              </w:rPr>
            </w:pPr>
            <w:r w:rsidRPr="008D68B1">
              <w:rPr>
                <w:rFonts w:ascii="Rockwell" w:hAnsi="Rockwell"/>
                <w:sz w:val="28"/>
                <w:szCs w:val="28"/>
              </w:rPr>
              <w:t>Updated quarterly</w:t>
            </w:r>
          </w:p>
        </w:tc>
      </w:tr>
      <w:tr w:rsidR="008D68B1" w:rsidRPr="008D68B1" w14:paraId="2974D4F4" w14:textId="77777777" w:rsidTr="008D68B1">
        <w:trPr>
          <w:trHeight w:val="527"/>
        </w:trPr>
        <w:tc>
          <w:tcPr>
            <w:tcW w:w="4910" w:type="dxa"/>
            <w:hideMark/>
          </w:tcPr>
          <w:p w14:paraId="4BBC884C" w14:textId="77777777" w:rsidR="008D68B1" w:rsidRPr="008D68B1" w:rsidRDefault="008D68B1" w:rsidP="00B43A75">
            <w:pPr>
              <w:spacing w:after="160" w:line="360" w:lineRule="auto"/>
              <w:rPr>
                <w:rFonts w:ascii="Rockwell" w:hAnsi="Rockwell"/>
                <w:sz w:val="28"/>
                <w:szCs w:val="28"/>
              </w:rPr>
            </w:pPr>
            <w:r w:rsidRPr="008D68B1">
              <w:rPr>
                <w:rFonts w:ascii="Rockwell" w:hAnsi="Rockwell"/>
                <w:sz w:val="28"/>
                <w:szCs w:val="28"/>
              </w:rPr>
              <w:t>Simulation drill reports</w:t>
            </w:r>
          </w:p>
        </w:tc>
        <w:tc>
          <w:tcPr>
            <w:tcW w:w="0" w:type="auto"/>
            <w:hideMark/>
          </w:tcPr>
          <w:p w14:paraId="1AC5986A" w14:textId="77777777" w:rsidR="008D68B1" w:rsidRPr="008D68B1" w:rsidRDefault="008D68B1" w:rsidP="00B43A75">
            <w:pPr>
              <w:spacing w:after="160" w:line="360" w:lineRule="auto"/>
              <w:rPr>
                <w:rFonts w:ascii="Rockwell" w:hAnsi="Rockwell"/>
                <w:sz w:val="28"/>
                <w:szCs w:val="28"/>
              </w:rPr>
            </w:pPr>
            <w:r w:rsidRPr="008D68B1">
              <w:rPr>
                <w:rFonts w:ascii="Rockwell" w:hAnsi="Rockwell"/>
                <w:sz w:val="28"/>
                <w:szCs w:val="28"/>
              </w:rPr>
              <w:t>2 per year minimum</w:t>
            </w:r>
          </w:p>
        </w:tc>
      </w:tr>
      <w:tr w:rsidR="008D68B1" w:rsidRPr="008D68B1" w14:paraId="2FCF4462" w14:textId="77777777" w:rsidTr="008D68B1">
        <w:trPr>
          <w:trHeight w:val="527"/>
        </w:trPr>
        <w:tc>
          <w:tcPr>
            <w:tcW w:w="4910" w:type="dxa"/>
            <w:hideMark/>
          </w:tcPr>
          <w:p w14:paraId="021A6232" w14:textId="77777777" w:rsidR="008D68B1" w:rsidRPr="008D68B1" w:rsidRDefault="008D68B1" w:rsidP="00B43A75">
            <w:pPr>
              <w:spacing w:after="160" w:line="360" w:lineRule="auto"/>
              <w:rPr>
                <w:rFonts w:ascii="Rockwell" w:hAnsi="Rockwell"/>
                <w:sz w:val="28"/>
                <w:szCs w:val="28"/>
              </w:rPr>
            </w:pPr>
            <w:r w:rsidRPr="008D68B1">
              <w:rPr>
                <w:rFonts w:ascii="Rockwell" w:hAnsi="Rockwell"/>
                <w:sz w:val="28"/>
                <w:szCs w:val="28"/>
              </w:rPr>
              <w:t>Exposure registry</w:t>
            </w:r>
          </w:p>
        </w:tc>
        <w:tc>
          <w:tcPr>
            <w:tcW w:w="0" w:type="auto"/>
            <w:hideMark/>
          </w:tcPr>
          <w:p w14:paraId="4935CB91" w14:textId="77777777" w:rsidR="008D68B1" w:rsidRPr="008D68B1" w:rsidRDefault="008D68B1" w:rsidP="00B43A75">
            <w:pPr>
              <w:spacing w:after="160" w:line="360" w:lineRule="auto"/>
              <w:rPr>
                <w:rFonts w:ascii="Rockwell" w:hAnsi="Rockwell"/>
                <w:sz w:val="28"/>
                <w:szCs w:val="28"/>
              </w:rPr>
            </w:pPr>
            <w:r w:rsidRPr="008D68B1">
              <w:rPr>
                <w:rFonts w:ascii="Rockwell" w:hAnsi="Rockwell"/>
                <w:sz w:val="28"/>
                <w:szCs w:val="28"/>
              </w:rPr>
              <w:t>Continuously updated</w:t>
            </w:r>
          </w:p>
        </w:tc>
      </w:tr>
    </w:tbl>
    <w:p w14:paraId="5AA76E34" w14:textId="77777777" w:rsidR="008D68B1" w:rsidRDefault="008D68B1" w:rsidP="008D68B1">
      <w:pPr>
        <w:rPr>
          <w:rFonts w:ascii="Rockwell" w:hAnsi="Rockwell"/>
          <w:sz w:val="28"/>
          <w:szCs w:val="28"/>
        </w:rPr>
      </w:pPr>
    </w:p>
    <w:p w14:paraId="53A47DE6" w14:textId="1CAAAC79" w:rsidR="008D68B1" w:rsidRPr="00B43A75" w:rsidRDefault="008D68B1" w:rsidP="00B43A75">
      <w:pPr>
        <w:pStyle w:val="Heading1"/>
        <w:spacing w:line="360" w:lineRule="auto"/>
        <w:rPr>
          <w:rFonts w:ascii="Rockwell" w:hAnsi="Rockwell"/>
          <w:b/>
          <w:bCs/>
          <w:sz w:val="32"/>
          <w:szCs w:val="32"/>
        </w:rPr>
      </w:pPr>
      <w:bookmarkStart w:id="4" w:name="_Toc204300769"/>
      <w:r w:rsidRPr="00B43A75">
        <w:rPr>
          <w:rFonts w:ascii="Rockwell" w:hAnsi="Rockwell"/>
          <w:b/>
          <w:bCs/>
          <w:sz w:val="32"/>
          <w:szCs w:val="32"/>
        </w:rPr>
        <w:t>Roles of the Outbreak Response Committee (ORC)</w:t>
      </w:r>
      <w:bookmarkEnd w:id="4"/>
    </w:p>
    <w:p w14:paraId="687EB0A7" w14:textId="77777777" w:rsidR="008D68B1" w:rsidRPr="008D68B1" w:rsidRDefault="008D68B1" w:rsidP="00B43A75">
      <w:pPr>
        <w:numPr>
          <w:ilvl w:val="0"/>
          <w:numId w:val="2"/>
        </w:numPr>
        <w:spacing w:after="0" w:line="360" w:lineRule="auto"/>
        <w:jc w:val="both"/>
        <w:rPr>
          <w:rFonts w:ascii="Rockwell" w:hAnsi="Rockwell"/>
          <w:sz w:val="28"/>
          <w:szCs w:val="28"/>
        </w:rPr>
      </w:pPr>
      <w:r w:rsidRPr="008D68B1">
        <w:rPr>
          <w:rFonts w:ascii="Rockwell" w:hAnsi="Rockwell"/>
          <w:sz w:val="28"/>
          <w:szCs w:val="28"/>
        </w:rPr>
        <w:t>Activate response plan upon outbreak confirmation.</w:t>
      </w:r>
    </w:p>
    <w:p w14:paraId="5F4BD72D" w14:textId="77777777" w:rsidR="008D68B1" w:rsidRPr="008D68B1" w:rsidRDefault="008D68B1" w:rsidP="00B43A75">
      <w:pPr>
        <w:numPr>
          <w:ilvl w:val="0"/>
          <w:numId w:val="2"/>
        </w:numPr>
        <w:spacing w:after="0" w:line="360" w:lineRule="auto"/>
        <w:jc w:val="both"/>
        <w:rPr>
          <w:rFonts w:ascii="Rockwell" w:hAnsi="Rockwell"/>
          <w:sz w:val="28"/>
          <w:szCs w:val="28"/>
        </w:rPr>
      </w:pPr>
      <w:r w:rsidRPr="008D68B1">
        <w:rPr>
          <w:rFonts w:ascii="Rockwell" w:hAnsi="Rockwell"/>
          <w:sz w:val="28"/>
          <w:szCs w:val="28"/>
        </w:rPr>
        <w:t>Lead coordination and reporting to external authorities.</w:t>
      </w:r>
    </w:p>
    <w:p w14:paraId="7B8AB163" w14:textId="77777777" w:rsidR="008D68B1" w:rsidRPr="008D68B1" w:rsidRDefault="008D68B1" w:rsidP="00B43A75">
      <w:pPr>
        <w:numPr>
          <w:ilvl w:val="0"/>
          <w:numId w:val="2"/>
        </w:numPr>
        <w:spacing w:after="0" w:line="360" w:lineRule="auto"/>
        <w:jc w:val="both"/>
        <w:rPr>
          <w:rFonts w:ascii="Rockwell" w:hAnsi="Rockwell"/>
          <w:sz w:val="28"/>
          <w:szCs w:val="28"/>
        </w:rPr>
      </w:pPr>
      <w:r w:rsidRPr="008D68B1">
        <w:rPr>
          <w:rFonts w:ascii="Rockwell" w:hAnsi="Rockwell"/>
          <w:sz w:val="28"/>
          <w:szCs w:val="28"/>
        </w:rPr>
        <w:t>Ensure compliance with IPC measures hospital-wide.</w:t>
      </w:r>
    </w:p>
    <w:p w14:paraId="12C40D37" w14:textId="77777777" w:rsidR="008D68B1" w:rsidRPr="008D68B1" w:rsidRDefault="008D68B1" w:rsidP="00B43A75">
      <w:pPr>
        <w:numPr>
          <w:ilvl w:val="0"/>
          <w:numId w:val="2"/>
        </w:numPr>
        <w:spacing w:after="0" w:line="360" w:lineRule="auto"/>
        <w:jc w:val="both"/>
        <w:rPr>
          <w:rFonts w:ascii="Rockwell" w:hAnsi="Rockwell"/>
          <w:sz w:val="28"/>
          <w:szCs w:val="28"/>
        </w:rPr>
      </w:pPr>
      <w:r w:rsidRPr="008D68B1">
        <w:rPr>
          <w:rFonts w:ascii="Rockwell" w:hAnsi="Rockwell"/>
          <w:sz w:val="28"/>
          <w:szCs w:val="28"/>
        </w:rPr>
        <w:t>Document all actions and lessons learned.</w:t>
      </w:r>
    </w:p>
    <w:p w14:paraId="063BC057" w14:textId="77777777" w:rsidR="008D68B1" w:rsidRPr="008D68B1" w:rsidRDefault="008D68B1" w:rsidP="008D68B1">
      <w:pPr>
        <w:rPr>
          <w:rFonts w:ascii="Rockwell" w:hAnsi="Rockwell"/>
          <w:sz w:val="28"/>
          <w:szCs w:val="28"/>
        </w:rPr>
      </w:pPr>
      <w:r w:rsidRPr="008D68B1">
        <w:rPr>
          <w:rFonts w:ascii="Rockwell" w:hAnsi="Rockwell"/>
          <w:i/>
          <w:iCs/>
          <w:sz w:val="28"/>
          <w:szCs w:val="28"/>
        </w:rPr>
        <w:t>Refer to the TOR in Section 13.1 for full committee structure and responsibilities.</w:t>
      </w:r>
    </w:p>
    <w:p w14:paraId="06218BD1" w14:textId="5DE2B66F" w:rsidR="008D68B1" w:rsidRPr="00B43A75" w:rsidRDefault="008D68B1" w:rsidP="00B43A75">
      <w:pPr>
        <w:pStyle w:val="Heading1"/>
        <w:rPr>
          <w:rFonts w:ascii="Rockwell" w:hAnsi="Rockwell"/>
          <w:b/>
          <w:bCs/>
          <w:sz w:val="32"/>
          <w:szCs w:val="32"/>
        </w:rPr>
      </w:pPr>
      <w:bookmarkStart w:id="5" w:name="_Toc204300770"/>
      <w:r w:rsidRPr="00B43A75">
        <w:rPr>
          <w:rFonts w:ascii="Rockwell" w:hAnsi="Rockwell"/>
          <w:b/>
          <w:bCs/>
          <w:sz w:val="32"/>
          <w:szCs w:val="32"/>
        </w:rPr>
        <w:t>Review and Update</w:t>
      </w:r>
      <w:bookmarkEnd w:id="5"/>
    </w:p>
    <w:p w14:paraId="4FFD7318" w14:textId="77777777" w:rsidR="008D68B1" w:rsidRPr="008D68B1" w:rsidRDefault="008D68B1" w:rsidP="008D68B1">
      <w:pPr>
        <w:rPr>
          <w:rFonts w:ascii="Rockwell" w:hAnsi="Rockwell"/>
          <w:sz w:val="28"/>
          <w:szCs w:val="28"/>
        </w:rPr>
      </w:pPr>
      <w:r w:rsidRPr="008D68B1">
        <w:rPr>
          <w:rFonts w:ascii="Rockwell" w:hAnsi="Rockwell"/>
          <w:sz w:val="28"/>
          <w:szCs w:val="28"/>
        </w:rPr>
        <w:t>This outbreak preparedness and response plan shall be reviewed:</w:t>
      </w:r>
    </w:p>
    <w:p w14:paraId="493532F7" w14:textId="77777777" w:rsidR="008D68B1" w:rsidRPr="008D68B1" w:rsidRDefault="008D68B1" w:rsidP="008D68B1">
      <w:pPr>
        <w:numPr>
          <w:ilvl w:val="0"/>
          <w:numId w:val="3"/>
        </w:numPr>
        <w:rPr>
          <w:rFonts w:ascii="Rockwell" w:hAnsi="Rockwell"/>
          <w:sz w:val="28"/>
          <w:szCs w:val="28"/>
        </w:rPr>
      </w:pPr>
      <w:r w:rsidRPr="008D68B1">
        <w:rPr>
          <w:rFonts w:ascii="Rockwell" w:hAnsi="Rockwell"/>
          <w:b/>
          <w:bCs/>
          <w:sz w:val="28"/>
          <w:szCs w:val="28"/>
        </w:rPr>
        <w:t>Annually</w:t>
      </w:r>
      <w:r w:rsidRPr="008D68B1">
        <w:rPr>
          <w:rFonts w:ascii="Rockwell" w:hAnsi="Rockwell"/>
          <w:sz w:val="28"/>
          <w:szCs w:val="28"/>
        </w:rPr>
        <w:t xml:space="preserve"> during the IPC workplan review.</w:t>
      </w:r>
    </w:p>
    <w:p w14:paraId="00FF1F07" w14:textId="5E98F390" w:rsidR="00B14378" w:rsidRPr="00B43A75" w:rsidRDefault="008D68B1" w:rsidP="00B43A75">
      <w:pPr>
        <w:numPr>
          <w:ilvl w:val="0"/>
          <w:numId w:val="3"/>
        </w:numPr>
        <w:rPr>
          <w:rFonts w:ascii="Rockwell" w:hAnsi="Rockwell"/>
          <w:sz w:val="28"/>
          <w:szCs w:val="28"/>
        </w:rPr>
      </w:pPr>
      <w:r w:rsidRPr="008D68B1">
        <w:rPr>
          <w:rFonts w:ascii="Rockwell" w:hAnsi="Rockwell"/>
          <w:b/>
          <w:bCs/>
          <w:sz w:val="28"/>
          <w:szCs w:val="28"/>
        </w:rPr>
        <w:t>After every outbreak</w:t>
      </w:r>
      <w:r w:rsidRPr="008D68B1">
        <w:rPr>
          <w:rFonts w:ascii="Rockwell" w:hAnsi="Rockwell"/>
          <w:sz w:val="28"/>
          <w:szCs w:val="28"/>
        </w:rPr>
        <w:t xml:space="preserve"> with documented lessons learned integrated into SOPs and drills</w:t>
      </w:r>
    </w:p>
    <w:sectPr w:rsidR="00B14378" w:rsidRPr="00B43A75" w:rsidSect="00B43A75">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4A562" w14:textId="77777777" w:rsidR="00B43A75" w:rsidRDefault="00B43A75" w:rsidP="00B43A75">
      <w:pPr>
        <w:spacing w:after="0" w:line="240" w:lineRule="auto"/>
      </w:pPr>
      <w:r>
        <w:separator/>
      </w:r>
    </w:p>
  </w:endnote>
  <w:endnote w:type="continuationSeparator" w:id="0">
    <w:p w14:paraId="7D2FEB1F" w14:textId="77777777" w:rsidR="00B43A75" w:rsidRDefault="00B43A75" w:rsidP="00B43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Rockwell">
    <w:panose1 w:val="02060603020205020403"/>
    <w:charset w:val="00"/>
    <w:family w:val="roman"/>
    <w:pitch w:val="variable"/>
    <w:sig w:usb0="00000007"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828876"/>
      <w:docPartObj>
        <w:docPartGallery w:val="Page Numbers (Bottom of Page)"/>
        <w:docPartUnique/>
      </w:docPartObj>
    </w:sdtPr>
    <w:sdtContent>
      <w:p w14:paraId="19564150" w14:textId="7CBF9A13" w:rsidR="009E7EF6" w:rsidRDefault="009E7EF6">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61312" behindDoc="0" locked="0" layoutInCell="1" allowOverlap="1" wp14:anchorId="559272F5" wp14:editId="4819D1F9">
                  <wp:simplePos x="0" y="0"/>
                  <wp:positionH relativeFrom="margin">
                    <wp:posOffset>2327275</wp:posOffset>
                  </wp:positionH>
                  <wp:positionV relativeFrom="bottomMargin">
                    <wp:posOffset>50801</wp:posOffset>
                  </wp:positionV>
                  <wp:extent cx="1266825" cy="581660"/>
                  <wp:effectExtent l="19050" t="19050" r="28575" b="27940"/>
                  <wp:wrapNone/>
                  <wp:docPr id="1581533170"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581660"/>
                          </a:xfrm>
                          <a:custGeom>
                            <a:avLst/>
                            <a:gdLst>
                              <a:gd name="T0" fmla="*/ 641350 w 21600"/>
                              <a:gd name="T1" fmla="*/ 0 h 21600"/>
                              <a:gd name="T2" fmla="*/ 187832 w 21600"/>
                              <a:gd name="T3" fmla="*/ 50306 h 21600"/>
                              <a:gd name="T4" fmla="*/ 0 w 21600"/>
                              <a:gd name="T5" fmla="*/ 171768 h 21600"/>
                              <a:gd name="T6" fmla="*/ 187832 w 21600"/>
                              <a:gd name="T7" fmla="*/ 293229 h 21600"/>
                              <a:gd name="T8" fmla="*/ 641350 w 21600"/>
                              <a:gd name="T9" fmla="*/ 343535 h 21600"/>
                              <a:gd name="T10" fmla="*/ 1094868 w 21600"/>
                              <a:gd name="T11" fmla="*/ 293229 h 21600"/>
                              <a:gd name="T12" fmla="*/ 1282700 w 21600"/>
                              <a:gd name="T13" fmla="*/ 171768 h 21600"/>
                              <a:gd name="T14" fmla="*/ 1094868 w 21600"/>
                              <a:gd name="T15" fmla="*/ 50306 h 21600"/>
                              <a:gd name="T16" fmla="*/ 0 60000 65536"/>
                              <a:gd name="T17" fmla="*/ 0 60000 65536"/>
                              <a:gd name="T18" fmla="*/ 0 60000 65536"/>
                              <a:gd name="T19" fmla="*/ 0 60000 65536"/>
                              <a:gd name="T20" fmla="*/ 0 60000 65536"/>
                              <a:gd name="T21" fmla="*/ 0 60000 65536"/>
                              <a:gd name="T22" fmla="*/ 0 60000 65536"/>
                              <a:gd name="T23" fmla="*/ 0 60000 65536"/>
                              <a:gd name="T24" fmla="*/ 3163 w 21600"/>
                              <a:gd name="T25" fmla="*/ 3163 h 21600"/>
                              <a:gd name="T26" fmla="*/ 18437 w 21600"/>
                              <a:gd name="T27" fmla="*/ 18437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a:moveTo>
                                  <a:pt x="0" y="10800"/>
                                </a:moveTo>
                                <a:cubicBezTo>
                                  <a:pt x="0" y="4835"/>
                                  <a:pt x="4835" y="0"/>
                                  <a:pt x="10800" y="0"/>
                                </a:cubicBezTo>
                                <a:cubicBezTo>
                                  <a:pt x="16765" y="0"/>
                                  <a:pt x="21600" y="4835"/>
                                  <a:pt x="21600" y="10800"/>
                                </a:cubicBezTo>
                                <a:cubicBezTo>
                                  <a:pt x="21600" y="16765"/>
                                  <a:pt x="16765" y="21600"/>
                                  <a:pt x="10800" y="21600"/>
                                </a:cubicBezTo>
                                <a:cubicBezTo>
                                  <a:pt x="4835" y="21600"/>
                                  <a:pt x="0" y="16765"/>
                                  <a:pt x="0" y="10800"/>
                                </a:cubicBezTo>
                                <a:close/>
                                <a:moveTo>
                                  <a:pt x="1999" y="10800"/>
                                </a:moveTo>
                                <a:cubicBezTo>
                                  <a:pt x="1999" y="15661"/>
                                  <a:pt x="5939" y="19601"/>
                                  <a:pt x="10800" y="19601"/>
                                </a:cubicBezTo>
                                <a:cubicBezTo>
                                  <a:pt x="15661" y="19601"/>
                                  <a:pt x="19601" y="15661"/>
                                  <a:pt x="19601" y="10800"/>
                                </a:cubicBezTo>
                                <a:cubicBezTo>
                                  <a:pt x="19601" y="5939"/>
                                  <a:pt x="15661" y="1999"/>
                                  <a:pt x="10800" y="1999"/>
                                </a:cubicBezTo>
                                <a:cubicBezTo>
                                  <a:pt x="5939" y="1999"/>
                                  <a:pt x="1999" y="5939"/>
                                  <a:pt x="1999" y="10800"/>
                                </a:cubicBezTo>
                                <a:close/>
                              </a:path>
                            </a:pathLst>
                          </a:custGeom>
                          <a:noFill/>
                          <a:ln w="38100">
                            <a:solidFill>
                              <a:srgbClr val="00B0F0"/>
                            </a:solidFill>
                            <a:round/>
                            <a:headEnd/>
                            <a:tailEnd/>
                          </a:ln>
                          <a:extLst>
                            <a:ext uri="{909E8E84-426E-40DD-AFC4-6F175D3DCCD1}">
                              <a14:hiddenFill xmlns:a14="http://schemas.microsoft.com/office/drawing/2010/main">
                                <a:solidFill>
                                  <a:srgbClr val="17365D"/>
                                </a:solidFill>
                              </a14:hiddenFill>
                            </a:ext>
                          </a:extLst>
                        </wps:spPr>
                        <wps:txbx>
                          <w:txbxContent>
                            <w:p w14:paraId="6E510A47" w14:textId="77777777" w:rsidR="009E7EF6" w:rsidRPr="009E7EF6" w:rsidRDefault="009E7EF6">
                              <w:pPr>
                                <w:jc w:val="center"/>
                                <w:rPr>
                                  <w:rFonts w:ascii="Rockwell" w:hAnsi="Rockwell"/>
                                  <w:b/>
                                  <w:bCs/>
                                  <w:sz w:val="32"/>
                                  <w:szCs w:val="32"/>
                                </w:rPr>
                              </w:pPr>
                              <w:r w:rsidRPr="009E7EF6">
                                <w:rPr>
                                  <w:rFonts w:ascii="Rockwell" w:hAnsi="Rockwell"/>
                                  <w:b/>
                                  <w:bCs/>
                                  <w:sz w:val="32"/>
                                  <w:szCs w:val="32"/>
                                </w:rPr>
                                <w:fldChar w:fldCharType="begin"/>
                              </w:r>
                              <w:r w:rsidRPr="009E7EF6">
                                <w:rPr>
                                  <w:rFonts w:ascii="Rockwell" w:hAnsi="Rockwell"/>
                                  <w:b/>
                                  <w:bCs/>
                                  <w:sz w:val="32"/>
                                  <w:szCs w:val="32"/>
                                </w:rPr>
                                <w:instrText xml:space="preserve"> PAGE    \* MERGEFORMAT </w:instrText>
                              </w:r>
                              <w:r w:rsidRPr="009E7EF6">
                                <w:rPr>
                                  <w:rFonts w:ascii="Rockwell" w:hAnsi="Rockwell"/>
                                  <w:b/>
                                  <w:bCs/>
                                  <w:sz w:val="32"/>
                                  <w:szCs w:val="32"/>
                                </w:rPr>
                                <w:fldChar w:fldCharType="separate"/>
                              </w:r>
                              <w:r w:rsidRPr="009E7EF6">
                                <w:rPr>
                                  <w:rFonts w:ascii="Rockwell" w:hAnsi="Rockwell"/>
                                  <w:b/>
                                  <w:bCs/>
                                  <w:noProof/>
                                  <w:color w:val="808080" w:themeColor="text1" w:themeTint="7F"/>
                                  <w:sz w:val="32"/>
                                  <w:szCs w:val="32"/>
                                </w:rPr>
                                <w:t>2</w:t>
                              </w:r>
                              <w:r w:rsidRPr="009E7EF6">
                                <w:rPr>
                                  <w:rFonts w:ascii="Rockwell" w:hAnsi="Rockwell"/>
                                  <w:b/>
                                  <w:bCs/>
                                  <w:noProof/>
                                  <w:color w:val="808080" w:themeColor="text1" w:themeTint="7F"/>
                                  <w:sz w:val="32"/>
                                  <w:szCs w:val="3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9272F5" id="Freeform: Shape 2" o:spid="_x0000_s1026" style="position:absolute;margin-left:183.25pt;margin-top:4pt;width:99.75pt;height:45.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jPUdwQAAEgOAAAOAAAAZHJzL2Uyb0RvYy54bWysV9tu4zYQfS/QfyD0WKCRKFk3I85iN9sU&#10;BbYXYN0PoCXKEiqJKknHzn59Z6iLKSdSg6IvAqk5nNshh8P7D5emJs9cqkq0O4feeQ7hbSbyqj3u&#10;nD/3Tz8mDlGatTmrRct3zgtXzoeH77+7P3db7otS1DmXBJS0anvudk6pdbd1XZWVvGHqTnS8BWEh&#10;ZMM0TOXRzSU7g/amdn3Pi9yzkHknRcaVgr+fe6HzYPQXBc/070WhuCb1zgHftPlK8z3g1324Z9uj&#10;ZF1ZZYMb7D940bCqBaOTqs9MM3KS1StVTZVJoUSh7zLRuKIoqoybGCAa6t1E87VkHTexQHJUN6VJ&#10;/X9qs9+ev3Z/SHRddV9E9pcirXgsWXvkH6UU55KzHMxRTJR77tR2WoATBUvJ4fyryIFadtLC5OBS&#10;yAYVQnTkYlL9MqWaXzTJ4Cf1oyjxQ4dkIAsTGkWGC5dtx9XZSemfuTCa2PMXpXuqchiZROekZQ2Y&#10;3QOtRVMDaz+4JNrQIPTImfg08kZ2JyS1kB4p3wb5FogmcRL4S+oCCxl6gRctqdxYwEXnIBdTGDSm&#10;cZQsqYts5KqHsYX008D30yWdcEwn6+tJTC1ksAnCIFzSSW1mqJduEohpiRqbm3VX6YwhP/FjbzGp&#10;1OZoPavUZunfvLXJWqWe2mR5BDYlOBuFYRANpee6OW2y1pE2WetIm6xVpG9ztY60mVpH2kStI22a&#10;1pE2SwGNgqUNhbVl2tEGuHTebYZosgniRZU2Qz3S0gml6zgWJ1aO9Sq7tEPBghGBsgoFC/YEVrBO&#10;KCyPWL+gBu77Esu2gEOpBY9ncEgqwgNTkd+CJzM45Avh4SI8ncEhGQiPl+CwT2zfYSciPF2E0xkc&#10;KwLi6WKwvj9fMEQL5xgvoDfC9YP5giFeOgu4XzgQIaEpwHZg7wMWGoI9bhVoCfY+BA9Nwd430QNB&#10;TCOPJl4YkvPO6a8VUo4jlDXime+FQenrfUe9pL+AwPYVkZ0OVfaJf3uN3ySBcRnMGi1mjskabrH+&#10;b691+o1xzTTOZ8OaKI4gwltVQyjw+9b0VWIHMVc9n/WGrHXGpLmwb33oQbbIJArdm0TvCmtK0LRs&#10;TF2/yeitD8Nvi5d5EFktFDeOXfkavE9TKKTgoZ2PK2iu5nZJGEVmt4/ehWkwKEsjbya5kktH0bsy&#10;QY0J49+4bjTWKzKiWz8s0XJKZptrjAzdRpUmEptJyw9ImC2ZOKaYSpC8KzArVTf6RkJeuTAKbKbm&#10;/Iw0gwd4wI0r00k3bl37zlY8VXVtAqlbPP9BQuFU41lXoq5ylJqJPB4ea0meGT4zvE/e09jNzmBS&#10;nNrcaMO2+qdhrFlV92OwXkPxN302ttb4ilFbfTlcSJUPTTj+OYj8BRpvKfrnDDy/YFAK+c0hZ3jK&#10;7Bz194lJ7pD6lxaa95RuNrD5tZlswhjvemlLDraEtRmo2jnagesKh48aZrDk1MnqWIKlvqa34iM0&#10;/EWFfbnxuPdqmMBzxWR2eFrhe8ieG9T1AfjwDwAAAP//AwBQSwMEFAAGAAgAAAAhAK1JYnffAAAA&#10;CAEAAA8AAABkcnMvZG93bnJldi54bWxMj8FOwzAQRO9I/IO1SNyoA6imTeNUqBLiAgfaoqo3J94m&#10;EfE62G6b/j3LCW47mtHsm2I5ul6cMMTOk4b7SQYCqfa2o0bDdvNyNwMRkyFrek+o4YIRluX1VWFy&#10;68/0gad1agSXUMyNhjalIZcy1i06Eyd+QGLv4IMziWVopA3mzOWulw9ZpqQzHfGH1gy4arH+Wh+d&#10;hrTfx9edeRo+s+93+XbZhc1qW2l9ezM+L0AkHNNfGH7xGR1KZqr8kWwUvYZHpaYc1TDjSexPleKj&#10;0jCfK5BlIf8PKH8AAAD//wMAUEsBAi0AFAAGAAgAAAAhALaDOJL+AAAA4QEAABMAAAAAAAAAAAAA&#10;AAAAAAAAAFtDb250ZW50X1R5cGVzXS54bWxQSwECLQAUAAYACAAAACEAOP0h/9YAAACUAQAACwAA&#10;AAAAAAAAAAAAAAAvAQAAX3JlbHMvLnJlbHNQSwECLQAUAAYACAAAACEAAeIz1HcEAABIDgAADgAA&#10;AAAAAAAAAAAAAAAuAgAAZHJzL2Uyb0RvYy54bWxQSwECLQAUAAYACAAAACEArUlid98AAAAIAQAA&#10;DwAAAAAAAAAAAAAAAADRBgAAZHJzL2Rvd25yZXYueG1sUEsFBgAAAAAEAAQA8wAAAN0HAAAAAA==&#10;" adj="-11796480,,5400" path="m,10800c,4835,4835,,10800,v5965,,10800,4835,10800,10800c21600,16765,16765,21600,10800,21600,4835,21600,,16765,,10800xm1999,10800v,4861,3940,8801,8801,8801c15661,19601,19601,15661,19601,10800v,-4861,-3940,-8801,-8801,-8801c5939,1999,1999,5939,1999,10800xe" filled="f" fillcolor="#17365d" strokecolor="#00b0f0" strokeweight="3pt">
                  <v:stroke joinstyle="round"/>
                  <v:formulas/>
                  <v:path o:connecttype="custom" o:connectlocs="37614732,0;11016216,1354675;0,4625490;11016216,7896277;37614732,9250952;64213248,7896277;75229464,4625490;64213248,1354675" o:connectangles="0,0,0,0,0,0,0,0" textboxrect="3163,3163,18437,18437"/>
                  <v:textbox>
                    <w:txbxContent>
                      <w:p w14:paraId="6E510A47" w14:textId="77777777" w:rsidR="009E7EF6" w:rsidRPr="009E7EF6" w:rsidRDefault="009E7EF6">
                        <w:pPr>
                          <w:jc w:val="center"/>
                          <w:rPr>
                            <w:rFonts w:ascii="Rockwell" w:hAnsi="Rockwell"/>
                            <w:b/>
                            <w:bCs/>
                            <w:sz w:val="32"/>
                            <w:szCs w:val="32"/>
                          </w:rPr>
                        </w:pPr>
                        <w:r w:rsidRPr="009E7EF6">
                          <w:rPr>
                            <w:rFonts w:ascii="Rockwell" w:hAnsi="Rockwell"/>
                            <w:b/>
                            <w:bCs/>
                            <w:sz w:val="32"/>
                            <w:szCs w:val="32"/>
                          </w:rPr>
                          <w:fldChar w:fldCharType="begin"/>
                        </w:r>
                        <w:r w:rsidRPr="009E7EF6">
                          <w:rPr>
                            <w:rFonts w:ascii="Rockwell" w:hAnsi="Rockwell"/>
                            <w:b/>
                            <w:bCs/>
                            <w:sz w:val="32"/>
                            <w:szCs w:val="32"/>
                          </w:rPr>
                          <w:instrText xml:space="preserve"> PAGE    \* MERGEFORMAT </w:instrText>
                        </w:r>
                        <w:r w:rsidRPr="009E7EF6">
                          <w:rPr>
                            <w:rFonts w:ascii="Rockwell" w:hAnsi="Rockwell"/>
                            <w:b/>
                            <w:bCs/>
                            <w:sz w:val="32"/>
                            <w:szCs w:val="32"/>
                          </w:rPr>
                          <w:fldChar w:fldCharType="separate"/>
                        </w:r>
                        <w:r w:rsidRPr="009E7EF6">
                          <w:rPr>
                            <w:rFonts w:ascii="Rockwell" w:hAnsi="Rockwell"/>
                            <w:b/>
                            <w:bCs/>
                            <w:noProof/>
                            <w:color w:val="808080" w:themeColor="text1" w:themeTint="7F"/>
                            <w:sz w:val="32"/>
                            <w:szCs w:val="32"/>
                          </w:rPr>
                          <w:t>2</w:t>
                        </w:r>
                        <w:r w:rsidRPr="009E7EF6">
                          <w:rPr>
                            <w:rFonts w:ascii="Rockwell" w:hAnsi="Rockwell"/>
                            <w:b/>
                            <w:bCs/>
                            <w:noProof/>
                            <w:color w:val="808080" w:themeColor="text1" w:themeTint="7F"/>
                            <w:sz w:val="32"/>
                            <w:szCs w:val="32"/>
                          </w:rPr>
                          <w:fldChar w:fldCharType="end"/>
                        </w:r>
                      </w:p>
                    </w:txbxContent>
                  </v:textbox>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482010"/>
      <w:docPartObj>
        <w:docPartGallery w:val="Page Numbers (Bottom of Page)"/>
        <w:docPartUnique/>
      </w:docPartObj>
    </w:sdtPr>
    <w:sdtContent>
      <w:p w14:paraId="275380BE" w14:textId="649BE76F" w:rsidR="00B43A75" w:rsidRDefault="00B43A75">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25954DF0" wp14:editId="097DAF47">
                  <wp:simplePos x="0" y="0"/>
                  <wp:positionH relativeFrom="margin">
                    <wp:posOffset>2286000</wp:posOffset>
                  </wp:positionH>
                  <wp:positionV relativeFrom="bottomMargin">
                    <wp:posOffset>-57150</wp:posOffset>
                  </wp:positionV>
                  <wp:extent cx="1333500" cy="476885"/>
                  <wp:effectExtent l="19050" t="19050" r="19050" b="18415"/>
                  <wp:wrapNone/>
                  <wp:docPr id="190268178"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476885"/>
                          </a:xfrm>
                          <a:custGeom>
                            <a:avLst/>
                            <a:gdLst>
                              <a:gd name="T0" fmla="*/ 641350 w 21600"/>
                              <a:gd name="T1" fmla="*/ 0 h 21600"/>
                              <a:gd name="T2" fmla="*/ 187832 w 21600"/>
                              <a:gd name="T3" fmla="*/ 50306 h 21600"/>
                              <a:gd name="T4" fmla="*/ 0 w 21600"/>
                              <a:gd name="T5" fmla="*/ 171768 h 21600"/>
                              <a:gd name="T6" fmla="*/ 187832 w 21600"/>
                              <a:gd name="T7" fmla="*/ 293229 h 21600"/>
                              <a:gd name="T8" fmla="*/ 641350 w 21600"/>
                              <a:gd name="T9" fmla="*/ 343535 h 21600"/>
                              <a:gd name="T10" fmla="*/ 1094868 w 21600"/>
                              <a:gd name="T11" fmla="*/ 293229 h 21600"/>
                              <a:gd name="T12" fmla="*/ 1282700 w 21600"/>
                              <a:gd name="T13" fmla="*/ 171768 h 21600"/>
                              <a:gd name="T14" fmla="*/ 1094868 w 21600"/>
                              <a:gd name="T15" fmla="*/ 50306 h 21600"/>
                              <a:gd name="T16" fmla="*/ 0 60000 65536"/>
                              <a:gd name="T17" fmla="*/ 0 60000 65536"/>
                              <a:gd name="T18" fmla="*/ 0 60000 65536"/>
                              <a:gd name="T19" fmla="*/ 0 60000 65536"/>
                              <a:gd name="T20" fmla="*/ 0 60000 65536"/>
                              <a:gd name="T21" fmla="*/ 0 60000 65536"/>
                              <a:gd name="T22" fmla="*/ 0 60000 65536"/>
                              <a:gd name="T23" fmla="*/ 0 60000 65536"/>
                              <a:gd name="T24" fmla="*/ 3163 w 21600"/>
                              <a:gd name="T25" fmla="*/ 3163 h 21600"/>
                              <a:gd name="T26" fmla="*/ 18437 w 21600"/>
                              <a:gd name="T27" fmla="*/ 18437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a:moveTo>
                                  <a:pt x="0" y="10800"/>
                                </a:moveTo>
                                <a:cubicBezTo>
                                  <a:pt x="0" y="4835"/>
                                  <a:pt x="4835" y="0"/>
                                  <a:pt x="10800" y="0"/>
                                </a:cubicBezTo>
                                <a:cubicBezTo>
                                  <a:pt x="16765" y="0"/>
                                  <a:pt x="21600" y="4835"/>
                                  <a:pt x="21600" y="10800"/>
                                </a:cubicBezTo>
                                <a:cubicBezTo>
                                  <a:pt x="21600" y="16765"/>
                                  <a:pt x="16765" y="21600"/>
                                  <a:pt x="10800" y="21600"/>
                                </a:cubicBezTo>
                                <a:cubicBezTo>
                                  <a:pt x="4835" y="21600"/>
                                  <a:pt x="0" y="16765"/>
                                  <a:pt x="0" y="10800"/>
                                </a:cubicBezTo>
                                <a:close/>
                                <a:moveTo>
                                  <a:pt x="1999" y="10800"/>
                                </a:moveTo>
                                <a:cubicBezTo>
                                  <a:pt x="1999" y="15661"/>
                                  <a:pt x="5939" y="19601"/>
                                  <a:pt x="10800" y="19601"/>
                                </a:cubicBezTo>
                                <a:cubicBezTo>
                                  <a:pt x="15661" y="19601"/>
                                  <a:pt x="19601" y="15661"/>
                                  <a:pt x="19601" y="10800"/>
                                </a:cubicBezTo>
                                <a:cubicBezTo>
                                  <a:pt x="19601" y="5939"/>
                                  <a:pt x="15661" y="1999"/>
                                  <a:pt x="10800" y="1999"/>
                                </a:cubicBezTo>
                                <a:cubicBezTo>
                                  <a:pt x="5939" y="1999"/>
                                  <a:pt x="1999" y="5939"/>
                                  <a:pt x="1999" y="10800"/>
                                </a:cubicBezTo>
                                <a:close/>
                              </a:path>
                            </a:pathLst>
                          </a:custGeom>
                          <a:noFill/>
                          <a:ln w="38100">
                            <a:solidFill>
                              <a:srgbClr val="00B0F0"/>
                            </a:solidFill>
                            <a:round/>
                            <a:headEnd/>
                            <a:tailEnd/>
                          </a:ln>
                          <a:extLst>
                            <a:ext uri="{909E8E84-426E-40DD-AFC4-6F175D3DCCD1}">
                              <a14:hiddenFill xmlns:a14="http://schemas.microsoft.com/office/drawing/2010/main">
                                <a:solidFill>
                                  <a:srgbClr val="17365D"/>
                                </a:solidFill>
                              </a14:hiddenFill>
                            </a:ext>
                          </a:extLst>
                        </wps:spPr>
                        <wps:txbx>
                          <w:txbxContent>
                            <w:p w14:paraId="6BDBC468" w14:textId="77777777" w:rsidR="00B43A75" w:rsidRPr="00B43A75" w:rsidRDefault="00B43A75">
                              <w:pPr>
                                <w:jc w:val="center"/>
                                <w:rPr>
                                  <w:b/>
                                  <w:bCs/>
                                  <w:sz w:val="32"/>
                                  <w:szCs w:val="32"/>
                                </w:rPr>
                              </w:pPr>
                              <w:r w:rsidRPr="00B43A75">
                                <w:rPr>
                                  <w:b/>
                                  <w:bCs/>
                                  <w:sz w:val="32"/>
                                  <w:szCs w:val="32"/>
                                </w:rPr>
                                <w:fldChar w:fldCharType="begin"/>
                              </w:r>
                              <w:r w:rsidRPr="00B43A75">
                                <w:rPr>
                                  <w:b/>
                                  <w:bCs/>
                                  <w:sz w:val="32"/>
                                  <w:szCs w:val="32"/>
                                </w:rPr>
                                <w:instrText xml:space="preserve"> PAGE    \* MERGEFORMAT </w:instrText>
                              </w:r>
                              <w:r w:rsidRPr="00B43A75">
                                <w:rPr>
                                  <w:b/>
                                  <w:bCs/>
                                  <w:sz w:val="32"/>
                                  <w:szCs w:val="32"/>
                                </w:rPr>
                                <w:fldChar w:fldCharType="separate"/>
                              </w:r>
                              <w:r w:rsidRPr="00B43A75">
                                <w:rPr>
                                  <w:b/>
                                  <w:bCs/>
                                  <w:noProof/>
                                  <w:color w:val="808080" w:themeColor="text1" w:themeTint="7F"/>
                                  <w:sz w:val="32"/>
                                  <w:szCs w:val="32"/>
                                </w:rPr>
                                <w:t>2</w:t>
                              </w:r>
                              <w:r w:rsidRPr="00B43A75">
                                <w:rPr>
                                  <w:b/>
                                  <w:bCs/>
                                  <w:noProof/>
                                  <w:color w:val="808080" w:themeColor="text1" w:themeTint="7F"/>
                                  <w:sz w:val="32"/>
                                  <w:szCs w:val="3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954DF0" id="Freeform: Shape 1" o:spid="_x0000_s1027" style="position:absolute;margin-left:180pt;margin-top:-4.5pt;width:105pt;height:37.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mf8bwQAAEEOAAAOAAAAZHJzL2Uyb0RvYy54bWysV22PozYQ/l6p/8HiY6UuGMJbtNnT3V63&#10;qnRtT7rcD3DABFTA1CYhe7++Y/OSITnoquoXZDOPH8/MY4/tx3eXqiRnLlUh6p1FHxyL8DoRaVEf&#10;d9bX/cvPkUVUy+qUlaLmO+uVK+vd048/PHbNlrsiF2XKJQGSWm27ZmflbdtsbVslOa+YehANr8GY&#10;CVmxFrryaKeSdcBelbbrOIHdCZk2UiRcKfj7sTdaT4Y/y3jS/pllirek3FngW2u+0nwP+ms/PbLt&#10;UbImL5LBDfYfvKhYUcOkE9VH1jJyksUdVVUkUiiRtQ+JqGyRZUXCTQwQDXVuovmSs4abWCA5qpnS&#10;pP4/2uSP85fms9Suq+aTSP5SpBbPOauP/L2Uoss5S2E6qhNld43aTgN0R8FQcuh+FylIy06tMDm4&#10;ZLLShBAduZhUv06p5peWJPCTep7nO6BIArZNGESRb6Zg23F0clLtr1wYJnb+pNpeqhRaJtEpqVkF&#10;0+6BJKtKUO0nmwQbCrSkIy4NgH0YMiIpQjok/z7IRSAahZHnLtF5COk7nhMsUW4QcNE5H4FoSCEl&#10;S3QBRq56GCKkG3uuGy9xwjZ9YxJjhPQ2nu/5S5wUK0OdeBNBTEvSYG3WXaUzhdzIDZ3FpFKs0XpW&#10;KVbp37zFYq1KT7FYDoFFCc4Gvu8Fd4sTi7WOxGKtI7FYq0gXa7WOxEqtI7FQ60gs0zoSq+TRwFta&#10;UC6WyACX9jtWiEYbL1ykxAr1SMRpQ/EfixPLx3qVXOqhYEGLQFmFggVrQlewRihdHnX9ghq470ss&#10;2wJOWxE8nMEhqRruDeXyHh7N4JAvDR+r6z08nsEhGRoeLrHDOsG+w0rU8HgRTmdwXRE0ni4G67rz&#10;AUO0sI/1AfSd7LjefMAQL50F3A8chJBwKdDXgb0LWLgQ7PVSgSvB3oXg4VKwd030IBBrtY4mXmiS&#10;bmf1xwrJx5a2VeLM98Kg2ut5R52oP4Bg7isiOR2K5AP/do/fRJ5xGaY1LKavkzWcYv3fnnX6reOa&#10;Mc57w5ggDCDCW6ohFPh9O/XVgoOYU897/URonJnSnL63PvQgbDKJ0u5NpjeFNSVoGjamrl9k9NaH&#10;4TfSZR5EUgrFjWNXvQbv4xgKKXiI83EFzWluh/hBYFb76J0fewNZHDgzy1VcOprelAlqpjD+jePG&#10;yXoiY7r1A5mWUzJbXGNk2m1NaSLBSiI/IGHYMmlMdSrB8qbAUKpu+EZB7lwYDVipuT6jzOCB3uDG&#10;lWmnG7eu985avBRlaQIpa73/vYjCrtZ7XYmySLXVdOTx8FxKcmb6meF8cF7MrgW2GUyKU50aNn2t&#10;/mVot6wo+zbgSyj+5p6tr9b6FaO27eVwgUG6eRDpK9y4pejfMfDugkYu5DeLdPCG2Vnq7xOT3CLl&#10;bzXc2mO62cCqb01n44f6kJfYcsAWVidAtbNaC84p3XxuoQdDTo0sjjnM1BfzWryHm35W6Au5cbX3&#10;aujAO8WkdHhT6YcQ7hvU9eX39A8AAAD//wMAUEsDBBQABgAIAAAAIQDJv7yE4AAAAAkBAAAPAAAA&#10;ZHJzL2Rvd25yZXYueG1sTI9BT8MwDIXvSPyHyEjctmQgOihNJzQJcYED29C0W9qYtqJxSpJt3b/H&#10;O42TZb+n5+8Vi9H14oAhdp40zKYKBFLtbUeNhs36dfIIIiZD1vSeUMMJIyzK66vC5NYf6RMPq9QI&#10;DqGYGw1tSkMuZaxbdCZO/YDE2rcPziReQyNtMEcOd728UyqTznTEH1oz4LLF+me1dxrSbhfftmY+&#10;fKnfD/l+2ob1clNpfXszvjyDSDimixnO+IwOJTNVfk82il7Dfaa4S9IweeLJhof5+VBpyLIZyLKQ&#10;/xuUfwAAAP//AwBQSwECLQAUAAYACAAAACEAtoM4kv4AAADhAQAAEwAAAAAAAAAAAAAAAAAAAAAA&#10;W0NvbnRlbnRfVHlwZXNdLnhtbFBLAQItABQABgAIAAAAIQA4/SH/1gAAAJQBAAALAAAAAAAAAAAA&#10;AAAAAC8BAABfcmVscy8ucmVsc1BLAQItABQABgAIAAAAIQAVSmf8bwQAAEEOAAAOAAAAAAAAAAAA&#10;AAAAAC4CAABkcnMvZTJvRG9jLnhtbFBLAQItABQABgAIAAAAIQDJv7yE4AAAAAkBAAAPAAAAAAAA&#10;AAAAAAAAAMkGAABkcnMvZG93bnJldi54bWxQSwUGAAAAAAQABADzAAAA1gcAAAAA&#10;" adj="-11796480,,5400" path="m,10800c,4835,4835,,10800,v5965,,10800,4835,10800,10800c21600,16765,16765,21600,10800,21600,4835,21600,,16765,,10800xm1999,10800v,4861,3940,8801,8801,8801c15661,19601,19601,15661,19601,10800v,-4861,-3940,-8801,-8801,-8801c5939,1999,1999,5939,1999,10800xe" filled="f" fillcolor="#17365d" strokecolor="#00b0f0" strokeweight="3pt">
                  <v:stroke joinstyle="round"/>
                  <v:formulas/>
                  <v:path o:connecttype="custom" o:connectlocs="39594455,0;11596017,1110656;0,3792295;11596017,6473913;39594455,7584569;67592893,6473913;79188910,3792295;67592893,1110656" o:connectangles="0,0,0,0,0,0,0,0" textboxrect="3163,3163,18437,18437"/>
                  <v:textbox>
                    <w:txbxContent>
                      <w:p w14:paraId="6BDBC468" w14:textId="77777777" w:rsidR="00B43A75" w:rsidRPr="00B43A75" w:rsidRDefault="00B43A75">
                        <w:pPr>
                          <w:jc w:val="center"/>
                          <w:rPr>
                            <w:b/>
                            <w:bCs/>
                            <w:sz w:val="32"/>
                            <w:szCs w:val="32"/>
                          </w:rPr>
                        </w:pPr>
                        <w:r w:rsidRPr="00B43A75">
                          <w:rPr>
                            <w:b/>
                            <w:bCs/>
                            <w:sz w:val="32"/>
                            <w:szCs w:val="32"/>
                          </w:rPr>
                          <w:fldChar w:fldCharType="begin"/>
                        </w:r>
                        <w:r w:rsidRPr="00B43A75">
                          <w:rPr>
                            <w:b/>
                            <w:bCs/>
                            <w:sz w:val="32"/>
                            <w:szCs w:val="32"/>
                          </w:rPr>
                          <w:instrText xml:space="preserve"> PAGE    \* MERGEFORMAT </w:instrText>
                        </w:r>
                        <w:r w:rsidRPr="00B43A75">
                          <w:rPr>
                            <w:b/>
                            <w:bCs/>
                            <w:sz w:val="32"/>
                            <w:szCs w:val="32"/>
                          </w:rPr>
                          <w:fldChar w:fldCharType="separate"/>
                        </w:r>
                        <w:r w:rsidRPr="00B43A75">
                          <w:rPr>
                            <w:b/>
                            <w:bCs/>
                            <w:noProof/>
                            <w:color w:val="808080" w:themeColor="text1" w:themeTint="7F"/>
                            <w:sz w:val="32"/>
                            <w:szCs w:val="32"/>
                          </w:rPr>
                          <w:t>2</w:t>
                        </w:r>
                        <w:r w:rsidRPr="00B43A75">
                          <w:rPr>
                            <w:b/>
                            <w:bCs/>
                            <w:noProof/>
                            <w:color w:val="808080" w:themeColor="text1" w:themeTint="7F"/>
                            <w:sz w:val="32"/>
                            <w:szCs w:val="32"/>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28C8B" w14:textId="77777777" w:rsidR="00B43A75" w:rsidRDefault="00B43A75" w:rsidP="00B43A75">
      <w:pPr>
        <w:spacing w:after="0" w:line="240" w:lineRule="auto"/>
      </w:pPr>
      <w:r>
        <w:separator/>
      </w:r>
    </w:p>
  </w:footnote>
  <w:footnote w:type="continuationSeparator" w:id="0">
    <w:p w14:paraId="528FCCA9" w14:textId="77777777" w:rsidR="00B43A75" w:rsidRDefault="00B43A75" w:rsidP="00B43A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A11"/>
    <w:multiLevelType w:val="multilevel"/>
    <w:tmpl w:val="C17C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AE1FCF"/>
    <w:multiLevelType w:val="multilevel"/>
    <w:tmpl w:val="A7841CC2"/>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33517B"/>
    <w:multiLevelType w:val="multilevel"/>
    <w:tmpl w:val="2248B12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342630583">
    <w:abstractNumId w:val="2"/>
  </w:num>
  <w:num w:numId="2" w16cid:durableId="396977535">
    <w:abstractNumId w:val="1"/>
  </w:num>
  <w:num w:numId="3" w16cid:durableId="358625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8B1"/>
    <w:rsid w:val="001951DB"/>
    <w:rsid w:val="005768D9"/>
    <w:rsid w:val="0077445B"/>
    <w:rsid w:val="007F545E"/>
    <w:rsid w:val="00841A65"/>
    <w:rsid w:val="008D68B1"/>
    <w:rsid w:val="009E7EF6"/>
    <w:rsid w:val="00B14378"/>
    <w:rsid w:val="00B43A75"/>
    <w:rsid w:val="00E028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060C6F8F"/>
  <w15:chartTrackingRefBased/>
  <w15:docId w15:val="{AA1200A8-900D-4F4A-B025-A8D4EC8D0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8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8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8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8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8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8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8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8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8B1"/>
    <w:rPr>
      <w:rFonts w:eastAsiaTheme="majorEastAsia" w:cstheme="majorBidi"/>
      <w:color w:val="272727" w:themeColor="text1" w:themeTint="D8"/>
    </w:rPr>
  </w:style>
  <w:style w:type="paragraph" w:styleId="Title">
    <w:name w:val="Title"/>
    <w:basedOn w:val="Normal"/>
    <w:next w:val="Normal"/>
    <w:link w:val="TitleChar"/>
    <w:uiPriority w:val="10"/>
    <w:qFormat/>
    <w:rsid w:val="008D6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8B1"/>
    <w:pPr>
      <w:spacing w:before="160"/>
      <w:jc w:val="center"/>
    </w:pPr>
    <w:rPr>
      <w:i/>
      <w:iCs/>
      <w:color w:val="404040" w:themeColor="text1" w:themeTint="BF"/>
    </w:rPr>
  </w:style>
  <w:style w:type="character" w:customStyle="1" w:styleId="QuoteChar">
    <w:name w:val="Quote Char"/>
    <w:basedOn w:val="DefaultParagraphFont"/>
    <w:link w:val="Quote"/>
    <w:uiPriority w:val="29"/>
    <w:rsid w:val="008D68B1"/>
    <w:rPr>
      <w:i/>
      <w:iCs/>
      <w:color w:val="404040" w:themeColor="text1" w:themeTint="BF"/>
    </w:rPr>
  </w:style>
  <w:style w:type="paragraph" w:styleId="ListParagraph">
    <w:name w:val="List Paragraph"/>
    <w:basedOn w:val="Normal"/>
    <w:uiPriority w:val="34"/>
    <w:qFormat/>
    <w:rsid w:val="008D68B1"/>
    <w:pPr>
      <w:ind w:left="720"/>
      <w:contextualSpacing/>
    </w:pPr>
  </w:style>
  <w:style w:type="character" w:styleId="IntenseEmphasis">
    <w:name w:val="Intense Emphasis"/>
    <w:basedOn w:val="DefaultParagraphFont"/>
    <w:uiPriority w:val="21"/>
    <w:qFormat/>
    <w:rsid w:val="008D68B1"/>
    <w:rPr>
      <w:i/>
      <w:iCs/>
      <w:color w:val="0F4761" w:themeColor="accent1" w:themeShade="BF"/>
    </w:rPr>
  </w:style>
  <w:style w:type="paragraph" w:styleId="IntenseQuote">
    <w:name w:val="Intense Quote"/>
    <w:basedOn w:val="Normal"/>
    <w:next w:val="Normal"/>
    <w:link w:val="IntenseQuoteChar"/>
    <w:uiPriority w:val="30"/>
    <w:qFormat/>
    <w:rsid w:val="008D6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8B1"/>
    <w:rPr>
      <w:i/>
      <w:iCs/>
      <w:color w:val="0F4761" w:themeColor="accent1" w:themeShade="BF"/>
    </w:rPr>
  </w:style>
  <w:style w:type="character" w:styleId="IntenseReference">
    <w:name w:val="Intense Reference"/>
    <w:basedOn w:val="DefaultParagraphFont"/>
    <w:uiPriority w:val="32"/>
    <w:qFormat/>
    <w:rsid w:val="008D68B1"/>
    <w:rPr>
      <w:b/>
      <w:bCs/>
      <w:smallCaps/>
      <w:color w:val="0F4761" w:themeColor="accent1" w:themeShade="BF"/>
      <w:spacing w:val="5"/>
    </w:rPr>
  </w:style>
  <w:style w:type="table" w:styleId="TableGrid">
    <w:name w:val="Table Grid"/>
    <w:basedOn w:val="TableNormal"/>
    <w:uiPriority w:val="39"/>
    <w:rsid w:val="008D68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3A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A75"/>
  </w:style>
  <w:style w:type="paragraph" w:styleId="Footer">
    <w:name w:val="footer"/>
    <w:basedOn w:val="Normal"/>
    <w:link w:val="FooterChar"/>
    <w:uiPriority w:val="99"/>
    <w:unhideWhenUsed/>
    <w:rsid w:val="00B43A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A75"/>
  </w:style>
  <w:style w:type="paragraph" w:styleId="NoSpacing">
    <w:name w:val="No Spacing"/>
    <w:uiPriority w:val="1"/>
    <w:qFormat/>
    <w:rsid w:val="00B43A75"/>
    <w:pPr>
      <w:spacing w:after="0" w:line="240" w:lineRule="auto"/>
    </w:pPr>
  </w:style>
  <w:style w:type="paragraph" w:styleId="TOCHeading">
    <w:name w:val="TOC Heading"/>
    <w:basedOn w:val="Heading1"/>
    <w:next w:val="Normal"/>
    <w:uiPriority w:val="39"/>
    <w:unhideWhenUsed/>
    <w:qFormat/>
    <w:rsid w:val="00B43A75"/>
    <w:pPr>
      <w:spacing w:before="240" w:after="0"/>
      <w:outlineLvl w:val="9"/>
    </w:pPr>
    <w:rPr>
      <w:kern w:val="0"/>
      <w:sz w:val="32"/>
      <w:szCs w:val="32"/>
      <w:lang w:eastAsia="en-US"/>
      <w14:ligatures w14:val="none"/>
    </w:rPr>
  </w:style>
  <w:style w:type="paragraph" w:styleId="TOC1">
    <w:name w:val="toc 1"/>
    <w:basedOn w:val="Normal"/>
    <w:next w:val="Normal"/>
    <w:autoRedefine/>
    <w:uiPriority w:val="39"/>
    <w:unhideWhenUsed/>
    <w:rsid w:val="00B43A75"/>
    <w:pPr>
      <w:spacing w:after="100"/>
    </w:pPr>
  </w:style>
  <w:style w:type="character" w:styleId="Hyperlink">
    <w:name w:val="Hyperlink"/>
    <w:basedOn w:val="DefaultParagraphFont"/>
    <w:uiPriority w:val="99"/>
    <w:unhideWhenUsed/>
    <w:rsid w:val="00B43A7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19A8E-DA24-477D-91AC-05AD037C5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719</Words>
  <Characters>4507</Characters>
  <Application>Microsoft Office Word</Application>
  <DocSecurity>0</DocSecurity>
  <Lines>225</Lines>
  <Paragraphs>102</Paragraphs>
  <ScaleCrop>false</ScaleCrop>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Nuredin Yigezu</dc:creator>
  <cp:keywords/>
  <dc:description/>
  <cp:lastModifiedBy>Abdi Tofik</cp:lastModifiedBy>
  <cp:revision>11</cp:revision>
  <dcterms:created xsi:type="dcterms:W3CDTF">2025-07-24T19:25:00Z</dcterms:created>
  <dcterms:modified xsi:type="dcterms:W3CDTF">2025-07-24T22:54:00Z</dcterms:modified>
</cp:coreProperties>
</file>