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DADF" w14:textId="77777777" w:rsidR="002610CE" w:rsidRPr="00473BEF" w:rsidRDefault="002610CE" w:rsidP="002610CE">
      <w:pPr>
        <w:pStyle w:val="NoSpacing"/>
        <w:jc w:val="both"/>
        <w:rPr>
          <w:rFonts w:ascii="Rockwell" w:hAnsi="Rockwell"/>
        </w:rPr>
      </w:pPr>
      <w:bookmarkStart w:id="0" w:name="_Hlk204368093"/>
      <w:bookmarkStart w:id="1" w:name="_Hlk197450670"/>
      <w:bookmarkEnd w:id="0"/>
      <w:bookmarkEnd w:id="1"/>
      <w:r w:rsidRPr="00473BEF">
        <w:rPr>
          <w:rFonts w:ascii="Rockwell" w:eastAsia="MS Mincho" w:hAnsi="Rockwell" w:cs="Times New Roman"/>
          <w:b/>
          <w:bCs/>
          <w:noProof/>
          <w:kern w:val="0"/>
          <w:sz w:val="36"/>
          <w:szCs w:val="36"/>
          <w14:ligatures w14:val="none"/>
        </w:rPr>
        <w:drawing>
          <wp:anchor distT="0" distB="0" distL="114300" distR="114300" simplePos="0" relativeHeight="251659264" behindDoc="1" locked="0" layoutInCell="1" allowOverlap="1" wp14:anchorId="17A5AF2F" wp14:editId="42024B16">
            <wp:simplePos x="0" y="0"/>
            <wp:positionH relativeFrom="margin">
              <wp:posOffset>1905000</wp:posOffset>
            </wp:positionH>
            <wp:positionV relativeFrom="page">
              <wp:posOffset>469900</wp:posOffset>
            </wp:positionV>
            <wp:extent cx="1733550" cy="1733550"/>
            <wp:effectExtent l="0" t="0" r="0" b="0"/>
            <wp:wrapTight wrapText="bothSides">
              <wp:wrapPolygon edited="0">
                <wp:start x="0" y="0"/>
                <wp:lineTo x="0" y="21363"/>
                <wp:lineTo x="21363" y="21363"/>
                <wp:lineTo x="21363" y="0"/>
                <wp:lineTo x="0" y="0"/>
              </wp:wrapPolygon>
            </wp:wrapTight>
            <wp:docPr id="619279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9B57AF" w14:textId="77777777" w:rsidR="002610CE" w:rsidRPr="00473BEF" w:rsidRDefault="002610CE" w:rsidP="002610CE">
      <w:pPr>
        <w:pStyle w:val="NoSpacing"/>
        <w:jc w:val="both"/>
        <w:rPr>
          <w:rFonts w:ascii="Rockwell" w:hAnsi="Rockwell"/>
        </w:rPr>
      </w:pPr>
    </w:p>
    <w:p w14:paraId="6C7F90AB" w14:textId="77777777" w:rsidR="002610CE" w:rsidRPr="00473BEF" w:rsidRDefault="002610CE" w:rsidP="002610CE">
      <w:pPr>
        <w:pStyle w:val="NoSpacing"/>
        <w:jc w:val="both"/>
        <w:rPr>
          <w:rFonts w:ascii="Rockwell" w:hAnsi="Rockwell"/>
        </w:rPr>
      </w:pPr>
    </w:p>
    <w:p w14:paraId="74DDD486" w14:textId="77777777" w:rsidR="002610CE" w:rsidRPr="00473BEF" w:rsidRDefault="002610CE" w:rsidP="002610CE">
      <w:pPr>
        <w:pStyle w:val="NoSpacing"/>
        <w:jc w:val="both"/>
        <w:rPr>
          <w:rFonts w:ascii="Rockwell" w:hAnsi="Rockwell"/>
        </w:rPr>
      </w:pPr>
    </w:p>
    <w:p w14:paraId="7D2F01CD" w14:textId="77777777" w:rsidR="002610CE" w:rsidRPr="00473BEF" w:rsidRDefault="002610CE" w:rsidP="002610CE">
      <w:pPr>
        <w:pStyle w:val="NoSpacing"/>
        <w:jc w:val="both"/>
        <w:rPr>
          <w:rFonts w:ascii="Rockwell" w:hAnsi="Rockwell"/>
        </w:rPr>
      </w:pPr>
    </w:p>
    <w:p w14:paraId="0F650FAF" w14:textId="77777777" w:rsidR="002610CE" w:rsidRPr="00473BEF" w:rsidRDefault="002610CE" w:rsidP="002610CE">
      <w:pPr>
        <w:pStyle w:val="NoSpacing"/>
        <w:jc w:val="both"/>
        <w:rPr>
          <w:rFonts w:ascii="Rockwell" w:eastAsia="Times New Roman" w:hAnsi="Rockwell" w:cs="Segoe UI"/>
          <w:b/>
          <w:bCs/>
          <w:kern w:val="0"/>
          <w:sz w:val="28"/>
          <w:szCs w:val="28"/>
          <w14:ligatures w14:val="none"/>
        </w:rPr>
      </w:pPr>
    </w:p>
    <w:p w14:paraId="331769F1" w14:textId="77777777" w:rsidR="002610CE" w:rsidRPr="00473BEF" w:rsidRDefault="002610CE" w:rsidP="002610CE">
      <w:pPr>
        <w:pStyle w:val="NoSpacing"/>
        <w:rPr>
          <w:rFonts w:ascii="Rockwell" w:hAnsi="Rockwell"/>
        </w:rPr>
      </w:pPr>
    </w:p>
    <w:p w14:paraId="24481353" w14:textId="77777777" w:rsidR="002610CE" w:rsidRPr="00473BEF" w:rsidRDefault="002610CE" w:rsidP="002610CE">
      <w:pPr>
        <w:pStyle w:val="NoSpacing"/>
        <w:spacing w:after="240"/>
        <w:jc w:val="both"/>
        <w:rPr>
          <w:rFonts w:ascii="Rockwell" w:hAnsi="Rockwell"/>
          <w:color w:val="000000" w:themeColor="text1"/>
          <w:sz w:val="64"/>
          <w:szCs w:val="64"/>
        </w:rPr>
      </w:pPr>
      <w:r w:rsidRPr="00473BEF">
        <w:rPr>
          <w:rFonts w:ascii="Rockwell" w:eastAsia="Times New Roman" w:hAnsi="Rockwell" w:cs="Segoe UI"/>
          <w:b/>
          <w:bCs/>
          <w:color w:val="000000" w:themeColor="text1"/>
          <w:kern w:val="0"/>
          <w:sz w:val="64"/>
          <w:szCs w:val="64"/>
          <w14:ligatures w14:val="none"/>
        </w:rPr>
        <w:t>DEDER GENERAL HOSPITAL</w:t>
      </w:r>
      <w:r w:rsidRPr="00473BEF">
        <w:rPr>
          <w:rFonts w:ascii="Rockwell" w:hAnsi="Rockwell"/>
          <w:color w:val="000000" w:themeColor="text1"/>
          <w:sz w:val="64"/>
          <w:szCs w:val="64"/>
        </w:rPr>
        <w:t xml:space="preserve"> </w:t>
      </w:r>
    </w:p>
    <w:p w14:paraId="12BC9E9F" w14:textId="60254C0C" w:rsidR="002610CE" w:rsidRPr="002610CE" w:rsidRDefault="002610CE" w:rsidP="002610CE">
      <w:pPr>
        <w:pStyle w:val="NoSpacing"/>
        <w:spacing w:line="360" w:lineRule="auto"/>
        <w:jc w:val="center"/>
        <w:rPr>
          <w:rFonts w:ascii="Rockwell" w:hAnsi="Rockwell"/>
          <w:sz w:val="20"/>
          <w:szCs w:val="20"/>
        </w:rPr>
      </w:pPr>
      <w:r w:rsidRPr="002610CE">
        <w:rPr>
          <w:rFonts w:ascii="Rockwell" w:hAnsi="Rockwell"/>
          <w:b/>
          <w:bCs/>
          <w:color w:val="00B0F0"/>
          <w:sz w:val="48"/>
          <w:szCs w:val="48"/>
          <w:lang w:eastAsia="zh-CN"/>
        </w:rPr>
        <w:t>Joint Plan for Integration of IPC Program with Other Health Programs</w:t>
      </w:r>
    </w:p>
    <w:p w14:paraId="691E0104" w14:textId="77777777" w:rsidR="002610CE" w:rsidRPr="00473BEF" w:rsidRDefault="002610CE" w:rsidP="002610CE">
      <w:pPr>
        <w:pStyle w:val="NoSpacing"/>
        <w:jc w:val="both"/>
        <w:rPr>
          <w:rFonts w:ascii="Rockwell" w:hAnsi="Rockwell"/>
          <w:i/>
          <w:iCs/>
          <w:color w:val="00B0F0"/>
        </w:rPr>
      </w:pPr>
    </w:p>
    <w:p w14:paraId="609A0DE7" w14:textId="77777777" w:rsidR="002610CE" w:rsidRPr="00473BEF" w:rsidRDefault="002610CE" w:rsidP="002610CE">
      <w:pPr>
        <w:pStyle w:val="NoSpacing"/>
        <w:spacing w:line="360" w:lineRule="auto"/>
        <w:jc w:val="center"/>
        <w:rPr>
          <w:rFonts w:ascii="Rockwell" w:hAnsi="Rockwell"/>
          <w:b/>
          <w:bCs/>
          <w:sz w:val="36"/>
          <w:szCs w:val="36"/>
        </w:rPr>
      </w:pPr>
    </w:p>
    <w:p w14:paraId="5169B9D0" w14:textId="77777777" w:rsidR="002610CE" w:rsidRDefault="002610CE" w:rsidP="002610CE">
      <w:pPr>
        <w:pStyle w:val="NoSpacing"/>
        <w:spacing w:line="360" w:lineRule="auto"/>
        <w:rPr>
          <w:rFonts w:ascii="Rockwell" w:hAnsi="Rockwell"/>
          <w:b/>
          <w:bCs/>
          <w:sz w:val="36"/>
          <w:szCs w:val="36"/>
        </w:rPr>
      </w:pPr>
    </w:p>
    <w:p w14:paraId="11143B53" w14:textId="600A427E" w:rsidR="002610CE" w:rsidRPr="00473BEF" w:rsidRDefault="002610CE" w:rsidP="002610CE">
      <w:pPr>
        <w:pStyle w:val="NoSpacing"/>
        <w:spacing w:line="360" w:lineRule="auto"/>
        <w:rPr>
          <w:rFonts w:ascii="Rockwell" w:hAnsi="Rockwell"/>
          <w:b/>
          <w:bCs/>
          <w:sz w:val="36"/>
          <w:szCs w:val="36"/>
        </w:rPr>
      </w:pPr>
      <w:r w:rsidRPr="00473BEF">
        <w:rPr>
          <w:rFonts w:ascii="Rockwell" w:hAnsi="Rockwell"/>
          <w:b/>
          <w:bCs/>
          <w:sz w:val="36"/>
          <w:szCs w:val="36"/>
        </w:rPr>
        <w:t>By: IPC Committee</w:t>
      </w:r>
    </w:p>
    <w:p w14:paraId="5034A1EA" w14:textId="77777777" w:rsidR="002610CE" w:rsidRPr="00473BEF" w:rsidRDefault="002610CE" w:rsidP="002610CE">
      <w:pPr>
        <w:pStyle w:val="NoSpacing"/>
        <w:jc w:val="both"/>
        <w:rPr>
          <w:rFonts w:ascii="Rockwell" w:eastAsia="Times New Roman" w:hAnsi="Rockwell" w:cs="Segoe UI"/>
          <w:b/>
          <w:bCs/>
          <w:i/>
          <w:iCs/>
          <w:kern w:val="0"/>
          <w:sz w:val="48"/>
          <w:szCs w:val="48"/>
          <w14:ligatures w14:val="none"/>
        </w:rPr>
      </w:pPr>
    </w:p>
    <w:p w14:paraId="0E3461C8" w14:textId="77777777" w:rsidR="002610CE" w:rsidRPr="00473BEF" w:rsidRDefault="002610CE" w:rsidP="002610CE">
      <w:pPr>
        <w:pStyle w:val="NoSpacing"/>
        <w:jc w:val="both"/>
        <w:rPr>
          <w:rFonts w:ascii="Rockwell" w:eastAsia="Times New Roman" w:hAnsi="Rockwell" w:cs="Segoe UI"/>
          <w:b/>
          <w:bCs/>
          <w:i/>
          <w:iCs/>
          <w:kern w:val="0"/>
          <w:sz w:val="48"/>
          <w:szCs w:val="48"/>
          <w14:ligatures w14:val="none"/>
        </w:rPr>
      </w:pPr>
    </w:p>
    <w:p w14:paraId="0A97EBFC" w14:textId="77777777" w:rsidR="002610CE" w:rsidRPr="00473BEF" w:rsidRDefault="002610CE" w:rsidP="002610CE">
      <w:pPr>
        <w:pStyle w:val="NoSpacing"/>
        <w:jc w:val="both"/>
        <w:rPr>
          <w:rFonts w:ascii="Rockwell" w:eastAsia="Times New Roman" w:hAnsi="Rockwell" w:cs="Segoe UI"/>
          <w:b/>
          <w:bCs/>
          <w:i/>
          <w:iCs/>
          <w:kern w:val="0"/>
          <w:sz w:val="48"/>
          <w:szCs w:val="48"/>
          <w14:ligatures w14:val="none"/>
        </w:rPr>
      </w:pPr>
    </w:p>
    <w:p w14:paraId="0144CA1D" w14:textId="77777777" w:rsidR="002610CE" w:rsidRPr="00473BEF" w:rsidRDefault="002610CE" w:rsidP="002610CE">
      <w:pPr>
        <w:pStyle w:val="NoSpacing"/>
        <w:jc w:val="both"/>
        <w:rPr>
          <w:rFonts w:ascii="Rockwell" w:eastAsia="Times New Roman" w:hAnsi="Rockwell" w:cs="Segoe UI"/>
          <w:b/>
          <w:bCs/>
          <w:i/>
          <w:iCs/>
          <w:kern w:val="0"/>
          <w:sz w:val="48"/>
          <w:szCs w:val="48"/>
          <w14:ligatures w14:val="none"/>
        </w:rPr>
      </w:pPr>
    </w:p>
    <w:p w14:paraId="470A6A6A" w14:textId="77777777" w:rsidR="002610CE" w:rsidRPr="00473BEF" w:rsidRDefault="002610CE" w:rsidP="002610CE">
      <w:pPr>
        <w:pStyle w:val="NoSpacing"/>
        <w:jc w:val="both"/>
        <w:rPr>
          <w:rFonts w:ascii="Rockwell" w:eastAsia="Times New Roman" w:hAnsi="Rockwell" w:cs="Segoe UI"/>
          <w:b/>
          <w:bCs/>
          <w:i/>
          <w:iCs/>
          <w:kern w:val="0"/>
          <w:sz w:val="48"/>
          <w:szCs w:val="48"/>
          <w14:ligatures w14:val="none"/>
        </w:rPr>
      </w:pPr>
    </w:p>
    <w:p w14:paraId="75A140F8" w14:textId="77777777" w:rsidR="002610CE" w:rsidRPr="00473BEF" w:rsidRDefault="002610CE" w:rsidP="002610CE">
      <w:pPr>
        <w:pStyle w:val="NoSpacing"/>
        <w:jc w:val="both"/>
        <w:rPr>
          <w:rFonts w:ascii="Rockwell" w:eastAsia="Times New Roman" w:hAnsi="Rockwell" w:cs="Segoe UI"/>
          <w:b/>
          <w:bCs/>
          <w:i/>
          <w:iCs/>
          <w:kern w:val="0"/>
          <w:sz w:val="48"/>
          <w:szCs w:val="48"/>
          <w14:ligatures w14:val="none"/>
        </w:rPr>
      </w:pPr>
    </w:p>
    <w:p w14:paraId="464654F1" w14:textId="5588A710" w:rsidR="002610CE" w:rsidRPr="00473BEF" w:rsidRDefault="002610CE" w:rsidP="002610CE">
      <w:pPr>
        <w:pStyle w:val="NoSpacing"/>
        <w:spacing w:line="360" w:lineRule="auto"/>
        <w:jc w:val="right"/>
        <w:rPr>
          <w:rFonts w:ascii="Rockwell" w:eastAsia="Times New Roman" w:hAnsi="Rockwell" w:cs="Segoe UI"/>
          <w:b/>
          <w:bCs/>
          <w:i/>
          <w:iCs/>
          <w:kern w:val="0"/>
          <w:sz w:val="48"/>
          <w:szCs w:val="48"/>
          <w14:ligatures w14:val="none"/>
        </w:rPr>
      </w:pPr>
      <w:r>
        <w:rPr>
          <w:rFonts w:ascii="Rockwell" w:eastAsia="Times New Roman" w:hAnsi="Rockwell" w:cs="Segoe UI"/>
          <w:b/>
          <w:bCs/>
          <w:i/>
          <w:iCs/>
          <w:kern w:val="0"/>
          <w:sz w:val="48"/>
          <w:szCs w:val="48"/>
          <w14:ligatures w14:val="none"/>
        </w:rPr>
        <w:t>July</w:t>
      </w:r>
      <w:r w:rsidRPr="00473BEF">
        <w:rPr>
          <w:rFonts w:ascii="Rockwell" w:eastAsia="Times New Roman" w:hAnsi="Rockwell" w:cs="Segoe UI"/>
          <w:b/>
          <w:bCs/>
          <w:i/>
          <w:iCs/>
          <w:kern w:val="0"/>
          <w:sz w:val="48"/>
          <w:szCs w:val="48"/>
          <w14:ligatures w14:val="none"/>
        </w:rPr>
        <w:t xml:space="preserve"> 201</w:t>
      </w:r>
      <w:r>
        <w:rPr>
          <w:rFonts w:ascii="Rockwell" w:eastAsia="Times New Roman" w:hAnsi="Rockwell" w:cs="Segoe UI"/>
          <w:b/>
          <w:bCs/>
          <w:i/>
          <w:iCs/>
          <w:kern w:val="0"/>
          <w:sz w:val="48"/>
          <w:szCs w:val="48"/>
          <w14:ligatures w14:val="none"/>
        </w:rPr>
        <w:t>6</w:t>
      </w:r>
      <w:r w:rsidRPr="00473BEF">
        <w:rPr>
          <w:rFonts w:ascii="Rockwell" w:eastAsia="Times New Roman" w:hAnsi="Rockwell" w:cs="Segoe UI"/>
          <w:b/>
          <w:bCs/>
          <w:i/>
          <w:iCs/>
          <w:kern w:val="0"/>
          <w:sz w:val="48"/>
          <w:szCs w:val="48"/>
          <w14:ligatures w14:val="none"/>
        </w:rPr>
        <w:t>E.C</w:t>
      </w:r>
    </w:p>
    <w:p w14:paraId="036D1FD5" w14:textId="77777777" w:rsidR="00AB5D84" w:rsidRDefault="002610CE" w:rsidP="002610CE">
      <w:pPr>
        <w:pStyle w:val="NoSpacing"/>
        <w:spacing w:line="360" w:lineRule="auto"/>
        <w:jc w:val="right"/>
        <w:rPr>
          <w:rFonts w:ascii="Rockwell" w:eastAsia="Times New Roman" w:hAnsi="Rockwell" w:cs="Segoe UI"/>
          <w:b/>
          <w:bCs/>
          <w:i/>
          <w:iCs/>
          <w:kern w:val="0"/>
          <w:sz w:val="48"/>
          <w:szCs w:val="48"/>
          <w14:ligatures w14:val="none"/>
        </w:rPr>
        <w:sectPr w:rsidR="00AB5D84" w:rsidSect="00AB5D84">
          <w:footerReference w:type="default" r:id="rId9"/>
          <w:pgSz w:w="12240" w:h="15840"/>
          <w:pgMar w:top="1440" w:right="810" w:bottom="1440" w:left="1440" w:header="432" w:footer="432" w:gutter="0"/>
          <w:pgBorders w:display="firstPage" w:offsetFrom="page">
            <w:top w:val="single" w:sz="24" w:space="24" w:color="00B0F0"/>
            <w:left w:val="single" w:sz="24" w:space="24" w:color="00B0F0"/>
            <w:bottom w:val="single" w:sz="24" w:space="24" w:color="00B0F0"/>
            <w:right w:val="single" w:sz="24" w:space="24" w:color="00B0F0"/>
          </w:pgBorders>
          <w:pgNumType w:fmt="lowerRoman" w:start="1"/>
          <w:cols w:space="720"/>
          <w:docGrid w:linePitch="360"/>
        </w:sectPr>
      </w:pPr>
      <w:r w:rsidRPr="00473BEF">
        <w:rPr>
          <w:rFonts w:ascii="Rockwell" w:eastAsia="Times New Roman" w:hAnsi="Rockwell" w:cs="Segoe UI"/>
          <w:b/>
          <w:bCs/>
          <w:i/>
          <w:iCs/>
          <w:kern w:val="0"/>
          <w:sz w:val="48"/>
          <w:szCs w:val="48"/>
          <w14:ligatures w14:val="none"/>
        </w:rPr>
        <w:t>Deder, Oromia</w:t>
      </w:r>
    </w:p>
    <w:sdt>
      <w:sdtPr>
        <w:rPr>
          <w:rFonts w:ascii="Rockwell" w:eastAsiaTheme="minorHAnsi" w:hAnsi="Rockwell"/>
        </w:rPr>
        <w:id w:val="-1256209303"/>
        <w:docPartObj>
          <w:docPartGallery w:val="Table of Contents"/>
          <w:docPartUnique/>
        </w:docPartObj>
      </w:sdtPr>
      <w:sdtEndPr>
        <w:rPr>
          <w:rFonts w:eastAsiaTheme="minorEastAsia"/>
          <w:b/>
          <w:bCs/>
          <w:noProof/>
        </w:rPr>
      </w:sdtEndPr>
      <w:sdtContent>
        <w:p w14:paraId="31064667" w14:textId="77777777" w:rsidR="002610CE" w:rsidRPr="00473BEF" w:rsidRDefault="002610CE" w:rsidP="002610CE">
          <w:pPr>
            <w:jc w:val="center"/>
            <w:rPr>
              <w:rFonts w:ascii="Rockwell" w:hAnsi="Rockwell"/>
              <w:b/>
              <w:bCs/>
            </w:rPr>
          </w:pPr>
          <w:r w:rsidRPr="00473BEF">
            <w:rPr>
              <w:rFonts w:ascii="Rockwell" w:hAnsi="Rockwell"/>
              <w:b/>
              <w:bCs/>
            </w:rPr>
            <w:t>TABLE OF CONTENTS</w:t>
          </w:r>
        </w:p>
        <w:p w14:paraId="3E272999" w14:textId="7B61289D" w:rsidR="00AB5D84" w:rsidRDefault="002610CE">
          <w:pPr>
            <w:pStyle w:val="TOC1"/>
            <w:tabs>
              <w:tab w:val="right" w:leader="dot" w:pos="9980"/>
            </w:tabs>
            <w:rPr>
              <w:rFonts w:eastAsiaTheme="minorEastAsia"/>
              <w:noProof/>
              <w:sz w:val="24"/>
              <w:szCs w:val="24"/>
            </w:rPr>
          </w:pPr>
          <w:r w:rsidRPr="00473BEF">
            <w:rPr>
              <w:rFonts w:ascii="Rockwell" w:hAnsi="Rockwell"/>
            </w:rPr>
            <w:fldChar w:fldCharType="begin"/>
          </w:r>
          <w:r w:rsidRPr="00473BEF">
            <w:rPr>
              <w:rFonts w:ascii="Rockwell" w:hAnsi="Rockwell"/>
            </w:rPr>
            <w:instrText xml:space="preserve"> TOC \o "1-3" \h \z \u </w:instrText>
          </w:r>
          <w:r w:rsidRPr="00473BEF">
            <w:rPr>
              <w:rFonts w:ascii="Rockwell" w:hAnsi="Rockwell"/>
            </w:rPr>
            <w:fldChar w:fldCharType="separate"/>
          </w:r>
          <w:hyperlink w:anchor="_Toc204381225" w:history="1">
            <w:r w:rsidR="00AB5D84" w:rsidRPr="00E01B3A">
              <w:rPr>
                <w:rStyle w:val="Hyperlink"/>
                <w:rFonts w:ascii="Rockwell" w:hAnsi="Rockwell"/>
                <w:b/>
                <w:bCs/>
                <w:noProof/>
              </w:rPr>
              <w:t>Introduction</w:t>
            </w:r>
            <w:r w:rsidR="00AB5D84">
              <w:rPr>
                <w:noProof/>
                <w:webHidden/>
              </w:rPr>
              <w:tab/>
            </w:r>
            <w:r w:rsidR="00AB5D84">
              <w:rPr>
                <w:noProof/>
                <w:webHidden/>
              </w:rPr>
              <w:fldChar w:fldCharType="begin"/>
            </w:r>
            <w:r w:rsidR="00AB5D84">
              <w:rPr>
                <w:noProof/>
                <w:webHidden/>
              </w:rPr>
              <w:instrText xml:space="preserve"> PAGEREF _Toc204381225 \h </w:instrText>
            </w:r>
            <w:r w:rsidR="00AB5D84">
              <w:rPr>
                <w:noProof/>
                <w:webHidden/>
              </w:rPr>
            </w:r>
            <w:r w:rsidR="00AB5D84">
              <w:rPr>
                <w:noProof/>
                <w:webHidden/>
              </w:rPr>
              <w:fldChar w:fldCharType="separate"/>
            </w:r>
            <w:r w:rsidR="00AB5D84">
              <w:rPr>
                <w:noProof/>
                <w:webHidden/>
              </w:rPr>
              <w:t>2</w:t>
            </w:r>
            <w:r w:rsidR="00AB5D84">
              <w:rPr>
                <w:noProof/>
                <w:webHidden/>
              </w:rPr>
              <w:fldChar w:fldCharType="end"/>
            </w:r>
          </w:hyperlink>
        </w:p>
        <w:p w14:paraId="7F73A66C" w14:textId="56159ED2" w:rsidR="00AB5D84" w:rsidRDefault="00AB5D84">
          <w:pPr>
            <w:pStyle w:val="TOC1"/>
            <w:tabs>
              <w:tab w:val="right" w:leader="dot" w:pos="9980"/>
            </w:tabs>
            <w:rPr>
              <w:rFonts w:eastAsiaTheme="minorEastAsia"/>
              <w:noProof/>
              <w:sz w:val="24"/>
              <w:szCs w:val="24"/>
            </w:rPr>
          </w:pPr>
          <w:hyperlink w:anchor="_Toc204381226" w:history="1">
            <w:r w:rsidRPr="00E01B3A">
              <w:rPr>
                <w:rStyle w:val="Hyperlink"/>
                <w:rFonts w:ascii="Rockwell" w:hAnsi="Rockwell"/>
                <w:b/>
                <w:bCs/>
                <w:noProof/>
              </w:rPr>
              <w:t>Goal</w:t>
            </w:r>
            <w:r>
              <w:rPr>
                <w:noProof/>
                <w:webHidden/>
              </w:rPr>
              <w:tab/>
            </w:r>
            <w:r>
              <w:rPr>
                <w:noProof/>
                <w:webHidden/>
              </w:rPr>
              <w:fldChar w:fldCharType="begin"/>
            </w:r>
            <w:r>
              <w:rPr>
                <w:noProof/>
                <w:webHidden/>
              </w:rPr>
              <w:instrText xml:space="preserve"> PAGEREF _Toc204381226 \h </w:instrText>
            </w:r>
            <w:r>
              <w:rPr>
                <w:noProof/>
                <w:webHidden/>
              </w:rPr>
            </w:r>
            <w:r>
              <w:rPr>
                <w:noProof/>
                <w:webHidden/>
              </w:rPr>
              <w:fldChar w:fldCharType="separate"/>
            </w:r>
            <w:r>
              <w:rPr>
                <w:noProof/>
                <w:webHidden/>
              </w:rPr>
              <w:t>2</w:t>
            </w:r>
            <w:r>
              <w:rPr>
                <w:noProof/>
                <w:webHidden/>
              </w:rPr>
              <w:fldChar w:fldCharType="end"/>
            </w:r>
          </w:hyperlink>
        </w:p>
        <w:p w14:paraId="12C48741" w14:textId="7BC3097F" w:rsidR="00AB5D84" w:rsidRDefault="00AB5D84">
          <w:pPr>
            <w:pStyle w:val="TOC1"/>
            <w:tabs>
              <w:tab w:val="right" w:leader="dot" w:pos="9980"/>
            </w:tabs>
            <w:rPr>
              <w:rFonts w:eastAsiaTheme="minorEastAsia"/>
              <w:noProof/>
              <w:sz w:val="24"/>
              <w:szCs w:val="24"/>
            </w:rPr>
          </w:pPr>
          <w:hyperlink w:anchor="_Toc204381227" w:history="1">
            <w:r w:rsidRPr="00E01B3A">
              <w:rPr>
                <w:rStyle w:val="Hyperlink"/>
                <w:rFonts w:ascii="Rockwell" w:hAnsi="Rockwell"/>
                <w:b/>
                <w:bCs/>
                <w:noProof/>
              </w:rPr>
              <w:t>Objective</w:t>
            </w:r>
            <w:r>
              <w:rPr>
                <w:noProof/>
                <w:webHidden/>
              </w:rPr>
              <w:tab/>
            </w:r>
            <w:r>
              <w:rPr>
                <w:noProof/>
                <w:webHidden/>
              </w:rPr>
              <w:fldChar w:fldCharType="begin"/>
            </w:r>
            <w:r>
              <w:rPr>
                <w:noProof/>
                <w:webHidden/>
              </w:rPr>
              <w:instrText xml:space="preserve"> PAGEREF _Toc204381227 \h </w:instrText>
            </w:r>
            <w:r>
              <w:rPr>
                <w:noProof/>
                <w:webHidden/>
              </w:rPr>
            </w:r>
            <w:r>
              <w:rPr>
                <w:noProof/>
                <w:webHidden/>
              </w:rPr>
              <w:fldChar w:fldCharType="separate"/>
            </w:r>
            <w:r>
              <w:rPr>
                <w:noProof/>
                <w:webHidden/>
              </w:rPr>
              <w:t>2</w:t>
            </w:r>
            <w:r>
              <w:rPr>
                <w:noProof/>
                <w:webHidden/>
              </w:rPr>
              <w:fldChar w:fldCharType="end"/>
            </w:r>
          </w:hyperlink>
        </w:p>
        <w:p w14:paraId="18859292" w14:textId="14BA16B4" w:rsidR="00AB5D84" w:rsidRDefault="00AB5D84">
          <w:pPr>
            <w:pStyle w:val="TOC1"/>
            <w:tabs>
              <w:tab w:val="right" w:leader="dot" w:pos="9980"/>
            </w:tabs>
            <w:rPr>
              <w:rFonts w:eastAsiaTheme="minorEastAsia"/>
              <w:noProof/>
              <w:sz w:val="24"/>
              <w:szCs w:val="24"/>
            </w:rPr>
          </w:pPr>
          <w:hyperlink w:anchor="_Toc204381228" w:history="1">
            <w:r w:rsidRPr="00E01B3A">
              <w:rPr>
                <w:rStyle w:val="Hyperlink"/>
                <w:rFonts w:ascii="Rockwell" w:hAnsi="Rockwell"/>
                <w:b/>
                <w:bCs/>
                <w:noProof/>
              </w:rPr>
              <w:t>4. Integration of IPC Program with Other Programs</w:t>
            </w:r>
            <w:r>
              <w:rPr>
                <w:noProof/>
                <w:webHidden/>
              </w:rPr>
              <w:tab/>
            </w:r>
            <w:r>
              <w:rPr>
                <w:noProof/>
                <w:webHidden/>
              </w:rPr>
              <w:fldChar w:fldCharType="begin"/>
            </w:r>
            <w:r>
              <w:rPr>
                <w:noProof/>
                <w:webHidden/>
              </w:rPr>
              <w:instrText xml:space="preserve"> PAGEREF _Toc204381228 \h </w:instrText>
            </w:r>
            <w:r>
              <w:rPr>
                <w:noProof/>
                <w:webHidden/>
              </w:rPr>
            </w:r>
            <w:r>
              <w:rPr>
                <w:noProof/>
                <w:webHidden/>
              </w:rPr>
              <w:fldChar w:fldCharType="separate"/>
            </w:r>
            <w:r>
              <w:rPr>
                <w:noProof/>
                <w:webHidden/>
              </w:rPr>
              <w:t>3</w:t>
            </w:r>
            <w:r>
              <w:rPr>
                <w:noProof/>
                <w:webHidden/>
              </w:rPr>
              <w:fldChar w:fldCharType="end"/>
            </w:r>
          </w:hyperlink>
        </w:p>
        <w:p w14:paraId="5754A93A" w14:textId="6D6D8458" w:rsidR="00AB5D84" w:rsidRDefault="00AB5D84">
          <w:pPr>
            <w:pStyle w:val="TOC1"/>
            <w:tabs>
              <w:tab w:val="right" w:leader="dot" w:pos="9980"/>
            </w:tabs>
            <w:rPr>
              <w:rFonts w:eastAsiaTheme="minorEastAsia"/>
              <w:noProof/>
              <w:sz w:val="24"/>
              <w:szCs w:val="24"/>
            </w:rPr>
          </w:pPr>
          <w:hyperlink w:anchor="_Toc204381229" w:history="1">
            <w:r w:rsidRPr="00E01B3A">
              <w:rPr>
                <w:rStyle w:val="Hyperlink"/>
                <w:rFonts w:ascii="Rockwell" w:hAnsi="Rockwell"/>
                <w:b/>
                <w:bCs/>
                <w:noProof/>
              </w:rPr>
              <w:t>Conclusion</w:t>
            </w:r>
            <w:r>
              <w:rPr>
                <w:noProof/>
                <w:webHidden/>
              </w:rPr>
              <w:tab/>
            </w:r>
            <w:r>
              <w:rPr>
                <w:noProof/>
                <w:webHidden/>
              </w:rPr>
              <w:fldChar w:fldCharType="begin"/>
            </w:r>
            <w:r>
              <w:rPr>
                <w:noProof/>
                <w:webHidden/>
              </w:rPr>
              <w:instrText xml:space="preserve"> PAGEREF _Toc204381229 \h </w:instrText>
            </w:r>
            <w:r>
              <w:rPr>
                <w:noProof/>
                <w:webHidden/>
              </w:rPr>
            </w:r>
            <w:r>
              <w:rPr>
                <w:noProof/>
                <w:webHidden/>
              </w:rPr>
              <w:fldChar w:fldCharType="separate"/>
            </w:r>
            <w:r>
              <w:rPr>
                <w:noProof/>
                <w:webHidden/>
              </w:rPr>
              <w:t>6</w:t>
            </w:r>
            <w:r>
              <w:rPr>
                <w:noProof/>
                <w:webHidden/>
              </w:rPr>
              <w:fldChar w:fldCharType="end"/>
            </w:r>
          </w:hyperlink>
        </w:p>
        <w:p w14:paraId="1657D407" w14:textId="65ED0D21" w:rsidR="002610CE" w:rsidRPr="00473BEF" w:rsidRDefault="002610CE" w:rsidP="002610CE">
          <w:pPr>
            <w:rPr>
              <w:rFonts w:ascii="Rockwell" w:hAnsi="Rockwell"/>
            </w:rPr>
          </w:pPr>
          <w:r w:rsidRPr="00473BEF">
            <w:rPr>
              <w:rFonts w:ascii="Rockwell" w:hAnsi="Rockwell"/>
              <w:noProof/>
            </w:rPr>
            <w:fldChar w:fldCharType="end"/>
          </w:r>
        </w:p>
      </w:sdtContent>
    </w:sdt>
    <w:p w14:paraId="426DC2D2" w14:textId="77777777" w:rsidR="002610CE" w:rsidRPr="00473BEF" w:rsidRDefault="002610CE" w:rsidP="002610CE">
      <w:pPr>
        <w:jc w:val="both"/>
        <w:rPr>
          <w:rFonts w:ascii="Rockwell" w:hAnsi="Rockwell"/>
        </w:rPr>
      </w:pPr>
    </w:p>
    <w:p w14:paraId="044755DD" w14:textId="77777777" w:rsidR="002610CE" w:rsidRPr="00473BEF" w:rsidRDefault="002610CE" w:rsidP="00AB5D84">
      <w:pPr>
        <w:spacing w:before="100" w:beforeAutospacing="1" w:after="100" w:afterAutospacing="1" w:line="360" w:lineRule="auto"/>
        <w:jc w:val="both"/>
        <w:rPr>
          <w:rFonts w:ascii="Rockwell" w:hAnsi="Rockwell"/>
          <w:sz w:val="28"/>
          <w:szCs w:val="28"/>
        </w:rPr>
        <w:sectPr w:rsidR="002610CE" w:rsidRPr="00473BEF" w:rsidSect="00AB5D84">
          <w:footerReference w:type="default" r:id="rId10"/>
          <w:pgSz w:w="12240" w:h="15840"/>
          <w:pgMar w:top="1440" w:right="810" w:bottom="1440" w:left="1440" w:header="432" w:footer="432" w:gutter="0"/>
          <w:pgNumType w:fmt="lowerRoman" w:start="1"/>
          <w:cols w:space="720"/>
          <w:docGrid w:linePitch="360"/>
        </w:sectPr>
      </w:pPr>
    </w:p>
    <w:p w14:paraId="578E6363" w14:textId="06122846" w:rsidR="003F1B2B" w:rsidRPr="002610CE" w:rsidRDefault="003F1B2B" w:rsidP="002610CE">
      <w:pPr>
        <w:pStyle w:val="Heading1"/>
        <w:rPr>
          <w:rFonts w:ascii="Rockwell" w:hAnsi="Rockwell"/>
          <w:b/>
          <w:bCs/>
          <w:sz w:val="32"/>
          <w:szCs w:val="32"/>
        </w:rPr>
      </w:pPr>
      <w:bookmarkStart w:id="2" w:name="_Toc204381225"/>
      <w:r w:rsidRPr="002610CE">
        <w:rPr>
          <w:rFonts w:ascii="Rockwell" w:hAnsi="Rockwell"/>
          <w:b/>
          <w:bCs/>
          <w:sz w:val="32"/>
          <w:szCs w:val="32"/>
        </w:rPr>
        <w:lastRenderedPageBreak/>
        <w:t>Introduction</w:t>
      </w:r>
      <w:bookmarkEnd w:id="2"/>
    </w:p>
    <w:p w14:paraId="0C87C454" w14:textId="77777777" w:rsidR="003F1B2B" w:rsidRPr="002610CE" w:rsidRDefault="003F1B2B" w:rsidP="002610CE">
      <w:pPr>
        <w:spacing w:line="360" w:lineRule="auto"/>
        <w:jc w:val="both"/>
        <w:rPr>
          <w:rFonts w:ascii="Rockwell" w:hAnsi="Rockwell"/>
          <w:sz w:val="28"/>
          <w:szCs w:val="28"/>
        </w:rPr>
      </w:pPr>
      <w:r w:rsidRPr="002610CE">
        <w:rPr>
          <w:rFonts w:ascii="Rockwell" w:hAnsi="Rockwell"/>
          <w:sz w:val="28"/>
          <w:szCs w:val="28"/>
        </w:rPr>
        <w:t>Infection Prevention and Control (IPC) is a critical component of patient and healthcare worker safety and a cornerstone of quality health service delivery. To maximize its impact and ensure sustainability, IPC must be integrated with other hospital programs—both vertical (disease-specific or technical) and horizontal (system-wide or service-based). Integration enhances efficiency, minimizes duplication of efforts, and ensures a coordinated approach to infection risk reduction. This joint plan outlines how the IPC program at Deder General Hospital is linked with programs such as Water, Sanitation and Hygiene (WASH), Antimicrobial Stewardship (AMS), Surveillance, Quality Improvement (QI), Maternal and Child Health (MCH), Laboratory Services, and Human Resources.</w:t>
      </w:r>
    </w:p>
    <w:p w14:paraId="048D938B" w14:textId="7894358C" w:rsidR="003F1B2B" w:rsidRPr="002610CE" w:rsidRDefault="003F1B2B" w:rsidP="002610CE">
      <w:pPr>
        <w:pStyle w:val="Heading1"/>
        <w:spacing w:before="0"/>
        <w:rPr>
          <w:rFonts w:ascii="Rockwell" w:hAnsi="Rockwell"/>
          <w:b/>
          <w:bCs/>
          <w:sz w:val="32"/>
          <w:szCs w:val="32"/>
        </w:rPr>
      </w:pPr>
      <w:bookmarkStart w:id="3" w:name="_Toc204381226"/>
      <w:r w:rsidRPr="002610CE">
        <w:rPr>
          <w:rFonts w:ascii="Rockwell" w:hAnsi="Rockwell"/>
          <w:b/>
          <w:bCs/>
          <w:sz w:val="32"/>
          <w:szCs w:val="32"/>
        </w:rPr>
        <w:t>Goal</w:t>
      </w:r>
      <w:bookmarkEnd w:id="3"/>
    </w:p>
    <w:p w14:paraId="2111D8FA" w14:textId="485EC9A9" w:rsidR="003F1B2B" w:rsidRPr="002610CE" w:rsidRDefault="003F1B2B" w:rsidP="002610CE">
      <w:pPr>
        <w:spacing w:after="0" w:line="360" w:lineRule="auto"/>
        <w:jc w:val="both"/>
        <w:rPr>
          <w:rFonts w:ascii="Rockwell" w:hAnsi="Rockwell"/>
          <w:sz w:val="28"/>
          <w:szCs w:val="28"/>
        </w:rPr>
      </w:pPr>
      <w:r w:rsidRPr="002610CE">
        <w:rPr>
          <w:rFonts w:ascii="Rockwell" w:hAnsi="Rockwell"/>
          <w:sz w:val="28"/>
          <w:szCs w:val="28"/>
        </w:rPr>
        <w:t>To enhance the effectiveness and sustainability of Infection Prevention and Control practices through strategic integration with relevant vertical and horizontal health programs, thereby reducing healthcare-associated infections (HAIs), promoting antimicrobial stewardship, and improving overall quality of care.</w:t>
      </w:r>
    </w:p>
    <w:p w14:paraId="30D7A2DB" w14:textId="3785C449" w:rsidR="003F1B2B" w:rsidRPr="002610CE" w:rsidRDefault="003F1B2B" w:rsidP="002610CE">
      <w:pPr>
        <w:pStyle w:val="Heading1"/>
        <w:spacing w:before="0"/>
        <w:rPr>
          <w:rFonts w:ascii="Rockwell" w:hAnsi="Rockwell"/>
          <w:b/>
          <w:bCs/>
          <w:sz w:val="32"/>
          <w:szCs w:val="32"/>
        </w:rPr>
      </w:pPr>
      <w:r w:rsidRPr="002610CE">
        <w:rPr>
          <w:rFonts w:ascii="Rockwell" w:hAnsi="Rockwell"/>
          <w:b/>
          <w:bCs/>
          <w:sz w:val="32"/>
          <w:szCs w:val="32"/>
        </w:rPr>
        <w:t xml:space="preserve"> </w:t>
      </w:r>
      <w:bookmarkStart w:id="4" w:name="_Toc204381227"/>
      <w:r w:rsidRPr="002610CE">
        <w:rPr>
          <w:rFonts w:ascii="Rockwell" w:hAnsi="Rockwell"/>
          <w:b/>
          <w:bCs/>
          <w:sz w:val="32"/>
          <w:szCs w:val="32"/>
        </w:rPr>
        <w:t>Objective</w:t>
      </w:r>
      <w:bookmarkEnd w:id="4"/>
    </w:p>
    <w:p w14:paraId="5B8F6F38" w14:textId="77777777" w:rsidR="003F1B2B" w:rsidRPr="002610CE" w:rsidRDefault="003F1B2B" w:rsidP="002610CE">
      <w:pPr>
        <w:pStyle w:val="ListParagraph"/>
        <w:numPr>
          <w:ilvl w:val="0"/>
          <w:numId w:val="9"/>
        </w:numPr>
        <w:spacing w:after="0" w:line="276" w:lineRule="auto"/>
        <w:jc w:val="both"/>
        <w:rPr>
          <w:rFonts w:ascii="Rockwell" w:hAnsi="Rockwell"/>
          <w:sz w:val="28"/>
          <w:szCs w:val="28"/>
        </w:rPr>
      </w:pPr>
      <w:r w:rsidRPr="002610CE">
        <w:rPr>
          <w:rFonts w:ascii="Rockwell" w:hAnsi="Rockwell"/>
          <w:sz w:val="28"/>
          <w:szCs w:val="28"/>
        </w:rPr>
        <w:t>To align IPC program implementation with key supportive programs for coordinated infection prevention efforts.</w:t>
      </w:r>
    </w:p>
    <w:p w14:paraId="28AA9202" w14:textId="77777777" w:rsidR="003F1B2B" w:rsidRPr="002610CE" w:rsidRDefault="003F1B2B" w:rsidP="002610CE">
      <w:pPr>
        <w:pStyle w:val="ListParagraph"/>
        <w:numPr>
          <w:ilvl w:val="0"/>
          <w:numId w:val="9"/>
        </w:numPr>
        <w:spacing w:after="0" w:line="276" w:lineRule="auto"/>
        <w:jc w:val="both"/>
        <w:rPr>
          <w:rFonts w:ascii="Rockwell" w:hAnsi="Rockwell"/>
          <w:sz w:val="28"/>
          <w:szCs w:val="28"/>
        </w:rPr>
      </w:pPr>
      <w:r w:rsidRPr="002610CE">
        <w:rPr>
          <w:rFonts w:ascii="Rockwell" w:hAnsi="Rockwell"/>
          <w:sz w:val="28"/>
          <w:szCs w:val="28"/>
        </w:rPr>
        <w:t>To foster joint planning, monitoring, and evaluation across IPC-related areas such as WASH, surveillance, and quality improvement.</w:t>
      </w:r>
    </w:p>
    <w:p w14:paraId="32B02853" w14:textId="77777777" w:rsidR="003F1B2B" w:rsidRPr="002610CE" w:rsidRDefault="003F1B2B" w:rsidP="002610CE">
      <w:pPr>
        <w:pStyle w:val="ListParagraph"/>
        <w:numPr>
          <w:ilvl w:val="0"/>
          <w:numId w:val="9"/>
        </w:numPr>
        <w:spacing w:after="0" w:line="276" w:lineRule="auto"/>
        <w:jc w:val="both"/>
        <w:rPr>
          <w:rFonts w:ascii="Rockwell" w:hAnsi="Rockwell"/>
          <w:sz w:val="28"/>
          <w:szCs w:val="28"/>
        </w:rPr>
      </w:pPr>
      <w:r w:rsidRPr="002610CE">
        <w:rPr>
          <w:rFonts w:ascii="Rockwell" w:hAnsi="Rockwell"/>
          <w:sz w:val="28"/>
          <w:szCs w:val="28"/>
        </w:rPr>
        <w:t>To promote efficient use of resources, capacity-building efforts, and system-wide adoption of IPC standards.</w:t>
      </w:r>
    </w:p>
    <w:p w14:paraId="57BE4B4C" w14:textId="77777777" w:rsidR="002610CE" w:rsidRDefault="003F1B2B" w:rsidP="002610CE">
      <w:pPr>
        <w:pStyle w:val="ListParagraph"/>
        <w:numPr>
          <w:ilvl w:val="0"/>
          <w:numId w:val="9"/>
        </w:numPr>
        <w:spacing w:after="0" w:line="276" w:lineRule="auto"/>
        <w:jc w:val="both"/>
        <w:rPr>
          <w:rFonts w:ascii="Rockwell" w:hAnsi="Rockwell"/>
          <w:sz w:val="28"/>
          <w:szCs w:val="28"/>
        </w:rPr>
      </w:pPr>
      <w:r w:rsidRPr="002610CE">
        <w:rPr>
          <w:rFonts w:ascii="Rockwell" w:hAnsi="Rockwell"/>
          <w:sz w:val="28"/>
          <w:szCs w:val="28"/>
        </w:rPr>
        <w:t>To ensure sustained reduction in HAIs, antimicrobial resistance, and occupational exposure risks through shared responsibility.</w:t>
      </w:r>
    </w:p>
    <w:p w14:paraId="64F33BBF" w14:textId="4C7FA3DE" w:rsidR="003F1B2B" w:rsidRPr="002610CE" w:rsidRDefault="003F1B2B" w:rsidP="002610CE">
      <w:pPr>
        <w:pStyle w:val="ListParagraph"/>
        <w:numPr>
          <w:ilvl w:val="0"/>
          <w:numId w:val="9"/>
        </w:numPr>
        <w:spacing w:after="0" w:line="276" w:lineRule="auto"/>
        <w:jc w:val="both"/>
        <w:rPr>
          <w:rFonts w:ascii="Rockwell" w:hAnsi="Rockwell"/>
          <w:sz w:val="28"/>
          <w:szCs w:val="28"/>
        </w:rPr>
      </w:pPr>
      <w:r w:rsidRPr="002610CE">
        <w:rPr>
          <w:rFonts w:ascii="Rockwell" w:hAnsi="Rockwell"/>
          <w:sz w:val="24"/>
          <w:szCs w:val="24"/>
        </w:rPr>
        <w:t>To support cross-functional collaboration and data sharing for continuous performance improvement.</w:t>
      </w:r>
    </w:p>
    <w:p w14:paraId="5374E961" w14:textId="77777777" w:rsidR="003F1B2B" w:rsidRDefault="003F1B2B" w:rsidP="003F1B2B">
      <w:pPr>
        <w:rPr>
          <w:rFonts w:ascii="Rockwell" w:hAnsi="Rockwell"/>
          <w:sz w:val="24"/>
          <w:szCs w:val="24"/>
        </w:rPr>
      </w:pPr>
    </w:p>
    <w:p w14:paraId="7F39C17C" w14:textId="6B0AA678" w:rsidR="003F1B2B" w:rsidRPr="002610CE" w:rsidRDefault="003F1B2B" w:rsidP="002610CE">
      <w:pPr>
        <w:pStyle w:val="Heading1"/>
        <w:rPr>
          <w:rFonts w:ascii="Rockwell" w:hAnsi="Rockwell"/>
          <w:b/>
          <w:bCs/>
          <w:sz w:val="32"/>
          <w:szCs w:val="32"/>
        </w:rPr>
      </w:pPr>
      <w:bookmarkStart w:id="5" w:name="_Toc204381228"/>
      <w:r w:rsidRPr="002610CE">
        <w:rPr>
          <w:rFonts w:ascii="Rockwell" w:hAnsi="Rockwell"/>
          <w:b/>
          <w:bCs/>
          <w:sz w:val="32"/>
          <w:szCs w:val="32"/>
        </w:rPr>
        <w:lastRenderedPageBreak/>
        <w:t>4. Integration of IPC Program with Other Programs</w:t>
      </w:r>
      <w:bookmarkEnd w:id="5"/>
    </w:p>
    <w:p w14:paraId="65C0A788" w14:textId="77777777" w:rsidR="003F1B2B" w:rsidRPr="003F1B2B" w:rsidRDefault="003F1B2B" w:rsidP="003F1B2B">
      <w:pPr>
        <w:rPr>
          <w:rFonts w:ascii="Rockwell" w:hAnsi="Rockwell"/>
          <w:b/>
          <w:bCs/>
          <w:sz w:val="24"/>
          <w:szCs w:val="24"/>
        </w:rPr>
      </w:pPr>
      <w:r w:rsidRPr="003F1B2B">
        <w:rPr>
          <w:rFonts w:ascii="Rockwell" w:hAnsi="Rockwell"/>
          <w:b/>
          <w:bCs/>
          <w:sz w:val="24"/>
          <w:szCs w:val="24"/>
        </w:rPr>
        <w:t>1. IPC and Water, Sanitation &amp; Hygiene (WASH)</w:t>
      </w:r>
    </w:p>
    <w:tbl>
      <w:tblPr>
        <w:tblStyle w:val="TableGrid"/>
        <w:tblW w:w="0" w:type="auto"/>
        <w:tblLook w:val="04A0" w:firstRow="1" w:lastRow="0" w:firstColumn="1" w:lastColumn="0" w:noHBand="0" w:noVBand="1"/>
      </w:tblPr>
      <w:tblGrid>
        <w:gridCol w:w="2914"/>
        <w:gridCol w:w="8236"/>
      </w:tblGrid>
      <w:tr w:rsidR="003F1B2B" w:rsidRPr="002610CE" w14:paraId="7151E9DA" w14:textId="77777777" w:rsidTr="003F1B2B">
        <w:tc>
          <w:tcPr>
            <w:tcW w:w="0" w:type="auto"/>
            <w:hideMark/>
          </w:tcPr>
          <w:p w14:paraId="2AE8056B" w14:textId="77777777" w:rsidR="003F1B2B" w:rsidRPr="002610CE" w:rsidRDefault="003F1B2B" w:rsidP="002610CE">
            <w:pPr>
              <w:spacing w:after="160" w:line="360" w:lineRule="auto"/>
              <w:rPr>
                <w:rFonts w:ascii="Rockwell" w:hAnsi="Rockwell"/>
                <w:b/>
                <w:bCs/>
                <w:sz w:val="28"/>
                <w:szCs w:val="28"/>
              </w:rPr>
            </w:pPr>
            <w:r w:rsidRPr="002610CE">
              <w:rPr>
                <w:rFonts w:ascii="Rockwell" w:hAnsi="Rockwell"/>
                <w:b/>
                <w:bCs/>
                <w:sz w:val="28"/>
                <w:szCs w:val="28"/>
              </w:rPr>
              <w:t>Integration Area</w:t>
            </w:r>
          </w:p>
        </w:tc>
        <w:tc>
          <w:tcPr>
            <w:tcW w:w="0" w:type="auto"/>
            <w:hideMark/>
          </w:tcPr>
          <w:p w14:paraId="22249AC3" w14:textId="77777777" w:rsidR="003F1B2B" w:rsidRPr="002610CE" w:rsidRDefault="003F1B2B" w:rsidP="002610CE">
            <w:pPr>
              <w:spacing w:after="160" w:line="360" w:lineRule="auto"/>
              <w:rPr>
                <w:rFonts w:ascii="Rockwell" w:hAnsi="Rockwell"/>
                <w:b/>
                <w:bCs/>
                <w:sz w:val="28"/>
                <w:szCs w:val="28"/>
              </w:rPr>
            </w:pPr>
            <w:r w:rsidRPr="002610CE">
              <w:rPr>
                <w:rFonts w:ascii="Rockwell" w:hAnsi="Rockwell"/>
                <w:b/>
                <w:bCs/>
                <w:sz w:val="28"/>
                <w:szCs w:val="28"/>
              </w:rPr>
              <w:t>Joint Activities</w:t>
            </w:r>
          </w:p>
        </w:tc>
      </w:tr>
      <w:tr w:rsidR="003F1B2B" w:rsidRPr="002610CE" w14:paraId="07211A7D" w14:textId="77777777" w:rsidTr="003F1B2B">
        <w:tc>
          <w:tcPr>
            <w:tcW w:w="0" w:type="auto"/>
            <w:hideMark/>
          </w:tcPr>
          <w:p w14:paraId="6E85472E"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Safe water supply</w:t>
            </w:r>
          </w:p>
        </w:tc>
        <w:tc>
          <w:tcPr>
            <w:tcW w:w="0" w:type="auto"/>
            <w:hideMark/>
          </w:tcPr>
          <w:p w14:paraId="0A089AA3"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Ensure availability and monitoring of clean water for hand hygiene and cleaning</w:t>
            </w:r>
          </w:p>
        </w:tc>
      </w:tr>
      <w:tr w:rsidR="003F1B2B" w:rsidRPr="002610CE" w14:paraId="5B507625" w14:textId="77777777" w:rsidTr="003F1B2B">
        <w:tc>
          <w:tcPr>
            <w:tcW w:w="0" w:type="auto"/>
            <w:hideMark/>
          </w:tcPr>
          <w:p w14:paraId="1C01D486"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Sanitation</w:t>
            </w:r>
          </w:p>
        </w:tc>
        <w:tc>
          <w:tcPr>
            <w:tcW w:w="0" w:type="auto"/>
            <w:hideMark/>
          </w:tcPr>
          <w:p w14:paraId="0D42EB7B"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Joint toilet cleaning schedules, solid and liquid waste management</w:t>
            </w:r>
          </w:p>
        </w:tc>
      </w:tr>
      <w:tr w:rsidR="003F1B2B" w:rsidRPr="002610CE" w14:paraId="7FA0BB97" w14:textId="77777777" w:rsidTr="003F1B2B">
        <w:tc>
          <w:tcPr>
            <w:tcW w:w="0" w:type="auto"/>
            <w:hideMark/>
          </w:tcPr>
          <w:p w14:paraId="38D14694"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Hand hygiene</w:t>
            </w:r>
          </w:p>
        </w:tc>
        <w:tc>
          <w:tcPr>
            <w:tcW w:w="0" w:type="auto"/>
            <w:hideMark/>
          </w:tcPr>
          <w:p w14:paraId="4F8D6D23"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WHO 5 Moments of Hand Hygiene promotion, availability of soap/alcohol-based rub</w:t>
            </w:r>
          </w:p>
        </w:tc>
      </w:tr>
      <w:tr w:rsidR="003F1B2B" w:rsidRPr="002610CE" w14:paraId="19039E8C" w14:textId="77777777" w:rsidTr="003F1B2B">
        <w:tc>
          <w:tcPr>
            <w:tcW w:w="0" w:type="auto"/>
            <w:hideMark/>
          </w:tcPr>
          <w:p w14:paraId="544994ED"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Environmental cleaning</w:t>
            </w:r>
          </w:p>
        </w:tc>
        <w:tc>
          <w:tcPr>
            <w:tcW w:w="0" w:type="auto"/>
            <w:hideMark/>
          </w:tcPr>
          <w:p w14:paraId="25E338B7"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Shared cleaning SOPs and performance monitoring tools</w:t>
            </w:r>
          </w:p>
        </w:tc>
      </w:tr>
      <w:tr w:rsidR="003F1B2B" w:rsidRPr="002610CE" w14:paraId="066A53D0" w14:textId="77777777" w:rsidTr="003F1B2B">
        <w:tc>
          <w:tcPr>
            <w:tcW w:w="0" w:type="auto"/>
            <w:hideMark/>
          </w:tcPr>
          <w:p w14:paraId="3AE62113"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Monitoring tools</w:t>
            </w:r>
          </w:p>
        </w:tc>
        <w:tc>
          <w:tcPr>
            <w:tcW w:w="0" w:type="auto"/>
            <w:hideMark/>
          </w:tcPr>
          <w:p w14:paraId="298FA2EE"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Utilize joint WASH/IPC audit and checklists</w:t>
            </w:r>
          </w:p>
        </w:tc>
      </w:tr>
    </w:tbl>
    <w:p w14:paraId="4EDE68C3" w14:textId="77777777" w:rsidR="003F1B2B" w:rsidRDefault="003F1B2B" w:rsidP="003F1B2B">
      <w:pPr>
        <w:rPr>
          <w:rFonts w:ascii="Rockwell" w:hAnsi="Rockwell"/>
          <w:sz w:val="24"/>
          <w:szCs w:val="24"/>
        </w:rPr>
      </w:pPr>
    </w:p>
    <w:p w14:paraId="74E887A3" w14:textId="6EA519DF" w:rsidR="003F1B2B" w:rsidRPr="003F1B2B" w:rsidRDefault="003F1B2B" w:rsidP="003F1B2B">
      <w:pPr>
        <w:rPr>
          <w:rFonts w:ascii="Rockwell" w:hAnsi="Rockwell"/>
          <w:b/>
          <w:bCs/>
          <w:sz w:val="24"/>
          <w:szCs w:val="24"/>
        </w:rPr>
      </w:pPr>
      <w:r w:rsidRPr="003F1B2B">
        <w:rPr>
          <w:rFonts w:ascii="Rockwell" w:hAnsi="Rockwell"/>
          <w:b/>
          <w:bCs/>
          <w:sz w:val="24"/>
          <w:szCs w:val="24"/>
        </w:rPr>
        <w:t>2. IPC and Disease Surveillance</w:t>
      </w:r>
    </w:p>
    <w:tbl>
      <w:tblPr>
        <w:tblStyle w:val="TableGrid"/>
        <w:tblW w:w="0" w:type="auto"/>
        <w:tblLook w:val="04A0" w:firstRow="1" w:lastRow="0" w:firstColumn="1" w:lastColumn="0" w:noHBand="0" w:noVBand="1"/>
      </w:tblPr>
      <w:tblGrid>
        <w:gridCol w:w="2863"/>
        <w:gridCol w:w="8287"/>
      </w:tblGrid>
      <w:tr w:rsidR="003F1B2B" w:rsidRPr="002610CE" w14:paraId="787F3763" w14:textId="77777777" w:rsidTr="003F1B2B">
        <w:tc>
          <w:tcPr>
            <w:tcW w:w="0" w:type="auto"/>
            <w:hideMark/>
          </w:tcPr>
          <w:p w14:paraId="17A85EB8" w14:textId="77777777" w:rsidR="003F1B2B" w:rsidRPr="002610CE" w:rsidRDefault="003F1B2B" w:rsidP="002610CE">
            <w:pPr>
              <w:spacing w:after="160" w:line="360" w:lineRule="auto"/>
              <w:rPr>
                <w:rFonts w:ascii="Rockwell" w:hAnsi="Rockwell"/>
                <w:b/>
                <w:bCs/>
                <w:sz w:val="28"/>
                <w:szCs w:val="28"/>
              </w:rPr>
            </w:pPr>
            <w:r w:rsidRPr="002610CE">
              <w:rPr>
                <w:rFonts w:ascii="Rockwell" w:hAnsi="Rockwell"/>
                <w:b/>
                <w:bCs/>
                <w:sz w:val="28"/>
                <w:szCs w:val="28"/>
              </w:rPr>
              <w:t>Integration Area</w:t>
            </w:r>
          </w:p>
        </w:tc>
        <w:tc>
          <w:tcPr>
            <w:tcW w:w="0" w:type="auto"/>
            <w:hideMark/>
          </w:tcPr>
          <w:p w14:paraId="31467EE7" w14:textId="77777777" w:rsidR="003F1B2B" w:rsidRPr="002610CE" w:rsidRDefault="003F1B2B" w:rsidP="002610CE">
            <w:pPr>
              <w:spacing w:after="160" w:line="360" w:lineRule="auto"/>
              <w:rPr>
                <w:rFonts w:ascii="Rockwell" w:hAnsi="Rockwell"/>
                <w:b/>
                <w:bCs/>
                <w:sz w:val="28"/>
                <w:szCs w:val="28"/>
              </w:rPr>
            </w:pPr>
            <w:r w:rsidRPr="002610CE">
              <w:rPr>
                <w:rFonts w:ascii="Rockwell" w:hAnsi="Rockwell"/>
                <w:b/>
                <w:bCs/>
                <w:sz w:val="28"/>
                <w:szCs w:val="28"/>
              </w:rPr>
              <w:t>Joint Activities</w:t>
            </w:r>
          </w:p>
        </w:tc>
      </w:tr>
      <w:tr w:rsidR="003F1B2B" w:rsidRPr="002610CE" w14:paraId="7F7B3F05" w14:textId="77777777" w:rsidTr="003F1B2B">
        <w:tc>
          <w:tcPr>
            <w:tcW w:w="0" w:type="auto"/>
            <w:hideMark/>
          </w:tcPr>
          <w:p w14:paraId="437CB824"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HAI surveillance</w:t>
            </w:r>
          </w:p>
        </w:tc>
        <w:tc>
          <w:tcPr>
            <w:tcW w:w="0" w:type="auto"/>
            <w:hideMark/>
          </w:tcPr>
          <w:p w14:paraId="22B11B91"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Data sharing and joint analysis of infection trends</w:t>
            </w:r>
          </w:p>
        </w:tc>
      </w:tr>
      <w:tr w:rsidR="003F1B2B" w:rsidRPr="002610CE" w14:paraId="28F79A4E" w14:textId="77777777" w:rsidTr="003F1B2B">
        <w:tc>
          <w:tcPr>
            <w:tcW w:w="0" w:type="auto"/>
            <w:hideMark/>
          </w:tcPr>
          <w:p w14:paraId="362DAF9C"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Outbreak investigation</w:t>
            </w:r>
          </w:p>
        </w:tc>
        <w:tc>
          <w:tcPr>
            <w:tcW w:w="0" w:type="auto"/>
            <w:hideMark/>
          </w:tcPr>
          <w:p w14:paraId="11B6B2D7"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IPC team supports infection source control during outbreaks</w:t>
            </w:r>
          </w:p>
        </w:tc>
      </w:tr>
      <w:tr w:rsidR="003F1B2B" w:rsidRPr="002610CE" w14:paraId="25764C49" w14:textId="77777777" w:rsidTr="003F1B2B">
        <w:tc>
          <w:tcPr>
            <w:tcW w:w="0" w:type="auto"/>
            <w:hideMark/>
          </w:tcPr>
          <w:p w14:paraId="3DE75EA7"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Reporting system</w:t>
            </w:r>
          </w:p>
        </w:tc>
        <w:tc>
          <w:tcPr>
            <w:tcW w:w="0" w:type="auto"/>
            <w:hideMark/>
          </w:tcPr>
          <w:p w14:paraId="70270EF9"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IPC focal links with PHEM and HMIS for routine reporting</w:t>
            </w:r>
          </w:p>
        </w:tc>
      </w:tr>
      <w:tr w:rsidR="003F1B2B" w:rsidRPr="002610CE" w14:paraId="0054676C" w14:textId="77777777" w:rsidTr="003F1B2B">
        <w:tc>
          <w:tcPr>
            <w:tcW w:w="0" w:type="auto"/>
            <w:hideMark/>
          </w:tcPr>
          <w:p w14:paraId="465960AA"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Feedback and action</w:t>
            </w:r>
          </w:p>
        </w:tc>
        <w:tc>
          <w:tcPr>
            <w:tcW w:w="0" w:type="auto"/>
            <w:hideMark/>
          </w:tcPr>
          <w:p w14:paraId="6DDE32EC"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Response planning and improvement interventions based on surveillance data</w:t>
            </w:r>
          </w:p>
        </w:tc>
      </w:tr>
    </w:tbl>
    <w:p w14:paraId="0B3E4134" w14:textId="77777777" w:rsidR="003F1B2B" w:rsidRDefault="003F1B2B" w:rsidP="003F1B2B">
      <w:pPr>
        <w:rPr>
          <w:rFonts w:ascii="Rockwell" w:hAnsi="Rockwell"/>
          <w:sz w:val="24"/>
          <w:szCs w:val="24"/>
        </w:rPr>
      </w:pPr>
    </w:p>
    <w:p w14:paraId="4275858F" w14:textId="77777777" w:rsidR="002610CE" w:rsidRDefault="002610CE" w:rsidP="003F1B2B">
      <w:pPr>
        <w:rPr>
          <w:rFonts w:ascii="Rockwell" w:hAnsi="Rockwell"/>
          <w:sz w:val="24"/>
          <w:szCs w:val="24"/>
        </w:rPr>
      </w:pPr>
    </w:p>
    <w:p w14:paraId="2942D3A3" w14:textId="180ECF95" w:rsidR="003F1B2B" w:rsidRPr="003F1B2B" w:rsidRDefault="003F1B2B" w:rsidP="003F1B2B">
      <w:pPr>
        <w:rPr>
          <w:rFonts w:ascii="Rockwell" w:hAnsi="Rockwell"/>
          <w:b/>
          <w:bCs/>
          <w:sz w:val="24"/>
          <w:szCs w:val="24"/>
        </w:rPr>
      </w:pPr>
      <w:r w:rsidRPr="003F1B2B">
        <w:rPr>
          <w:rFonts w:ascii="Rockwell" w:hAnsi="Rockwell"/>
          <w:b/>
          <w:bCs/>
          <w:sz w:val="24"/>
          <w:szCs w:val="24"/>
        </w:rPr>
        <w:lastRenderedPageBreak/>
        <w:t>3. IPC and Antimicrobial Stewardship (AMS)</w:t>
      </w:r>
    </w:p>
    <w:tbl>
      <w:tblPr>
        <w:tblStyle w:val="TableGrid"/>
        <w:tblW w:w="0" w:type="auto"/>
        <w:tblLook w:val="04A0" w:firstRow="1" w:lastRow="0" w:firstColumn="1" w:lastColumn="0" w:noHBand="0" w:noVBand="1"/>
      </w:tblPr>
      <w:tblGrid>
        <w:gridCol w:w="3091"/>
        <w:gridCol w:w="8059"/>
      </w:tblGrid>
      <w:tr w:rsidR="003F1B2B" w:rsidRPr="002610CE" w14:paraId="12A4E32D" w14:textId="77777777" w:rsidTr="003F1B2B">
        <w:tc>
          <w:tcPr>
            <w:tcW w:w="0" w:type="auto"/>
            <w:hideMark/>
          </w:tcPr>
          <w:p w14:paraId="03BDE391" w14:textId="77777777" w:rsidR="003F1B2B" w:rsidRPr="002610CE" w:rsidRDefault="003F1B2B" w:rsidP="002610CE">
            <w:pPr>
              <w:spacing w:after="160" w:line="360" w:lineRule="auto"/>
              <w:rPr>
                <w:rFonts w:ascii="Rockwell" w:hAnsi="Rockwell"/>
                <w:b/>
                <w:bCs/>
                <w:sz w:val="28"/>
                <w:szCs w:val="28"/>
              </w:rPr>
            </w:pPr>
            <w:r w:rsidRPr="002610CE">
              <w:rPr>
                <w:rFonts w:ascii="Rockwell" w:hAnsi="Rockwell"/>
                <w:b/>
                <w:bCs/>
                <w:sz w:val="28"/>
                <w:szCs w:val="28"/>
              </w:rPr>
              <w:t>Integration Area</w:t>
            </w:r>
          </w:p>
        </w:tc>
        <w:tc>
          <w:tcPr>
            <w:tcW w:w="0" w:type="auto"/>
            <w:hideMark/>
          </w:tcPr>
          <w:p w14:paraId="26CFF2DE" w14:textId="77777777" w:rsidR="003F1B2B" w:rsidRPr="002610CE" w:rsidRDefault="003F1B2B" w:rsidP="002610CE">
            <w:pPr>
              <w:spacing w:after="160" w:line="360" w:lineRule="auto"/>
              <w:rPr>
                <w:rFonts w:ascii="Rockwell" w:hAnsi="Rockwell"/>
                <w:b/>
                <w:bCs/>
                <w:sz w:val="28"/>
                <w:szCs w:val="28"/>
              </w:rPr>
            </w:pPr>
            <w:r w:rsidRPr="002610CE">
              <w:rPr>
                <w:rFonts w:ascii="Rockwell" w:hAnsi="Rockwell"/>
                <w:b/>
                <w:bCs/>
                <w:sz w:val="28"/>
                <w:szCs w:val="28"/>
              </w:rPr>
              <w:t>Joint Activities</w:t>
            </w:r>
          </w:p>
        </w:tc>
      </w:tr>
      <w:tr w:rsidR="003F1B2B" w:rsidRPr="002610CE" w14:paraId="129B0911" w14:textId="77777777" w:rsidTr="003F1B2B">
        <w:tc>
          <w:tcPr>
            <w:tcW w:w="0" w:type="auto"/>
            <w:hideMark/>
          </w:tcPr>
          <w:p w14:paraId="5AABF57C"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Rational antimicrobial use</w:t>
            </w:r>
          </w:p>
        </w:tc>
        <w:tc>
          <w:tcPr>
            <w:tcW w:w="0" w:type="auto"/>
            <w:hideMark/>
          </w:tcPr>
          <w:p w14:paraId="11F58279"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Promote STG compliance and prevent misuse of antibiotics</w:t>
            </w:r>
          </w:p>
        </w:tc>
      </w:tr>
      <w:tr w:rsidR="003F1B2B" w:rsidRPr="002610CE" w14:paraId="2B699F89" w14:textId="77777777" w:rsidTr="003F1B2B">
        <w:tc>
          <w:tcPr>
            <w:tcW w:w="0" w:type="auto"/>
            <w:hideMark/>
          </w:tcPr>
          <w:p w14:paraId="60B791FD"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Resistance monitoring</w:t>
            </w:r>
          </w:p>
        </w:tc>
        <w:tc>
          <w:tcPr>
            <w:tcW w:w="0" w:type="auto"/>
            <w:hideMark/>
          </w:tcPr>
          <w:p w14:paraId="7D687551"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Collaborate with lab and clinical teams to monitor and report resistance patterns</w:t>
            </w:r>
          </w:p>
        </w:tc>
      </w:tr>
      <w:tr w:rsidR="003F1B2B" w:rsidRPr="002610CE" w14:paraId="028F56DA" w14:textId="77777777" w:rsidTr="003F1B2B">
        <w:tc>
          <w:tcPr>
            <w:tcW w:w="0" w:type="auto"/>
            <w:hideMark/>
          </w:tcPr>
          <w:p w14:paraId="0E1A0F08"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Prescriber feedback</w:t>
            </w:r>
          </w:p>
        </w:tc>
        <w:tc>
          <w:tcPr>
            <w:tcW w:w="0" w:type="auto"/>
            <w:hideMark/>
          </w:tcPr>
          <w:p w14:paraId="18BF6B98"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Conduct audits and feedback sessions on prescribing practices</w:t>
            </w:r>
          </w:p>
        </w:tc>
      </w:tr>
      <w:tr w:rsidR="003F1B2B" w:rsidRPr="002610CE" w14:paraId="296F3B60" w14:textId="77777777" w:rsidTr="003F1B2B">
        <w:tc>
          <w:tcPr>
            <w:tcW w:w="0" w:type="auto"/>
            <w:hideMark/>
          </w:tcPr>
          <w:p w14:paraId="50039840"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SOP development</w:t>
            </w:r>
          </w:p>
        </w:tc>
        <w:tc>
          <w:tcPr>
            <w:tcW w:w="0" w:type="auto"/>
            <w:hideMark/>
          </w:tcPr>
          <w:p w14:paraId="34F4ABCA"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Develop infection-related care protocols jointly with AMS team</w:t>
            </w:r>
          </w:p>
        </w:tc>
      </w:tr>
    </w:tbl>
    <w:p w14:paraId="2A2FC4C9" w14:textId="1399F41D" w:rsidR="003F1B2B" w:rsidRPr="003F1B2B" w:rsidRDefault="003F1B2B" w:rsidP="002610CE">
      <w:pPr>
        <w:spacing w:before="240"/>
        <w:rPr>
          <w:rFonts w:ascii="Rockwell" w:hAnsi="Rockwell"/>
          <w:b/>
          <w:bCs/>
          <w:sz w:val="24"/>
          <w:szCs w:val="24"/>
        </w:rPr>
      </w:pPr>
      <w:r w:rsidRPr="003F1B2B">
        <w:rPr>
          <w:rFonts w:ascii="Rockwell" w:hAnsi="Rockwell"/>
          <w:b/>
          <w:bCs/>
          <w:sz w:val="24"/>
          <w:szCs w:val="24"/>
        </w:rPr>
        <w:t>4. IPC and Quality Improvement (QI)</w:t>
      </w:r>
    </w:p>
    <w:tbl>
      <w:tblPr>
        <w:tblStyle w:val="TableGrid"/>
        <w:tblW w:w="0" w:type="auto"/>
        <w:tblLook w:val="04A0" w:firstRow="1" w:lastRow="0" w:firstColumn="1" w:lastColumn="0" w:noHBand="0" w:noVBand="1"/>
      </w:tblPr>
      <w:tblGrid>
        <w:gridCol w:w="3323"/>
        <w:gridCol w:w="7827"/>
      </w:tblGrid>
      <w:tr w:rsidR="003F1B2B" w:rsidRPr="002610CE" w14:paraId="6F9A7D54" w14:textId="77777777" w:rsidTr="003F1B2B">
        <w:tc>
          <w:tcPr>
            <w:tcW w:w="0" w:type="auto"/>
            <w:hideMark/>
          </w:tcPr>
          <w:p w14:paraId="059D1303" w14:textId="77777777" w:rsidR="003F1B2B" w:rsidRPr="002610CE" w:rsidRDefault="003F1B2B" w:rsidP="002610CE">
            <w:pPr>
              <w:spacing w:after="160" w:line="360" w:lineRule="auto"/>
              <w:rPr>
                <w:rFonts w:ascii="Rockwell" w:hAnsi="Rockwell"/>
                <w:b/>
                <w:bCs/>
                <w:sz w:val="28"/>
                <w:szCs w:val="28"/>
              </w:rPr>
            </w:pPr>
            <w:r w:rsidRPr="002610CE">
              <w:rPr>
                <w:rFonts w:ascii="Rockwell" w:hAnsi="Rockwell"/>
                <w:b/>
                <w:bCs/>
                <w:sz w:val="28"/>
                <w:szCs w:val="28"/>
              </w:rPr>
              <w:t>Integration Area</w:t>
            </w:r>
          </w:p>
        </w:tc>
        <w:tc>
          <w:tcPr>
            <w:tcW w:w="0" w:type="auto"/>
            <w:hideMark/>
          </w:tcPr>
          <w:p w14:paraId="75EF1235" w14:textId="77777777" w:rsidR="003F1B2B" w:rsidRPr="002610CE" w:rsidRDefault="003F1B2B" w:rsidP="002610CE">
            <w:pPr>
              <w:spacing w:after="160" w:line="360" w:lineRule="auto"/>
              <w:rPr>
                <w:rFonts w:ascii="Rockwell" w:hAnsi="Rockwell"/>
                <w:b/>
                <w:bCs/>
                <w:sz w:val="28"/>
                <w:szCs w:val="28"/>
              </w:rPr>
            </w:pPr>
            <w:r w:rsidRPr="002610CE">
              <w:rPr>
                <w:rFonts w:ascii="Rockwell" w:hAnsi="Rockwell"/>
                <w:b/>
                <w:bCs/>
                <w:sz w:val="28"/>
                <w:szCs w:val="28"/>
              </w:rPr>
              <w:t>Joint Activities</w:t>
            </w:r>
          </w:p>
        </w:tc>
      </w:tr>
      <w:tr w:rsidR="003F1B2B" w:rsidRPr="002610CE" w14:paraId="448AC1D3" w14:textId="77777777" w:rsidTr="003F1B2B">
        <w:tc>
          <w:tcPr>
            <w:tcW w:w="0" w:type="auto"/>
            <w:hideMark/>
          </w:tcPr>
          <w:p w14:paraId="14C6E5F2"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Clinical audits</w:t>
            </w:r>
          </w:p>
        </w:tc>
        <w:tc>
          <w:tcPr>
            <w:tcW w:w="0" w:type="auto"/>
            <w:hideMark/>
          </w:tcPr>
          <w:p w14:paraId="2D703414"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Integrate IPC indicators in surgical, catheter-related, and injection safety audits</w:t>
            </w:r>
          </w:p>
        </w:tc>
      </w:tr>
      <w:tr w:rsidR="003F1B2B" w:rsidRPr="002610CE" w14:paraId="01A8C1E8" w14:textId="77777777" w:rsidTr="003F1B2B">
        <w:tc>
          <w:tcPr>
            <w:tcW w:w="0" w:type="auto"/>
            <w:hideMark/>
          </w:tcPr>
          <w:p w14:paraId="1A3A9E56"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Patient safety improvements</w:t>
            </w:r>
          </w:p>
        </w:tc>
        <w:tc>
          <w:tcPr>
            <w:tcW w:w="0" w:type="auto"/>
            <w:hideMark/>
          </w:tcPr>
          <w:p w14:paraId="55D9052F"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Include IPC gaps in root cause analysis (RCA) and quality action plans</w:t>
            </w:r>
          </w:p>
        </w:tc>
      </w:tr>
      <w:tr w:rsidR="003F1B2B" w:rsidRPr="002610CE" w14:paraId="2427C514" w14:textId="77777777" w:rsidTr="003F1B2B">
        <w:tc>
          <w:tcPr>
            <w:tcW w:w="0" w:type="auto"/>
            <w:hideMark/>
          </w:tcPr>
          <w:p w14:paraId="42238EFD"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Staff training</w:t>
            </w:r>
          </w:p>
        </w:tc>
        <w:tc>
          <w:tcPr>
            <w:tcW w:w="0" w:type="auto"/>
            <w:hideMark/>
          </w:tcPr>
          <w:p w14:paraId="6931521B"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Joint sessions on PPE, standard precautions, and safe waste handling</w:t>
            </w:r>
          </w:p>
        </w:tc>
      </w:tr>
    </w:tbl>
    <w:p w14:paraId="64CFD136" w14:textId="77777777" w:rsidR="003F1B2B" w:rsidRDefault="003F1B2B" w:rsidP="003F1B2B">
      <w:pPr>
        <w:rPr>
          <w:rFonts w:ascii="Rockwell" w:hAnsi="Rockwell"/>
          <w:sz w:val="24"/>
          <w:szCs w:val="24"/>
        </w:rPr>
      </w:pPr>
    </w:p>
    <w:p w14:paraId="54EA821F" w14:textId="77777777" w:rsidR="002610CE" w:rsidRDefault="002610CE" w:rsidP="003F1B2B">
      <w:pPr>
        <w:rPr>
          <w:rFonts w:ascii="Rockwell" w:hAnsi="Rockwell"/>
          <w:sz w:val="24"/>
          <w:szCs w:val="24"/>
        </w:rPr>
      </w:pPr>
    </w:p>
    <w:p w14:paraId="5711F896" w14:textId="77777777" w:rsidR="002610CE" w:rsidRDefault="002610CE" w:rsidP="003F1B2B">
      <w:pPr>
        <w:rPr>
          <w:rFonts w:ascii="Rockwell" w:hAnsi="Rockwell"/>
          <w:sz w:val="24"/>
          <w:szCs w:val="24"/>
        </w:rPr>
      </w:pPr>
    </w:p>
    <w:p w14:paraId="630477B9" w14:textId="77777777" w:rsidR="002610CE" w:rsidRDefault="002610CE" w:rsidP="003F1B2B">
      <w:pPr>
        <w:rPr>
          <w:rFonts w:ascii="Rockwell" w:hAnsi="Rockwell"/>
          <w:sz w:val="24"/>
          <w:szCs w:val="24"/>
        </w:rPr>
      </w:pPr>
    </w:p>
    <w:p w14:paraId="5669E0F2" w14:textId="77777777" w:rsidR="002610CE" w:rsidRDefault="002610CE" w:rsidP="003F1B2B">
      <w:pPr>
        <w:rPr>
          <w:rFonts w:ascii="Rockwell" w:hAnsi="Rockwell"/>
          <w:sz w:val="24"/>
          <w:szCs w:val="24"/>
        </w:rPr>
      </w:pPr>
    </w:p>
    <w:p w14:paraId="032F50F2" w14:textId="49D75474" w:rsidR="003F1B2B" w:rsidRPr="003F1B2B" w:rsidRDefault="003F1B2B" w:rsidP="003F1B2B">
      <w:pPr>
        <w:rPr>
          <w:rFonts w:ascii="Rockwell" w:hAnsi="Rockwell"/>
          <w:b/>
          <w:bCs/>
          <w:sz w:val="24"/>
          <w:szCs w:val="24"/>
        </w:rPr>
      </w:pPr>
      <w:r w:rsidRPr="003F1B2B">
        <w:rPr>
          <w:rFonts w:ascii="Rockwell" w:hAnsi="Rockwell"/>
          <w:b/>
          <w:bCs/>
          <w:sz w:val="24"/>
          <w:szCs w:val="24"/>
        </w:rPr>
        <w:lastRenderedPageBreak/>
        <w:t>5. IPC and Human Resource Development</w:t>
      </w:r>
    </w:p>
    <w:tbl>
      <w:tblPr>
        <w:tblStyle w:val="TableGrid"/>
        <w:tblW w:w="0" w:type="auto"/>
        <w:tblLook w:val="04A0" w:firstRow="1" w:lastRow="0" w:firstColumn="1" w:lastColumn="0" w:noHBand="0" w:noVBand="1"/>
      </w:tblPr>
      <w:tblGrid>
        <w:gridCol w:w="3125"/>
        <w:gridCol w:w="8025"/>
      </w:tblGrid>
      <w:tr w:rsidR="003F1B2B" w:rsidRPr="002610CE" w14:paraId="662A4FED" w14:textId="77777777" w:rsidTr="003F1B2B">
        <w:tc>
          <w:tcPr>
            <w:tcW w:w="0" w:type="auto"/>
            <w:hideMark/>
          </w:tcPr>
          <w:p w14:paraId="4940F3D5" w14:textId="77777777" w:rsidR="003F1B2B" w:rsidRPr="002610CE" w:rsidRDefault="003F1B2B" w:rsidP="002610CE">
            <w:pPr>
              <w:spacing w:after="160" w:line="360" w:lineRule="auto"/>
              <w:rPr>
                <w:rFonts w:ascii="Rockwell" w:hAnsi="Rockwell"/>
                <w:b/>
                <w:bCs/>
                <w:sz w:val="28"/>
                <w:szCs w:val="28"/>
              </w:rPr>
            </w:pPr>
            <w:r w:rsidRPr="002610CE">
              <w:rPr>
                <w:rFonts w:ascii="Rockwell" w:hAnsi="Rockwell"/>
                <w:b/>
                <w:bCs/>
                <w:sz w:val="28"/>
                <w:szCs w:val="28"/>
              </w:rPr>
              <w:t>Integration Area</w:t>
            </w:r>
          </w:p>
        </w:tc>
        <w:tc>
          <w:tcPr>
            <w:tcW w:w="0" w:type="auto"/>
            <w:hideMark/>
          </w:tcPr>
          <w:p w14:paraId="5BD71AC1" w14:textId="77777777" w:rsidR="003F1B2B" w:rsidRPr="002610CE" w:rsidRDefault="003F1B2B" w:rsidP="002610CE">
            <w:pPr>
              <w:spacing w:after="160" w:line="360" w:lineRule="auto"/>
              <w:rPr>
                <w:rFonts w:ascii="Rockwell" w:hAnsi="Rockwell"/>
                <w:b/>
                <w:bCs/>
                <w:sz w:val="28"/>
                <w:szCs w:val="28"/>
              </w:rPr>
            </w:pPr>
            <w:r w:rsidRPr="002610CE">
              <w:rPr>
                <w:rFonts w:ascii="Rockwell" w:hAnsi="Rockwell"/>
                <w:b/>
                <w:bCs/>
                <w:sz w:val="28"/>
                <w:szCs w:val="28"/>
              </w:rPr>
              <w:t>Joint Activities</w:t>
            </w:r>
          </w:p>
        </w:tc>
      </w:tr>
      <w:tr w:rsidR="003F1B2B" w:rsidRPr="002610CE" w14:paraId="7E373440" w14:textId="77777777" w:rsidTr="003F1B2B">
        <w:tc>
          <w:tcPr>
            <w:tcW w:w="0" w:type="auto"/>
            <w:hideMark/>
          </w:tcPr>
          <w:p w14:paraId="004933EF"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Capacity building</w:t>
            </w:r>
          </w:p>
        </w:tc>
        <w:tc>
          <w:tcPr>
            <w:tcW w:w="0" w:type="auto"/>
            <w:hideMark/>
          </w:tcPr>
          <w:p w14:paraId="1359FC78"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Regular training of all cadres on IPC principles and procedures</w:t>
            </w:r>
          </w:p>
        </w:tc>
      </w:tr>
      <w:tr w:rsidR="003F1B2B" w:rsidRPr="002610CE" w14:paraId="685B7900" w14:textId="77777777" w:rsidTr="003F1B2B">
        <w:tc>
          <w:tcPr>
            <w:tcW w:w="0" w:type="auto"/>
            <w:hideMark/>
          </w:tcPr>
          <w:p w14:paraId="26DC6D59"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Orientation of new staff</w:t>
            </w:r>
          </w:p>
        </w:tc>
        <w:tc>
          <w:tcPr>
            <w:tcW w:w="0" w:type="auto"/>
            <w:hideMark/>
          </w:tcPr>
          <w:p w14:paraId="715BC32D"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IPC modules included in induction sessions</w:t>
            </w:r>
          </w:p>
        </w:tc>
      </w:tr>
      <w:tr w:rsidR="003F1B2B" w:rsidRPr="002610CE" w14:paraId="3FFDC5E2" w14:textId="77777777" w:rsidTr="003F1B2B">
        <w:tc>
          <w:tcPr>
            <w:tcW w:w="0" w:type="auto"/>
            <w:hideMark/>
          </w:tcPr>
          <w:p w14:paraId="183DE552"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Job descriptions</w:t>
            </w:r>
          </w:p>
        </w:tc>
        <w:tc>
          <w:tcPr>
            <w:tcW w:w="0" w:type="auto"/>
            <w:hideMark/>
          </w:tcPr>
          <w:p w14:paraId="199338FB"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Define IPC-related roles in staff TORs and supervision tools</w:t>
            </w:r>
          </w:p>
        </w:tc>
      </w:tr>
    </w:tbl>
    <w:p w14:paraId="74913DF4" w14:textId="77777777" w:rsidR="003F1B2B" w:rsidRDefault="003F1B2B" w:rsidP="003F1B2B">
      <w:pPr>
        <w:rPr>
          <w:rFonts w:ascii="Rockwell" w:hAnsi="Rockwell"/>
          <w:sz w:val="24"/>
          <w:szCs w:val="24"/>
        </w:rPr>
      </w:pPr>
    </w:p>
    <w:p w14:paraId="7BDF0FEC" w14:textId="13EC8AB0" w:rsidR="003F1B2B" w:rsidRPr="003F1B2B" w:rsidRDefault="003F1B2B" w:rsidP="003F1B2B">
      <w:pPr>
        <w:rPr>
          <w:rFonts w:ascii="Rockwell" w:hAnsi="Rockwell"/>
          <w:b/>
          <w:bCs/>
          <w:sz w:val="24"/>
          <w:szCs w:val="24"/>
        </w:rPr>
      </w:pPr>
      <w:r w:rsidRPr="003F1B2B">
        <w:rPr>
          <w:rFonts w:ascii="Rockwell" w:hAnsi="Rockwell"/>
          <w:b/>
          <w:bCs/>
          <w:sz w:val="24"/>
          <w:szCs w:val="24"/>
        </w:rPr>
        <w:t>6. IPC and Maternal &amp; Child Health (MCH)</w:t>
      </w:r>
    </w:p>
    <w:tbl>
      <w:tblPr>
        <w:tblStyle w:val="TableGrid"/>
        <w:tblW w:w="0" w:type="auto"/>
        <w:tblLook w:val="04A0" w:firstRow="1" w:lastRow="0" w:firstColumn="1" w:lastColumn="0" w:noHBand="0" w:noVBand="1"/>
      </w:tblPr>
      <w:tblGrid>
        <w:gridCol w:w="3661"/>
        <w:gridCol w:w="7489"/>
      </w:tblGrid>
      <w:tr w:rsidR="003F1B2B" w:rsidRPr="002610CE" w14:paraId="3ABAE2B7" w14:textId="77777777" w:rsidTr="003F1B2B">
        <w:tc>
          <w:tcPr>
            <w:tcW w:w="0" w:type="auto"/>
            <w:hideMark/>
          </w:tcPr>
          <w:p w14:paraId="3772BDFB" w14:textId="77777777" w:rsidR="003F1B2B" w:rsidRPr="002610CE" w:rsidRDefault="003F1B2B" w:rsidP="002610CE">
            <w:pPr>
              <w:spacing w:after="160" w:line="360" w:lineRule="auto"/>
              <w:rPr>
                <w:rFonts w:ascii="Rockwell" w:hAnsi="Rockwell"/>
                <w:b/>
                <w:bCs/>
                <w:sz w:val="28"/>
                <w:szCs w:val="28"/>
              </w:rPr>
            </w:pPr>
            <w:r w:rsidRPr="002610CE">
              <w:rPr>
                <w:rFonts w:ascii="Rockwell" w:hAnsi="Rockwell"/>
                <w:b/>
                <w:bCs/>
                <w:sz w:val="28"/>
                <w:szCs w:val="28"/>
              </w:rPr>
              <w:t>Integration Area</w:t>
            </w:r>
          </w:p>
        </w:tc>
        <w:tc>
          <w:tcPr>
            <w:tcW w:w="0" w:type="auto"/>
            <w:hideMark/>
          </w:tcPr>
          <w:p w14:paraId="47EF19BA" w14:textId="77777777" w:rsidR="003F1B2B" w:rsidRPr="002610CE" w:rsidRDefault="003F1B2B" w:rsidP="002610CE">
            <w:pPr>
              <w:spacing w:after="160" w:line="360" w:lineRule="auto"/>
              <w:rPr>
                <w:rFonts w:ascii="Rockwell" w:hAnsi="Rockwell"/>
                <w:b/>
                <w:bCs/>
                <w:sz w:val="28"/>
                <w:szCs w:val="28"/>
              </w:rPr>
            </w:pPr>
            <w:r w:rsidRPr="002610CE">
              <w:rPr>
                <w:rFonts w:ascii="Rockwell" w:hAnsi="Rockwell"/>
                <w:b/>
                <w:bCs/>
                <w:sz w:val="28"/>
                <w:szCs w:val="28"/>
              </w:rPr>
              <w:t>Joint Activities</w:t>
            </w:r>
          </w:p>
        </w:tc>
      </w:tr>
      <w:tr w:rsidR="003F1B2B" w:rsidRPr="002610CE" w14:paraId="77693299" w14:textId="77777777" w:rsidTr="003F1B2B">
        <w:tc>
          <w:tcPr>
            <w:tcW w:w="0" w:type="auto"/>
            <w:hideMark/>
          </w:tcPr>
          <w:p w14:paraId="2E9860C5"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Safe delivery and newborn care</w:t>
            </w:r>
          </w:p>
        </w:tc>
        <w:tc>
          <w:tcPr>
            <w:tcW w:w="0" w:type="auto"/>
            <w:hideMark/>
          </w:tcPr>
          <w:p w14:paraId="26C53AB0"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Implement clean birth practices and IPC in labor wards and neonatal units</w:t>
            </w:r>
          </w:p>
        </w:tc>
      </w:tr>
      <w:tr w:rsidR="003F1B2B" w:rsidRPr="002610CE" w14:paraId="6350AA19" w14:textId="77777777" w:rsidTr="003F1B2B">
        <w:tc>
          <w:tcPr>
            <w:tcW w:w="0" w:type="auto"/>
            <w:hideMark/>
          </w:tcPr>
          <w:p w14:paraId="19C70E6C"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Neonatal infection prevention</w:t>
            </w:r>
          </w:p>
        </w:tc>
        <w:tc>
          <w:tcPr>
            <w:tcW w:w="0" w:type="auto"/>
            <w:hideMark/>
          </w:tcPr>
          <w:p w14:paraId="0480FC03"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Cord care, proper hand hygiene, equipment disinfection</w:t>
            </w:r>
          </w:p>
        </w:tc>
      </w:tr>
      <w:tr w:rsidR="003F1B2B" w:rsidRPr="002610CE" w14:paraId="57159985" w14:textId="77777777" w:rsidTr="003F1B2B">
        <w:tc>
          <w:tcPr>
            <w:tcW w:w="0" w:type="auto"/>
            <w:hideMark/>
          </w:tcPr>
          <w:p w14:paraId="289A64F7"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Immunization sessions</w:t>
            </w:r>
          </w:p>
        </w:tc>
        <w:tc>
          <w:tcPr>
            <w:tcW w:w="0" w:type="auto"/>
            <w:hideMark/>
          </w:tcPr>
          <w:p w14:paraId="46201014"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Injection safety and safe sharps disposal</w:t>
            </w:r>
          </w:p>
        </w:tc>
      </w:tr>
    </w:tbl>
    <w:p w14:paraId="179B96D1" w14:textId="77777777" w:rsidR="002610CE" w:rsidRDefault="002610CE" w:rsidP="003F1B2B">
      <w:pPr>
        <w:rPr>
          <w:rFonts w:ascii="Rockwell" w:hAnsi="Rockwell"/>
          <w:sz w:val="24"/>
          <w:szCs w:val="24"/>
        </w:rPr>
      </w:pPr>
    </w:p>
    <w:p w14:paraId="4C9E38D1" w14:textId="7D0DDB1B" w:rsidR="003F1B2B" w:rsidRPr="003F1B2B" w:rsidRDefault="003F1B2B" w:rsidP="003F1B2B">
      <w:pPr>
        <w:rPr>
          <w:rFonts w:ascii="Rockwell" w:hAnsi="Rockwell"/>
          <w:b/>
          <w:bCs/>
          <w:sz w:val="24"/>
          <w:szCs w:val="24"/>
        </w:rPr>
      </w:pPr>
      <w:r w:rsidRPr="003F1B2B">
        <w:rPr>
          <w:rFonts w:ascii="Rockwell" w:hAnsi="Rockwell"/>
          <w:b/>
          <w:bCs/>
          <w:sz w:val="24"/>
          <w:szCs w:val="24"/>
        </w:rPr>
        <w:t>7. IPC and Laboratory Services</w:t>
      </w:r>
    </w:p>
    <w:tbl>
      <w:tblPr>
        <w:tblStyle w:val="TableGrid"/>
        <w:tblW w:w="0" w:type="auto"/>
        <w:tblLook w:val="04A0" w:firstRow="1" w:lastRow="0" w:firstColumn="1" w:lastColumn="0" w:noHBand="0" w:noVBand="1"/>
      </w:tblPr>
      <w:tblGrid>
        <w:gridCol w:w="3415"/>
        <w:gridCol w:w="7735"/>
      </w:tblGrid>
      <w:tr w:rsidR="003F1B2B" w:rsidRPr="002610CE" w14:paraId="4B23645A" w14:textId="77777777" w:rsidTr="002610CE">
        <w:tc>
          <w:tcPr>
            <w:tcW w:w="3415" w:type="dxa"/>
            <w:hideMark/>
          </w:tcPr>
          <w:p w14:paraId="6CF67706" w14:textId="77777777" w:rsidR="003F1B2B" w:rsidRPr="002610CE" w:rsidRDefault="003F1B2B" w:rsidP="002610CE">
            <w:pPr>
              <w:spacing w:line="360" w:lineRule="auto"/>
              <w:rPr>
                <w:rFonts w:ascii="Rockwell" w:hAnsi="Rockwell"/>
                <w:b/>
                <w:bCs/>
                <w:sz w:val="28"/>
                <w:szCs w:val="28"/>
              </w:rPr>
            </w:pPr>
            <w:r w:rsidRPr="002610CE">
              <w:rPr>
                <w:rFonts w:ascii="Rockwell" w:hAnsi="Rockwell"/>
                <w:b/>
                <w:bCs/>
                <w:sz w:val="28"/>
                <w:szCs w:val="28"/>
              </w:rPr>
              <w:t>Integration Area</w:t>
            </w:r>
          </w:p>
        </w:tc>
        <w:tc>
          <w:tcPr>
            <w:tcW w:w="7735" w:type="dxa"/>
            <w:hideMark/>
          </w:tcPr>
          <w:p w14:paraId="46411DDC" w14:textId="77777777" w:rsidR="003F1B2B" w:rsidRPr="002610CE" w:rsidRDefault="003F1B2B" w:rsidP="002610CE">
            <w:pPr>
              <w:spacing w:line="360" w:lineRule="auto"/>
              <w:rPr>
                <w:rFonts w:ascii="Rockwell" w:hAnsi="Rockwell"/>
                <w:b/>
                <w:bCs/>
                <w:sz w:val="28"/>
                <w:szCs w:val="28"/>
              </w:rPr>
            </w:pPr>
            <w:r w:rsidRPr="002610CE">
              <w:rPr>
                <w:rFonts w:ascii="Rockwell" w:hAnsi="Rockwell"/>
                <w:b/>
                <w:bCs/>
                <w:sz w:val="28"/>
                <w:szCs w:val="28"/>
              </w:rPr>
              <w:t>Joint Activities</w:t>
            </w:r>
          </w:p>
        </w:tc>
      </w:tr>
      <w:tr w:rsidR="003F1B2B" w:rsidRPr="002610CE" w14:paraId="05A7735E" w14:textId="77777777" w:rsidTr="002610CE">
        <w:tc>
          <w:tcPr>
            <w:tcW w:w="3415" w:type="dxa"/>
            <w:hideMark/>
          </w:tcPr>
          <w:p w14:paraId="27CDABF6" w14:textId="77777777" w:rsidR="003F1B2B" w:rsidRPr="002610CE" w:rsidRDefault="003F1B2B" w:rsidP="002610CE">
            <w:pPr>
              <w:spacing w:line="360" w:lineRule="auto"/>
              <w:rPr>
                <w:rFonts w:ascii="Rockwell" w:hAnsi="Rockwell"/>
                <w:sz w:val="28"/>
                <w:szCs w:val="28"/>
              </w:rPr>
            </w:pPr>
            <w:r w:rsidRPr="002610CE">
              <w:rPr>
                <w:rFonts w:ascii="Rockwell" w:hAnsi="Rockwell"/>
                <w:sz w:val="28"/>
                <w:szCs w:val="28"/>
              </w:rPr>
              <w:t>Sample collection and handling</w:t>
            </w:r>
          </w:p>
        </w:tc>
        <w:tc>
          <w:tcPr>
            <w:tcW w:w="7735" w:type="dxa"/>
            <w:hideMark/>
          </w:tcPr>
          <w:p w14:paraId="184AB8FD" w14:textId="77777777" w:rsidR="003F1B2B" w:rsidRPr="002610CE" w:rsidRDefault="003F1B2B" w:rsidP="002610CE">
            <w:pPr>
              <w:spacing w:line="360" w:lineRule="auto"/>
              <w:rPr>
                <w:rFonts w:ascii="Rockwell" w:hAnsi="Rockwell"/>
                <w:sz w:val="28"/>
                <w:szCs w:val="28"/>
              </w:rPr>
            </w:pPr>
            <w:r w:rsidRPr="002610CE">
              <w:rPr>
                <w:rFonts w:ascii="Rockwell" w:hAnsi="Rockwell"/>
                <w:sz w:val="28"/>
                <w:szCs w:val="28"/>
              </w:rPr>
              <w:t>Ensure PPE use and aseptic techniques during specimen processing</w:t>
            </w:r>
          </w:p>
        </w:tc>
      </w:tr>
      <w:tr w:rsidR="003F1B2B" w:rsidRPr="002610CE" w14:paraId="51B4690F" w14:textId="77777777" w:rsidTr="002610CE">
        <w:tc>
          <w:tcPr>
            <w:tcW w:w="3415" w:type="dxa"/>
            <w:hideMark/>
          </w:tcPr>
          <w:p w14:paraId="04018C22" w14:textId="77777777" w:rsidR="003F1B2B" w:rsidRPr="002610CE" w:rsidRDefault="003F1B2B" w:rsidP="002610CE">
            <w:pPr>
              <w:spacing w:line="360" w:lineRule="auto"/>
              <w:rPr>
                <w:rFonts w:ascii="Rockwell" w:hAnsi="Rockwell"/>
                <w:sz w:val="28"/>
                <w:szCs w:val="28"/>
              </w:rPr>
            </w:pPr>
            <w:r w:rsidRPr="002610CE">
              <w:rPr>
                <w:rFonts w:ascii="Rockwell" w:hAnsi="Rockwell"/>
                <w:sz w:val="28"/>
                <w:szCs w:val="28"/>
              </w:rPr>
              <w:t>Waste management</w:t>
            </w:r>
          </w:p>
        </w:tc>
        <w:tc>
          <w:tcPr>
            <w:tcW w:w="7735" w:type="dxa"/>
            <w:hideMark/>
          </w:tcPr>
          <w:p w14:paraId="4A69A38E" w14:textId="77777777" w:rsidR="003F1B2B" w:rsidRPr="002610CE" w:rsidRDefault="003F1B2B" w:rsidP="002610CE">
            <w:pPr>
              <w:spacing w:line="360" w:lineRule="auto"/>
              <w:rPr>
                <w:rFonts w:ascii="Rockwell" w:hAnsi="Rockwell"/>
                <w:sz w:val="28"/>
                <w:szCs w:val="28"/>
              </w:rPr>
            </w:pPr>
            <w:r w:rsidRPr="002610CE">
              <w:rPr>
                <w:rFonts w:ascii="Rockwell" w:hAnsi="Rockwell"/>
                <w:sz w:val="28"/>
                <w:szCs w:val="28"/>
              </w:rPr>
              <w:t>Proper segregation and disposal of lab waste and sharps</w:t>
            </w:r>
          </w:p>
        </w:tc>
      </w:tr>
      <w:tr w:rsidR="003F1B2B" w:rsidRPr="002610CE" w14:paraId="2DCCAABF" w14:textId="77777777" w:rsidTr="002610CE">
        <w:tc>
          <w:tcPr>
            <w:tcW w:w="3415" w:type="dxa"/>
            <w:hideMark/>
          </w:tcPr>
          <w:p w14:paraId="112F4290" w14:textId="77777777" w:rsidR="003F1B2B" w:rsidRPr="002610CE" w:rsidRDefault="003F1B2B" w:rsidP="002610CE">
            <w:pPr>
              <w:spacing w:line="360" w:lineRule="auto"/>
              <w:rPr>
                <w:rFonts w:ascii="Rockwell" w:hAnsi="Rockwell"/>
                <w:sz w:val="28"/>
                <w:szCs w:val="28"/>
              </w:rPr>
            </w:pPr>
            <w:r w:rsidRPr="002610CE">
              <w:rPr>
                <w:rFonts w:ascii="Rockwell" w:hAnsi="Rockwell"/>
                <w:sz w:val="28"/>
                <w:szCs w:val="28"/>
              </w:rPr>
              <w:t>Culture feedback</w:t>
            </w:r>
          </w:p>
        </w:tc>
        <w:tc>
          <w:tcPr>
            <w:tcW w:w="7735" w:type="dxa"/>
            <w:hideMark/>
          </w:tcPr>
          <w:p w14:paraId="5D19472E" w14:textId="77777777" w:rsidR="003F1B2B" w:rsidRPr="002610CE" w:rsidRDefault="003F1B2B" w:rsidP="002610CE">
            <w:pPr>
              <w:spacing w:line="360" w:lineRule="auto"/>
              <w:rPr>
                <w:rFonts w:ascii="Rockwell" w:hAnsi="Rockwell"/>
                <w:sz w:val="28"/>
                <w:szCs w:val="28"/>
              </w:rPr>
            </w:pPr>
            <w:r w:rsidRPr="002610CE">
              <w:rPr>
                <w:rFonts w:ascii="Rockwell" w:hAnsi="Rockwell"/>
                <w:sz w:val="28"/>
                <w:szCs w:val="28"/>
              </w:rPr>
              <w:t>Share HAI pathogens and resistance patterns with IPC focal</w:t>
            </w:r>
          </w:p>
        </w:tc>
      </w:tr>
    </w:tbl>
    <w:p w14:paraId="1CB47CBC" w14:textId="77777777" w:rsidR="003F1B2B" w:rsidRDefault="003F1B2B" w:rsidP="003F1B2B">
      <w:pPr>
        <w:rPr>
          <w:rFonts w:ascii="Rockwell" w:hAnsi="Rockwell"/>
          <w:sz w:val="24"/>
          <w:szCs w:val="24"/>
        </w:rPr>
      </w:pPr>
    </w:p>
    <w:p w14:paraId="0205E326" w14:textId="25572F0B" w:rsidR="003F1B2B" w:rsidRPr="003F1B2B" w:rsidRDefault="003F1B2B" w:rsidP="003F1B2B">
      <w:pPr>
        <w:rPr>
          <w:rFonts w:ascii="Rockwell" w:hAnsi="Rockwell"/>
          <w:b/>
          <w:bCs/>
          <w:sz w:val="24"/>
          <w:szCs w:val="24"/>
        </w:rPr>
      </w:pPr>
      <w:r w:rsidRPr="003F1B2B">
        <w:rPr>
          <w:rFonts w:ascii="Rockwell" w:hAnsi="Rockwell"/>
          <w:b/>
          <w:bCs/>
          <w:sz w:val="24"/>
          <w:szCs w:val="24"/>
        </w:rPr>
        <w:lastRenderedPageBreak/>
        <w:t>8. Coordination &amp; Oversight</w:t>
      </w:r>
    </w:p>
    <w:tbl>
      <w:tblPr>
        <w:tblStyle w:val="TableGrid"/>
        <w:tblW w:w="0" w:type="auto"/>
        <w:tblLook w:val="04A0" w:firstRow="1" w:lastRow="0" w:firstColumn="1" w:lastColumn="0" w:noHBand="0" w:noVBand="1"/>
      </w:tblPr>
      <w:tblGrid>
        <w:gridCol w:w="4171"/>
        <w:gridCol w:w="6979"/>
      </w:tblGrid>
      <w:tr w:rsidR="003F1B2B" w:rsidRPr="002610CE" w14:paraId="0C86B719" w14:textId="77777777" w:rsidTr="003F1B2B">
        <w:tc>
          <w:tcPr>
            <w:tcW w:w="0" w:type="auto"/>
            <w:hideMark/>
          </w:tcPr>
          <w:p w14:paraId="36E7DD2E" w14:textId="77777777" w:rsidR="003F1B2B" w:rsidRPr="002610CE" w:rsidRDefault="003F1B2B" w:rsidP="002610CE">
            <w:pPr>
              <w:spacing w:after="160" w:line="360" w:lineRule="auto"/>
              <w:rPr>
                <w:rFonts w:ascii="Rockwell" w:hAnsi="Rockwell"/>
                <w:b/>
                <w:bCs/>
                <w:sz w:val="28"/>
                <w:szCs w:val="28"/>
              </w:rPr>
            </w:pPr>
            <w:r w:rsidRPr="002610CE">
              <w:rPr>
                <w:rFonts w:ascii="Rockwell" w:hAnsi="Rockwell"/>
                <w:b/>
                <w:bCs/>
                <w:sz w:val="28"/>
                <w:szCs w:val="28"/>
              </w:rPr>
              <w:t>Coordination Action</w:t>
            </w:r>
          </w:p>
        </w:tc>
        <w:tc>
          <w:tcPr>
            <w:tcW w:w="0" w:type="auto"/>
            <w:hideMark/>
          </w:tcPr>
          <w:p w14:paraId="781D0647" w14:textId="77777777" w:rsidR="003F1B2B" w:rsidRPr="002610CE" w:rsidRDefault="003F1B2B" w:rsidP="002610CE">
            <w:pPr>
              <w:spacing w:after="160" w:line="360" w:lineRule="auto"/>
              <w:rPr>
                <w:rFonts w:ascii="Rockwell" w:hAnsi="Rockwell"/>
                <w:b/>
                <w:bCs/>
                <w:sz w:val="28"/>
                <w:szCs w:val="28"/>
              </w:rPr>
            </w:pPr>
            <w:r w:rsidRPr="002610CE">
              <w:rPr>
                <w:rFonts w:ascii="Rockwell" w:hAnsi="Rockwell"/>
                <w:b/>
                <w:bCs/>
                <w:sz w:val="28"/>
                <w:szCs w:val="28"/>
              </w:rPr>
              <w:t>Responsible Body</w:t>
            </w:r>
          </w:p>
        </w:tc>
      </w:tr>
      <w:tr w:rsidR="003F1B2B" w:rsidRPr="002610CE" w14:paraId="520714C9" w14:textId="77777777" w:rsidTr="003F1B2B">
        <w:tc>
          <w:tcPr>
            <w:tcW w:w="0" w:type="auto"/>
            <w:hideMark/>
          </w:tcPr>
          <w:p w14:paraId="272B03BD"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Joint review meetings (monthly)</w:t>
            </w:r>
          </w:p>
        </w:tc>
        <w:tc>
          <w:tcPr>
            <w:tcW w:w="0" w:type="auto"/>
            <w:hideMark/>
          </w:tcPr>
          <w:p w14:paraId="383B3257" w14:textId="77777777" w:rsidR="003F1B2B" w:rsidRPr="002610CE" w:rsidRDefault="003F1B2B" w:rsidP="002610CE">
            <w:pPr>
              <w:spacing w:after="160" w:line="360" w:lineRule="auto"/>
              <w:rPr>
                <w:rFonts w:ascii="Rockwell" w:hAnsi="Rockwell"/>
                <w:sz w:val="28"/>
                <w:szCs w:val="28"/>
              </w:rPr>
            </w:pPr>
            <w:r w:rsidRPr="002610CE">
              <w:rPr>
                <w:rFonts w:ascii="Rockwell" w:hAnsi="Rockwell"/>
                <w:sz w:val="28"/>
                <w:szCs w:val="28"/>
              </w:rPr>
              <w:t>IPC Committee with WASH, Surveillance, HR, QI, AMS, and MCH focal leads</w:t>
            </w:r>
          </w:p>
        </w:tc>
      </w:tr>
      <w:tr w:rsidR="003F1B2B" w:rsidRPr="002610CE" w14:paraId="22FE42C6" w14:textId="77777777" w:rsidTr="003F1B2B">
        <w:tc>
          <w:tcPr>
            <w:tcW w:w="0" w:type="auto"/>
            <w:hideMark/>
          </w:tcPr>
          <w:p w14:paraId="74B55369" w14:textId="77777777" w:rsidR="003F1B2B" w:rsidRPr="002610CE" w:rsidRDefault="003F1B2B" w:rsidP="002610CE">
            <w:pPr>
              <w:spacing w:line="360" w:lineRule="auto"/>
              <w:rPr>
                <w:rFonts w:ascii="Rockwell" w:hAnsi="Rockwell"/>
                <w:sz w:val="28"/>
                <w:szCs w:val="28"/>
              </w:rPr>
            </w:pPr>
            <w:r w:rsidRPr="002610CE">
              <w:rPr>
                <w:rFonts w:ascii="Rockwell" w:hAnsi="Rockwell"/>
                <w:sz w:val="28"/>
                <w:szCs w:val="28"/>
              </w:rPr>
              <w:t>Integrated supervision</w:t>
            </w:r>
          </w:p>
        </w:tc>
        <w:tc>
          <w:tcPr>
            <w:tcW w:w="0" w:type="auto"/>
            <w:hideMark/>
          </w:tcPr>
          <w:p w14:paraId="6B4DCEAA" w14:textId="77777777" w:rsidR="003F1B2B" w:rsidRPr="002610CE" w:rsidRDefault="003F1B2B" w:rsidP="002610CE">
            <w:pPr>
              <w:spacing w:line="360" w:lineRule="auto"/>
              <w:rPr>
                <w:rFonts w:ascii="Rockwell" w:hAnsi="Rockwell"/>
                <w:sz w:val="28"/>
                <w:szCs w:val="28"/>
              </w:rPr>
            </w:pPr>
            <w:r w:rsidRPr="002610CE">
              <w:rPr>
                <w:rFonts w:ascii="Rockwell" w:hAnsi="Rockwell"/>
                <w:sz w:val="28"/>
                <w:szCs w:val="28"/>
              </w:rPr>
              <w:t>Management team and department heads</w:t>
            </w:r>
          </w:p>
        </w:tc>
      </w:tr>
      <w:tr w:rsidR="003F1B2B" w:rsidRPr="002610CE" w14:paraId="4D2E419C" w14:textId="77777777" w:rsidTr="002610CE">
        <w:trPr>
          <w:trHeight w:val="557"/>
        </w:trPr>
        <w:tc>
          <w:tcPr>
            <w:tcW w:w="0" w:type="auto"/>
            <w:hideMark/>
          </w:tcPr>
          <w:p w14:paraId="0F5478E1" w14:textId="77777777" w:rsidR="003F1B2B" w:rsidRPr="002610CE" w:rsidRDefault="003F1B2B" w:rsidP="002610CE">
            <w:pPr>
              <w:spacing w:line="360" w:lineRule="auto"/>
              <w:rPr>
                <w:rFonts w:ascii="Rockwell" w:hAnsi="Rockwell"/>
                <w:sz w:val="28"/>
                <w:szCs w:val="28"/>
              </w:rPr>
            </w:pPr>
            <w:r w:rsidRPr="002610CE">
              <w:rPr>
                <w:rFonts w:ascii="Rockwell" w:hAnsi="Rockwell"/>
                <w:sz w:val="28"/>
                <w:szCs w:val="28"/>
              </w:rPr>
              <w:t>Joint planning and resource mobilization</w:t>
            </w:r>
          </w:p>
        </w:tc>
        <w:tc>
          <w:tcPr>
            <w:tcW w:w="0" w:type="auto"/>
            <w:hideMark/>
          </w:tcPr>
          <w:p w14:paraId="36AE0623" w14:textId="77777777" w:rsidR="003F1B2B" w:rsidRPr="002610CE" w:rsidRDefault="003F1B2B" w:rsidP="002610CE">
            <w:pPr>
              <w:spacing w:line="360" w:lineRule="auto"/>
              <w:rPr>
                <w:rFonts w:ascii="Rockwell" w:hAnsi="Rockwell"/>
                <w:sz w:val="28"/>
                <w:szCs w:val="28"/>
              </w:rPr>
            </w:pPr>
            <w:r w:rsidRPr="002610CE">
              <w:rPr>
                <w:rFonts w:ascii="Rockwell" w:hAnsi="Rockwell"/>
                <w:sz w:val="28"/>
                <w:szCs w:val="28"/>
              </w:rPr>
              <w:t>Hospital leadership and program heads</w:t>
            </w:r>
          </w:p>
        </w:tc>
      </w:tr>
      <w:tr w:rsidR="003F1B2B" w:rsidRPr="002610CE" w14:paraId="7490DEFE" w14:textId="77777777" w:rsidTr="003F1B2B">
        <w:tc>
          <w:tcPr>
            <w:tcW w:w="0" w:type="auto"/>
            <w:hideMark/>
          </w:tcPr>
          <w:p w14:paraId="0297CFCC" w14:textId="77777777" w:rsidR="003F1B2B" w:rsidRPr="002610CE" w:rsidRDefault="003F1B2B" w:rsidP="002610CE">
            <w:pPr>
              <w:spacing w:line="360" w:lineRule="auto"/>
              <w:rPr>
                <w:rFonts w:ascii="Rockwell" w:hAnsi="Rockwell"/>
                <w:sz w:val="28"/>
                <w:szCs w:val="28"/>
              </w:rPr>
            </w:pPr>
            <w:r w:rsidRPr="002610CE">
              <w:rPr>
                <w:rFonts w:ascii="Rockwell" w:hAnsi="Rockwell"/>
                <w:sz w:val="28"/>
                <w:szCs w:val="28"/>
              </w:rPr>
              <w:t>Cross-program learning sessions</w:t>
            </w:r>
          </w:p>
        </w:tc>
        <w:tc>
          <w:tcPr>
            <w:tcW w:w="0" w:type="auto"/>
            <w:hideMark/>
          </w:tcPr>
          <w:p w14:paraId="150B7B96" w14:textId="77777777" w:rsidR="003F1B2B" w:rsidRPr="002610CE" w:rsidRDefault="003F1B2B" w:rsidP="002610CE">
            <w:pPr>
              <w:spacing w:line="360" w:lineRule="auto"/>
              <w:rPr>
                <w:rFonts w:ascii="Rockwell" w:hAnsi="Rockwell"/>
                <w:sz w:val="28"/>
                <w:szCs w:val="28"/>
              </w:rPr>
            </w:pPr>
            <w:r w:rsidRPr="002610CE">
              <w:rPr>
                <w:rFonts w:ascii="Rockwell" w:hAnsi="Rockwell"/>
                <w:sz w:val="28"/>
                <w:szCs w:val="28"/>
              </w:rPr>
              <w:t>Shared quarterly performance and experience exchange platforms</w:t>
            </w:r>
          </w:p>
        </w:tc>
      </w:tr>
    </w:tbl>
    <w:p w14:paraId="227EA83A" w14:textId="77777777" w:rsidR="003F1B2B" w:rsidRDefault="003F1B2B" w:rsidP="003F1B2B">
      <w:pPr>
        <w:rPr>
          <w:rFonts w:ascii="Rockwell" w:hAnsi="Rockwell"/>
          <w:sz w:val="24"/>
          <w:szCs w:val="24"/>
        </w:rPr>
      </w:pPr>
    </w:p>
    <w:p w14:paraId="289CC6F0" w14:textId="219A3B02" w:rsidR="003F1B2B" w:rsidRPr="002610CE" w:rsidRDefault="003F1B2B" w:rsidP="002610CE">
      <w:pPr>
        <w:pStyle w:val="Heading1"/>
        <w:rPr>
          <w:rFonts w:ascii="Rockwell" w:hAnsi="Rockwell"/>
          <w:b/>
          <w:bCs/>
          <w:sz w:val="32"/>
          <w:szCs w:val="32"/>
        </w:rPr>
      </w:pPr>
      <w:bookmarkStart w:id="6" w:name="_Toc204381229"/>
      <w:r w:rsidRPr="002610CE">
        <w:rPr>
          <w:rFonts w:ascii="Rockwell" w:hAnsi="Rockwell"/>
          <w:b/>
          <w:bCs/>
          <w:sz w:val="32"/>
          <w:szCs w:val="32"/>
        </w:rPr>
        <w:t>Conclusion</w:t>
      </w:r>
      <w:bookmarkEnd w:id="6"/>
    </w:p>
    <w:p w14:paraId="2188BE6E" w14:textId="77777777" w:rsidR="003F1B2B" w:rsidRPr="002610CE" w:rsidRDefault="003F1B2B" w:rsidP="002610CE">
      <w:pPr>
        <w:spacing w:line="360" w:lineRule="auto"/>
        <w:jc w:val="both"/>
        <w:rPr>
          <w:rFonts w:ascii="Rockwell" w:hAnsi="Rockwell"/>
          <w:sz w:val="28"/>
          <w:szCs w:val="28"/>
        </w:rPr>
      </w:pPr>
      <w:r w:rsidRPr="002610CE">
        <w:rPr>
          <w:rFonts w:ascii="Rockwell" w:hAnsi="Rockwell"/>
          <w:sz w:val="28"/>
          <w:szCs w:val="28"/>
        </w:rPr>
        <w:t>This joint plan reinforces that IPC cannot function in isolation. When properly integrated with other health programs, IPC interventions become more sustainable, impactful, and system-wide. Coordinated implementation and shared ownership among departments are key to reducing HAIs, combating AMR, and delivering safe, quality healthcare services.</w:t>
      </w:r>
    </w:p>
    <w:p w14:paraId="123D3424" w14:textId="77777777" w:rsidR="003F1B2B" w:rsidRPr="002610CE" w:rsidRDefault="003F1B2B">
      <w:pPr>
        <w:rPr>
          <w:rFonts w:ascii="Rockwell" w:hAnsi="Rockwell"/>
          <w:sz w:val="28"/>
          <w:szCs w:val="28"/>
        </w:rPr>
      </w:pPr>
    </w:p>
    <w:p w14:paraId="7FDB3238" w14:textId="77777777" w:rsidR="003F1B2B" w:rsidRDefault="003F1B2B">
      <w:pPr>
        <w:rPr>
          <w:rFonts w:ascii="Rockwell" w:hAnsi="Rockwell"/>
          <w:sz w:val="24"/>
          <w:szCs w:val="24"/>
        </w:rPr>
      </w:pPr>
    </w:p>
    <w:p w14:paraId="5EBD1864" w14:textId="77777777" w:rsidR="003F1B2B" w:rsidRDefault="003F1B2B">
      <w:pPr>
        <w:rPr>
          <w:rFonts w:ascii="Rockwell" w:hAnsi="Rockwell"/>
          <w:sz w:val="24"/>
          <w:szCs w:val="24"/>
        </w:rPr>
      </w:pPr>
    </w:p>
    <w:p w14:paraId="7CFE23F3" w14:textId="77777777" w:rsidR="003F1B2B" w:rsidRDefault="003F1B2B">
      <w:pPr>
        <w:rPr>
          <w:rFonts w:ascii="Rockwell" w:hAnsi="Rockwell"/>
          <w:sz w:val="24"/>
          <w:szCs w:val="24"/>
        </w:rPr>
      </w:pPr>
    </w:p>
    <w:p w14:paraId="33B34C0C" w14:textId="77777777" w:rsidR="003F1B2B" w:rsidRDefault="003F1B2B">
      <w:pPr>
        <w:rPr>
          <w:rFonts w:ascii="Rockwell" w:hAnsi="Rockwell"/>
          <w:sz w:val="24"/>
          <w:szCs w:val="24"/>
        </w:rPr>
      </w:pPr>
    </w:p>
    <w:p w14:paraId="0EAB344E" w14:textId="77777777" w:rsidR="002610CE" w:rsidRDefault="002610CE">
      <w:pPr>
        <w:rPr>
          <w:rFonts w:ascii="Rockwell" w:hAnsi="Rockwell"/>
          <w:sz w:val="24"/>
          <w:szCs w:val="24"/>
        </w:rPr>
      </w:pPr>
    </w:p>
    <w:p w14:paraId="49869158" w14:textId="77777777" w:rsidR="002610CE" w:rsidRDefault="002610CE">
      <w:pPr>
        <w:rPr>
          <w:rFonts w:ascii="Rockwell" w:hAnsi="Rockwell"/>
          <w:sz w:val="24"/>
          <w:szCs w:val="24"/>
        </w:rPr>
      </w:pPr>
    </w:p>
    <w:p w14:paraId="1386968E" w14:textId="77777777" w:rsidR="002610CE" w:rsidRDefault="002610CE">
      <w:pPr>
        <w:rPr>
          <w:rFonts w:ascii="Rockwell" w:hAnsi="Rockwell"/>
          <w:sz w:val="24"/>
          <w:szCs w:val="24"/>
        </w:rPr>
      </w:pPr>
    </w:p>
    <w:p w14:paraId="5FCDE6E5" w14:textId="77777777" w:rsidR="002610CE" w:rsidRDefault="002610CE">
      <w:pPr>
        <w:rPr>
          <w:rFonts w:ascii="Rockwell" w:hAnsi="Rockwell"/>
          <w:sz w:val="24"/>
          <w:szCs w:val="24"/>
        </w:rPr>
        <w:sectPr w:rsidR="002610CE" w:rsidSect="00141D70">
          <w:footerReference w:type="default" r:id="rId11"/>
          <w:pgSz w:w="12240" w:h="15840"/>
          <w:pgMar w:top="1440" w:right="450" w:bottom="1440" w:left="630" w:header="720" w:footer="720" w:gutter="0"/>
          <w:pgNumType w:start="1"/>
          <w:cols w:space="720"/>
          <w:docGrid w:linePitch="360"/>
        </w:sectPr>
      </w:pPr>
    </w:p>
    <w:p w14:paraId="1F497302" w14:textId="77777777" w:rsidR="002610CE" w:rsidRDefault="002610CE">
      <w:pPr>
        <w:rPr>
          <w:rFonts w:ascii="Rockwell" w:hAnsi="Rockwell"/>
          <w:sz w:val="24"/>
          <w:szCs w:val="24"/>
        </w:rPr>
      </w:pPr>
    </w:p>
    <w:p w14:paraId="74725A6A" w14:textId="77777777" w:rsidR="003F1B2B" w:rsidRDefault="003F1B2B" w:rsidP="003F1B2B">
      <w:pPr>
        <w:rPr>
          <w:rFonts w:ascii="Rockwell" w:hAnsi="Rockwell"/>
          <w:sz w:val="24"/>
          <w:szCs w:val="24"/>
        </w:rPr>
      </w:pPr>
    </w:p>
    <w:p w14:paraId="1C507E50" w14:textId="054F7CDE" w:rsidR="003F1B2B" w:rsidRPr="00AB5D84" w:rsidRDefault="002610CE" w:rsidP="002610CE">
      <w:pPr>
        <w:pStyle w:val="Caption"/>
        <w:rPr>
          <w:rFonts w:ascii="Rockwell" w:hAnsi="Rockwell"/>
          <w:b/>
          <w:bCs/>
          <w:sz w:val="28"/>
          <w:szCs w:val="28"/>
        </w:rPr>
      </w:pPr>
      <w:r w:rsidRPr="00AB5D84">
        <w:rPr>
          <w:sz w:val="28"/>
          <w:szCs w:val="28"/>
        </w:rPr>
        <w:t xml:space="preserve">Table </w:t>
      </w:r>
      <w:r w:rsidRPr="00AB5D84">
        <w:rPr>
          <w:sz w:val="28"/>
          <w:szCs w:val="28"/>
        </w:rPr>
        <w:fldChar w:fldCharType="begin"/>
      </w:r>
      <w:r w:rsidRPr="00AB5D84">
        <w:rPr>
          <w:sz w:val="28"/>
          <w:szCs w:val="28"/>
        </w:rPr>
        <w:instrText xml:space="preserve"> SEQ Table \* ARABIC </w:instrText>
      </w:r>
      <w:r w:rsidRPr="00AB5D84">
        <w:rPr>
          <w:sz w:val="28"/>
          <w:szCs w:val="28"/>
        </w:rPr>
        <w:fldChar w:fldCharType="separate"/>
      </w:r>
      <w:r w:rsidRPr="00AB5D84">
        <w:rPr>
          <w:noProof/>
          <w:sz w:val="28"/>
          <w:szCs w:val="28"/>
        </w:rPr>
        <w:t>1</w:t>
      </w:r>
      <w:r w:rsidRPr="00AB5D84">
        <w:rPr>
          <w:sz w:val="28"/>
          <w:szCs w:val="28"/>
        </w:rPr>
        <w:fldChar w:fldCharType="end"/>
      </w:r>
      <w:r w:rsidRPr="00AB5D84">
        <w:rPr>
          <w:sz w:val="28"/>
          <w:szCs w:val="28"/>
        </w:rPr>
        <w:t>:</w:t>
      </w:r>
      <w:r w:rsidR="003F1B2B" w:rsidRPr="00AB5D84">
        <w:rPr>
          <w:rFonts w:ascii="Rockwell" w:hAnsi="Rockwell"/>
          <w:b/>
          <w:bCs/>
          <w:sz w:val="28"/>
          <w:szCs w:val="28"/>
        </w:rPr>
        <w:t xml:space="preserve"> Quarterly Activity Plan for IPC-Program Integration</w:t>
      </w:r>
    </w:p>
    <w:tbl>
      <w:tblPr>
        <w:tblStyle w:val="TableGrid"/>
        <w:tblW w:w="14419" w:type="dxa"/>
        <w:tblInd w:w="-995" w:type="dxa"/>
        <w:tblLook w:val="04A0" w:firstRow="1" w:lastRow="0" w:firstColumn="1" w:lastColumn="0" w:noHBand="0" w:noVBand="1"/>
      </w:tblPr>
      <w:tblGrid>
        <w:gridCol w:w="1170"/>
        <w:gridCol w:w="4052"/>
        <w:gridCol w:w="2383"/>
        <w:gridCol w:w="2270"/>
        <w:gridCol w:w="1971"/>
        <w:gridCol w:w="2573"/>
      </w:tblGrid>
      <w:tr w:rsidR="003F1B2B" w:rsidRPr="00AB5D84" w14:paraId="5412B3A7" w14:textId="77777777" w:rsidTr="00AB5D84">
        <w:trPr>
          <w:trHeight w:val="85"/>
        </w:trPr>
        <w:tc>
          <w:tcPr>
            <w:tcW w:w="1170" w:type="dxa"/>
            <w:hideMark/>
          </w:tcPr>
          <w:p w14:paraId="570A8C31" w14:textId="77777777" w:rsidR="003F1B2B" w:rsidRPr="00AB5D84" w:rsidRDefault="003F1B2B" w:rsidP="00AB5D84">
            <w:pPr>
              <w:spacing w:line="259" w:lineRule="auto"/>
              <w:rPr>
                <w:rFonts w:ascii="Rockwell" w:hAnsi="Rockwell"/>
                <w:b/>
                <w:bCs/>
              </w:rPr>
            </w:pPr>
            <w:r w:rsidRPr="00AB5D84">
              <w:rPr>
                <w:rFonts w:ascii="Rockwell" w:hAnsi="Rockwell"/>
                <w:b/>
                <w:bCs/>
              </w:rPr>
              <w:t>Quarter</w:t>
            </w:r>
          </w:p>
        </w:tc>
        <w:tc>
          <w:tcPr>
            <w:tcW w:w="4052" w:type="dxa"/>
            <w:hideMark/>
          </w:tcPr>
          <w:p w14:paraId="4AB1186E" w14:textId="77777777" w:rsidR="003F1B2B" w:rsidRPr="00AB5D84" w:rsidRDefault="003F1B2B" w:rsidP="00AB5D84">
            <w:pPr>
              <w:spacing w:line="259" w:lineRule="auto"/>
              <w:rPr>
                <w:rFonts w:ascii="Rockwell" w:hAnsi="Rockwell"/>
                <w:b/>
                <w:bCs/>
              </w:rPr>
            </w:pPr>
            <w:r w:rsidRPr="00AB5D84">
              <w:rPr>
                <w:rFonts w:ascii="Rockwell" w:hAnsi="Rockwell"/>
                <w:b/>
                <w:bCs/>
              </w:rPr>
              <w:t>Activity</w:t>
            </w:r>
          </w:p>
        </w:tc>
        <w:tc>
          <w:tcPr>
            <w:tcW w:w="0" w:type="auto"/>
            <w:hideMark/>
          </w:tcPr>
          <w:p w14:paraId="07030BA1" w14:textId="77777777" w:rsidR="003F1B2B" w:rsidRPr="00AB5D84" w:rsidRDefault="003F1B2B" w:rsidP="00AB5D84">
            <w:pPr>
              <w:spacing w:line="259" w:lineRule="auto"/>
              <w:rPr>
                <w:rFonts w:ascii="Rockwell" w:hAnsi="Rockwell"/>
                <w:b/>
                <w:bCs/>
              </w:rPr>
            </w:pPr>
            <w:r w:rsidRPr="00AB5D84">
              <w:rPr>
                <w:rFonts w:ascii="Rockwell" w:hAnsi="Rockwell"/>
                <w:b/>
                <w:bCs/>
              </w:rPr>
              <w:t>Lead Department(s)</w:t>
            </w:r>
          </w:p>
        </w:tc>
        <w:tc>
          <w:tcPr>
            <w:tcW w:w="2270" w:type="dxa"/>
            <w:hideMark/>
          </w:tcPr>
          <w:p w14:paraId="1AE1E6E6" w14:textId="77777777" w:rsidR="003F1B2B" w:rsidRPr="00AB5D84" w:rsidRDefault="003F1B2B" w:rsidP="00AB5D84">
            <w:pPr>
              <w:spacing w:line="259" w:lineRule="auto"/>
              <w:rPr>
                <w:rFonts w:ascii="Rockwell" w:hAnsi="Rockwell"/>
                <w:b/>
                <w:bCs/>
              </w:rPr>
            </w:pPr>
            <w:r w:rsidRPr="00AB5D84">
              <w:rPr>
                <w:rFonts w:ascii="Rockwell" w:hAnsi="Rockwell"/>
                <w:b/>
                <w:bCs/>
              </w:rPr>
              <w:t>Partners</w:t>
            </w:r>
          </w:p>
        </w:tc>
        <w:tc>
          <w:tcPr>
            <w:tcW w:w="1971" w:type="dxa"/>
            <w:hideMark/>
          </w:tcPr>
          <w:p w14:paraId="6763BD00" w14:textId="77777777" w:rsidR="003F1B2B" w:rsidRPr="00AB5D84" w:rsidRDefault="003F1B2B" w:rsidP="00AB5D84">
            <w:pPr>
              <w:spacing w:line="259" w:lineRule="auto"/>
              <w:rPr>
                <w:rFonts w:ascii="Rockwell" w:hAnsi="Rockwell"/>
                <w:b/>
                <w:bCs/>
              </w:rPr>
            </w:pPr>
            <w:r w:rsidRPr="00AB5D84">
              <w:rPr>
                <w:rFonts w:ascii="Rockwell" w:hAnsi="Rockwell"/>
                <w:b/>
                <w:bCs/>
              </w:rPr>
              <w:t>Timeline</w:t>
            </w:r>
          </w:p>
        </w:tc>
        <w:tc>
          <w:tcPr>
            <w:tcW w:w="0" w:type="auto"/>
            <w:hideMark/>
          </w:tcPr>
          <w:p w14:paraId="785692B9" w14:textId="77777777" w:rsidR="003F1B2B" w:rsidRPr="00AB5D84" w:rsidRDefault="003F1B2B" w:rsidP="00AB5D84">
            <w:pPr>
              <w:spacing w:line="259" w:lineRule="auto"/>
              <w:rPr>
                <w:rFonts w:ascii="Rockwell" w:hAnsi="Rockwell"/>
                <w:b/>
                <w:bCs/>
              </w:rPr>
            </w:pPr>
            <w:r w:rsidRPr="00AB5D84">
              <w:rPr>
                <w:rFonts w:ascii="Rockwell" w:hAnsi="Rockwell"/>
                <w:b/>
                <w:bCs/>
              </w:rPr>
              <w:t>Quantity Planned</w:t>
            </w:r>
          </w:p>
        </w:tc>
      </w:tr>
      <w:tr w:rsidR="003F1B2B" w:rsidRPr="00AB5D84" w14:paraId="2D428511" w14:textId="77777777" w:rsidTr="00AB5D84">
        <w:trPr>
          <w:trHeight w:val="85"/>
        </w:trPr>
        <w:tc>
          <w:tcPr>
            <w:tcW w:w="1170" w:type="dxa"/>
            <w:hideMark/>
          </w:tcPr>
          <w:p w14:paraId="6C82EC86" w14:textId="77777777" w:rsidR="003F1B2B" w:rsidRPr="00AB5D84" w:rsidRDefault="003F1B2B" w:rsidP="00AB5D84">
            <w:pPr>
              <w:spacing w:line="259" w:lineRule="auto"/>
              <w:rPr>
                <w:rFonts w:ascii="Rockwell" w:hAnsi="Rockwell"/>
              </w:rPr>
            </w:pPr>
            <w:r w:rsidRPr="00AB5D84">
              <w:rPr>
                <w:rFonts w:ascii="Rockwell" w:hAnsi="Rockwell"/>
              </w:rPr>
              <w:t>Q1</w:t>
            </w:r>
          </w:p>
        </w:tc>
        <w:tc>
          <w:tcPr>
            <w:tcW w:w="4052" w:type="dxa"/>
            <w:hideMark/>
          </w:tcPr>
          <w:p w14:paraId="75B8CF3B" w14:textId="77777777" w:rsidR="003F1B2B" w:rsidRPr="00AB5D84" w:rsidRDefault="003F1B2B" w:rsidP="00AB5D84">
            <w:pPr>
              <w:spacing w:line="259" w:lineRule="auto"/>
              <w:rPr>
                <w:rFonts w:ascii="Rockwell" w:hAnsi="Rockwell"/>
              </w:rPr>
            </w:pPr>
            <w:r w:rsidRPr="00AB5D84">
              <w:rPr>
                <w:rFonts w:ascii="Rockwell" w:hAnsi="Rockwell"/>
              </w:rPr>
              <w:t xml:space="preserve">Establish joint IPC integration committee and develop </w:t>
            </w:r>
            <w:proofErr w:type="spellStart"/>
            <w:r w:rsidRPr="00AB5D84">
              <w:rPr>
                <w:rFonts w:ascii="Rockwell" w:hAnsi="Rockwell"/>
              </w:rPr>
              <w:t>ToR</w:t>
            </w:r>
            <w:proofErr w:type="spellEnd"/>
          </w:p>
        </w:tc>
        <w:tc>
          <w:tcPr>
            <w:tcW w:w="0" w:type="auto"/>
            <w:hideMark/>
          </w:tcPr>
          <w:p w14:paraId="4DF302B1" w14:textId="77777777" w:rsidR="003F1B2B" w:rsidRPr="00AB5D84" w:rsidRDefault="003F1B2B" w:rsidP="00AB5D84">
            <w:pPr>
              <w:spacing w:line="259" w:lineRule="auto"/>
              <w:rPr>
                <w:rFonts w:ascii="Rockwell" w:hAnsi="Rockwell"/>
              </w:rPr>
            </w:pPr>
            <w:r w:rsidRPr="00AB5D84">
              <w:rPr>
                <w:rFonts w:ascii="Rockwell" w:hAnsi="Rockwell"/>
              </w:rPr>
              <w:t>IPC, Quality, Medical Directorate</w:t>
            </w:r>
          </w:p>
        </w:tc>
        <w:tc>
          <w:tcPr>
            <w:tcW w:w="2270" w:type="dxa"/>
            <w:hideMark/>
          </w:tcPr>
          <w:p w14:paraId="7EBB2EAB" w14:textId="77777777" w:rsidR="003F1B2B" w:rsidRPr="00AB5D84" w:rsidRDefault="003F1B2B" w:rsidP="00AB5D84">
            <w:pPr>
              <w:spacing w:line="259" w:lineRule="auto"/>
              <w:rPr>
                <w:rFonts w:ascii="Rockwell" w:hAnsi="Rockwell"/>
              </w:rPr>
            </w:pPr>
            <w:r w:rsidRPr="00AB5D84">
              <w:rPr>
                <w:rFonts w:ascii="Rockwell" w:hAnsi="Rockwell"/>
              </w:rPr>
              <w:t>WASH, Surveillance, Pharmacy, HR</w:t>
            </w:r>
          </w:p>
        </w:tc>
        <w:tc>
          <w:tcPr>
            <w:tcW w:w="1971" w:type="dxa"/>
            <w:hideMark/>
          </w:tcPr>
          <w:p w14:paraId="6DFA4550" w14:textId="75E63E8E" w:rsidR="003F1B2B" w:rsidRPr="00AB5D84" w:rsidRDefault="003F1B2B" w:rsidP="00AB5D84">
            <w:pPr>
              <w:spacing w:line="259" w:lineRule="auto"/>
              <w:rPr>
                <w:rFonts w:ascii="Rockwell" w:hAnsi="Rockwell"/>
              </w:rPr>
            </w:pPr>
            <w:r w:rsidRPr="00AB5D84">
              <w:rPr>
                <w:rFonts w:ascii="Rockwell" w:hAnsi="Rockwell"/>
              </w:rPr>
              <w:t>July, 2016 EC</w:t>
            </w:r>
          </w:p>
        </w:tc>
        <w:tc>
          <w:tcPr>
            <w:tcW w:w="0" w:type="auto"/>
            <w:hideMark/>
          </w:tcPr>
          <w:p w14:paraId="3541FD2F" w14:textId="77777777" w:rsidR="003F1B2B" w:rsidRPr="00AB5D84" w:rsidRDefault="003F1B2B" w:rsidP="00AB5D84">
            <w:pPr>
              <w:spacing w:line="259" w:lineRule="auto"/>
              <w:rPr>
                <w:rFonts w:ascii="Rockwell" w:hAnsi="Rockwell"/>
              </w:rPr>
            </w:pPr>
            <w:r w:rsidRPr="00AB5D84">
              <w:rPr>
                <w:rFonts w:ascii="Rockwell" w:hAnsi="Rockwell"/>
              </w:rPr>
              <w:t xml:space="preserve">1 Committee established1 </w:t>
            </w:r>
            <w:proofErr w:type="spellStart"/>
            <w:r w:rsidRPr="00AB5D84">
              <w:rPr>
                <w:rFonts w:ascii="Rockwell" w:hAnsi="Rockwell"/>
              </w:rPr>
              <w:t>ToR</w:t>
            </w:r>
            <w:proofErr w:type="spellEnd"/>
            <w:r w:rsidRPr="00AB5D84">
              <w:rPr>
                <w:rFonts w:ascii="Rockwell" w:hAnsi="Rockwell"/>
              </w:rPr>
              <w:t xml:space="preserve"> developed</w:t>
            </w:r>
          </w:p>
        </w:tc>
      </w:tr>
      <w:tr w:rsidR="003F1B2B" w:rsidRPr="00AB5D84" w14:paraId="36C637E1" w14:textId="77777777" w:rsidTr="00AB5D84">
        <w:trPr>
          <w:trHeight w:val="85"/>
        </w:trPr>
        <w:tc>
          <w:tcPr>
            <w:tcW w:w="1170" w:type="dxa"/>
            <w:hideMark/>
          </w:tcPr>
          <w:p w14:paraId="6BF79E96" w14:textId="77777777" w:rsidR="003F1B2B" w:rsidRPr="00AB5D84" w:rsidRDefault="003F1B2B" w:rsidP="00AB5D84">
            <w:pPr>
              <w:spacing w:line="259" w:lineRule="auto"/>
              <w:rPr>
                <w:rFonts w:ascii="Rockwell" w:hAnsi="Rockwell"/>
              </w:rPr>
            </w:pPr>
            <w:r w:rsidRPr="00AB5D84">
              <w:rPr>
                <w:rFonts w:ascii="Rockwell" w:hAnsi="Rockwell"/>
              </w:rPr>
              <w:t>Q1</w:t>
            </w:r>
          </w:p>
        </w:tc>
        <w:tc>
          <w:tcPr>
            <w:tcW w:w="4052" w:type="dxa"/>
            <w:hideMark/>
          </w:tcPr>
          <w:p w14:paraId="158BD04A" w14:textId="77777777" w:rsidR="003F1B2B" w:rsidRPr="00AB5D84" w:rsidRDefault="003F1B2B" w:rsidP="00AB5D84">
            <w:pPr>
              <w:spacing w:line="259" w:lineRule="auto"/>
              <w:rPr>
                <w:rFonts w:ascii="Rockwell" w:hAnsi="Rockwell"/>
              </w:rPr>
            </w:pPr>
            <w:r w:rsidRPr="00AB5D84">
              <w:rPr>
                <w:rFonts w:ascii="Rockwell" w:hAnsi="Rockwell"/>
              </w:rPr>
              <w:t>Conduct baseline assessment on current level of integration</w:t>
            </w:r>
          </w:p>
        </w:tc>
        <w:tc>
          <w:tcPr>
            <w:tcW w:w="0" w:type="auto"/>
            <w:hideMark/>
          </w:tcPr>
          <w:p w14:paraId="2FC25AA9" w14:textId="77777777" w:rsidR="003F1B2B" w:rsidRPr="00AB5D84" w:rsidRDefault="003F1B2B" w:rsidP="00AB5D84">
            <w:pPr>
              <w:spacing w:line="259" w:lineRule="auto"/>
              <w:rPr>
                <w:rFonts w:ascii="Rockwell" w:hAnsi="Rockwell"/>
              </w:rPr>
            </w:pPr>
            <w:r w:rsidRPr="00AB5D84">
              <w:rPr>
                <w:rFonts w:ascii="Rockwell" w:hAnsi="Rockwell"/>
              </w:rPr>
              <w:t>IPC, M&amp;E Unit</w:t>
            </w:r>
          </w:p>
        </w:tc>
        <w:tc>
          <w:tcPr>
            <w:tcW w:w="2270" w:type="dxa"/>
            <w:hideMark/>
          </w:tcPr>
          <w:p w14:paraId="4E1CCC93" w14:textId="77777777" w:rsidR="003F1B2B" w:rsidRPr="00AB5D84" w:rsidRDefault="003F1B2B" w:rsidP="00AB5D84">
            <w:pPr>
              <w:spacing w:line="259" w:lineRule="auto"/>
              <w:rPr>
                <w:rFonts w:ascii="Rockwell" w:hAnsi="Rockwell"/>
              </w:rPr>
            </w:pPr>
            <w:r w:rsidRPr="00AB5D84">
              <w:rPr>
                <w:rFonts w:ascii="Rockwell" w:hAnsi="Rockwell"/>
              </w:rPr>
              <w:t>All departments</w:t>
            </w:r>
          </w:p>
        </w:tc>
        <w:tc>
          <w:tcPr>
            <w:tcW w:w="1971" w:type="dxa"/>
            <w:hideMark/>
          </w:tcPr>
          <w:p w14:paraId="41E112AC" w14:textId="054BDEC4" w:rsidR="003F1B2B" w:rsidRPr="00AB5D84" w:rsidRDefault="003F1B2B" w:rsidP="00AB5D84">
            <w:pPr>
              <w:spacing w:line="259" w:lineRule="auto"/>
              <w:rPr>
                <w:rFonts w:ascii="Rockwell" w:hAnsi="Rockwell"/>
              </w:rPr>
            </w:pPr>
            <w:r w:rsidRPr="00AB5D84">
              <w:rPr>
                <w:rFonts w:ascii="Rockwell" w:hAnsi="Rockwell"/>
              </w:rPr>
              <w:t>August, 2016</w:t>
            </w:r>
          </w:p>
        </w:tc>
        <w:tc>
          <w:tcPr>
            <w:tcW w:w="0" w:type="auto"/>
            <w:hideMark/>
          </w:tcPr>
          <w:p w14:paraId="72962035" w14:textId="77777777" w:rsidR="003F1B2B" w:rsidRPr="00AB5D84" w:rsidRDefault="003F1B2B" w:rsidP="00AB5D84">
            <w:pPr>
              <w:spacing w:line="259" w:lineRule="auto"/>
              <w:rPr>
                <w:rFonts w:ascii="Rockwell" w:hAnsi="Rockwell"/>
              </w:rPr>
            </w:pPr>
            <w:r w:rsidRPr="00AB5D84">
              <w:rPr>
                <w:rFonts w:ascii="Rockwell" w:hAnsi="Rockwell"/>
              </w:rPr>
              <w:t>1 assessment conducted1 report produced</w:t>
            </w:r>
          </w:p>
        </w:tc>
      </w:tr>
      <w:tr w:rsidR="003F1B2B" w:rsidRPr="00AB5D84" w14:paraId="115EA8C2" w14:textId="77777777" w:rsidTr="00AB5D84">
        <w:trPr>
          <w:trHeight w:val="85"/>
        </w:trPr>
        <w:tc>
          <w:tcPr>
            <w:tcW w:w="1170" w:type="dxa"/>
            <w:hideMark/>
          </w:tcPr>
          <w:p w14:paraId="6D5A7BB7" w14:textId="77777777" w:rsidR="003F1B2B" w:rsidRPr="00AB5D84" w:rsidRDefault="003F1B2B" w:rsidP="00AB5D84">
            <w:pPr>
              <w:spacing w:line="259" w:lineRule="auto"/>
              <w:rPr>
                <w:rFonts w:ascii="Rockwell" w:hAnsi="Rockwell"/>
              </w:rPr>
            </w:pPr>
            <w:r w:rsidRPr="00AB5D84">
              <w:rPr>
                <w:rFonts w:ascii="Rockwell" w:hAnsi="Rockwell"/>
              </w:rPr>
              <w:t>Q1</w:t>
            </w:r>
          </w:p>
        </w:tc>
        <w:tc>
          <w:tcPr>
            <w:tcW w:w="4052" w:type="dxa"/>
            <w:hideMark/>
          </w:tcPr>
          <w:p w14:paraId="43491889" w14:textId="77777777" w:rsidR="003F1B2B" w:rsidRPr="00AB5D84" w:rsidRDefault="003F1B2B" w:rsidP="00AB5D84">
            <w:pPr>
              <w:spacing w:line="259" w:lineRule="auto"/>
              <w:rPr>
                <w:rFonts w:ascii="Rockwell" w:hAnsi="Rockwell"/>
              </w:rPr>
            </w:pPr>
            <w:r w:rsidRPr="00AB5D84">
              <w:rPr>
                <w:rFonts w:ascii="Rockwell" w:hAnsi="Rockwell"/>
              </w:rPr>
              <w:t>Align IPC activities into each program’s annual plan</w:t>
            </w:r>
          </w:p>
        </w:tc>
        <w:tc>
          <w:tcPr>
            <w:tcW w:w="0" w:type="auto"/>
            <w:hideMark/>
          </w:tcPr>
          <w:p w14:paraId="663F1FC0" w14:textId="77777777" w:rsidR="003F1B2B" w:rsidRPr="00AB5D84" w:rsidRDefault="003F1B2B" w:rsidP="00AB5D84">
            <w:pPr>
              <w:spacing w:line="259" w:lineRule="auto"/>
              <w:rPr>
                <w:rFonts w:ascii="Rockwell" w:hAnsi="Rockwell"/>
              </w:rPr>
            </w:pPr>
            <w:r w:rsidRPr="00AB5D84">
              <w:rPr>
                <w:rFonts w:ascii="Rockwell" w:hAnsi="Rockwell"/>
              </w:rPr>
              <w:t>IPC Chair</w:t>
            </w:r>
          </w:p>
        </w:tc>
        <w:tc>
          <w:tcPr>
            <w:tcW w:w="2270" w:type="dxa"/>
            <w:hideMark/>
          </w:tcPr>
          <w:p w14:paraId="1EB1FCBE" w14:textId="77777777" w:rsidR="003F1B2B" w:rsidRPr="00AB5D84" w:rsidRDefault="003F1B2B" w:rsidP="00AB5D84">
            <w:pPr>
              <w:spacing w:line="259" w:lineRule="auto"/>
              <w:rPr>
                <w:rFonts w:ascii="Rockwell" w:hAnsi="Rockwell"/>
              </w:rPr>
            </w:pPr>
            <w:r w:rsidRPr="00AB5D84">
              <w:rPr>
                <w:rFonts w:ascii="Rockwell" w:hAnsi="Rockwell"/>
              </w:rPr>
              <w:t>Program Leads</w:t>
            </w:r>
          </w:p>
        </w:tc>
        <w:tc>
          <w:tcPr>
            <w:tcW w:w="1971" w:type="dxa"/>
            <w:hideMark/>
          </w:tcPr>
          <w:p w14:paraId="2D39BF65" w14:textId="1F97B6DD" w:rsidR="003F1B2B" w:rsidRPr="00AB5D84" w:rsidRDefault="003F1B2B" w:rsidP="00AB5D84">
            <w:pPr>
              <w:spacing w:line="259" w:lineRule="auto"/>
              <w:rPr>
                <w:rFonts w:ascii="Rockwell" w:hAnsi="Rockwell"/>
              </w:rPr>
            </w:pPr>
            <w:r w:rsidRPr="00AB5D84">
              <w:rPr>
                <w:rFonts w:ascii="Rockwell" w:hAnsi="Rockwell"/>
              </w:rPr>
              <w:t>Sept, 2017 EC</w:t>
            </w:r>
          </w:p>
        </w:tc>
        <w:tc>
          <w:tcPr>
            <w:tcW w:w="0" w:type="auto"/>
            <w:hideMark/>
          </w:tcPr>
          <w:p w14:paraId="1B704C47" w14:textId="77777777" w:rsidR="003F1B2B" w:rsidRPr="00AB5D84" w:rsidRDefault="003F1B2B" w:rsidP="00AB5D84">
            <w:pPr>
              <w:spacing w:line="259" w:lineRule="auto"/>
              <w:rPr>
                <w:rFonts w:ascii="Rockwell" w:hAnsi="Rockwell"/>
              </w:rPr>
            </w:pPr>
            <w:r w:rsidRPr="00AB5D84">
              <w:rPr>
                <w:rFonts w:ascii="Rockwell" w:hAnsi="Rockwell"/>
              </w:rPr>
              <w:t>6 program plans aligned with IPC</w:t>
            </w:r>
          </w:p>
        </w:tc>
      </w:tr>
      <w:tr w:rsidR="003F1B2B" w:rsidRPr="00AB5D84" w14:paraId="6F68BCDA" w14:textId="77777777" w:rsidTr="00AB5D84">
        <w:trPr>
          <w:trHeight w:val="85"/>
        </w:trPr>
        <w:tc>
          <w:tcPr>
            <w:tcW w:w="1170" w:type="dxa"/>
            <w:hideMark/>
          </w:tcPr>
          <w:p w14:paraId="777CD524" w14:textId="77777777" w:rsidR="003F1B2B" w:rsidRPr="00AB5D84" w:rsidRDefault="003F1B2B" w:rsidP="00AB5D84">
            <w:pPr>
              <w:spacing w:line="259" w:lineRule="auto"/>
              <w:rPr>
                <w:rFonts w:ascii="Rockwell" w:hAnsi="Rockwell"/>
              </w:rPr>
            </w:pPr>
            <w:r w:rsidRPr="00AB5D84">
              <w:rPr>
                <w:rFonts w:ascii="Rockwell" w:hAnsi="Rockwell"/>
              </w:rPr>
              <w:t>Q2</w:t>
            </w:r>
          </w:p>
        </w:tc>
        <w:tc>
          <w:tcPr>
            <w:tcW w:w="4052" w:type="dxa"/>
            <w:hideMark/>
          </w:tcPr>
          <w:p w14:paraId="0B09CEE7" w14:textId="77777777" w:rsidR="003F1B2B" w:rsidRPr="00AB5D84" w:rsidRDefault="003F1B2B" w:rsidP="00AB5D84">
            <w:pPr>
              <w:spacing w:line="259" w:lineRule="auto"/>
              <w:rPr>
                <w:rFonts w:ascii="Rockwell" w:hAnsi="Rockwell"/>
              </w:rPr>
            </w:pPr>
            <w:r w:rsidRPr="00AB5D84">
              <w:rPr>
                <w:rFonts w:ascii="Rockwell" w:hAnsi="Rockwell"/>
              </w:rPr>
              <w:t>Conduct joint training on IPC, WASH, AMS, and Surveillance guidelines</w:t>
            </w:r>
          </w:p>
        </w:tc>
        <w:tc>
          <w:tcPr>
            <w:tcW w:w="0" w:type="auto"/>
            <w:hideMark/>
          </w:tcPr>
          <w:p w14:paraId="12531B1C" w14:textId="77777777" w:rsidR="003F1B2B" w:rsidRPr="00AB5D84" w:rsidRDefault="003F1B2B" w:rsidP="00AB5D84">
            <w:pPr>
              <w:spacing w:line="259" w:lineRule="auto"/>
              <w:rPr>
                <w:rFonts w:ascii="Rockwell" w:hAnsi="Rockwell"/>
              </w:rPr>
            </w:pPr>
            <w:r w:rsidRPr="00AB5D84">
              <w:rPr>
                <w:rFonts w:ascii="Rockwell" w:hAnsi="Rockwell"/>
              </w:rPr>
              <w:t>IPC, HR Department</w:t>
            </w:r>
          </w:p>
        </w:tc>
        <w:tc>
          <w:tcPr>
            <w:tcW w:w="2270" w:type="dxa"/>
            <w:hideMark/>
          </w:tcPr>
          <w:p w14:paraId="1943B493" w14:textId="77777777" w:rsidR="003F1B2B" w:rsidRPr="00AB5D84" w:rsidRDefault="003F1B2B" w:rsidP="00AB5D84">
            <w:pPr>
              <w:spacing w:line="259" w:lineRule="auto"/>
              <w:rPr>
                <w:rFonts w:ascii="Rockwell" w:hAnsi="Rockwell"/>
              </w:rPr>
            </w:pPr>
            <w:r w:rsidRPr="00AB5D84">
              <w:rPr>
                <w:rFonts w:ascii="Rockwell" w:hAnsi="Rockwell"/>
              </w:rPr>
              <w:t>MOH, WHO, NGOs</w:t>
            </w:r>
          </w:p>
        </w:tc>
        <w:tc>
          <w:tcPr>
            <w:tcW w:w="1971" w:type="dxa"/>
            <w:hideMark/>
          </w:tcPr>
          <w:p w14:paraId="5573361B" w14:textId="74A9E7D1" w:rsidR="003F1B2B" w:rsidRPr="00AB5D84" w:rsidRDefault="003F1B2B" w:rsidP="00AB5D84">
            <w:pPr>
              <w:spacing w:line="259" w:lineRule="auto"/>
              <w:rPr>
                <w:rFonts w:ascii="Rockwell" w:hAnsi="Rockwell"/>
              </w:rPr>
            </w:pPr>
            <w:r w:rsidRPr="00AB5D84">
              <w:rPr>
                <w:rFonts w:ascii="Rockwell" w:hAnsi="Rockwell"/>
              </w:rPr>
              <w:t>October-</w:t>
            </w:r>
            <w:r w:rsidR="00CD6176" w:rsidRPr="00AB5D84">
              <w:rPr>
                <w:rFonts w:ascii="Rockwell" w:hAnsi="Rockwell"/>
              </w:rPr>
              <w:t>December</w:t>
            </w:r>
          </w:p>
        </w:tc>
        <w:tc>
          <w:tcPr>
            <w:tcW w:w="0" w:type="auto"/>
            <w:hideMark/>
          </w:tcPr>
          <w:p w14:paraId="3FEF8752" w14:textId="77777777" w:rsidR="003F1B2B" w:rsidRPr="00AB5D84" w:rsidRDefault="003F1B2B" w:rsidP="00AB5D84">
            <w:pPr>
              <w:spacing w:line="259" w:lineRule="auto"/>
              <w:rPr>
                <w:rFonts w:ascii="Rockwell" w:hAnsi="Rockwell"/>
              </w:rPr>
            </w:pPr>
            <w:r w:rsidRPr="00AB5D84">
              <w:rPr>
                <w:rFonts w:ascii="Rockwell" w:hAnsi="Rockwell"/>
              </w:rPr>
              <w:t>3 joint trainings90 staff trained</w:t>
            </w:r>
          </w:p>
        </w:tc>
      </w:tr>
      <w:tr w:rsidR="003F1B2B" w:rsidRPr="00AB5D84" w14:paraId="439BF595" w14:textId="77777777" w:rsidTr="00AB5D84">
        <w:trPr>
          <w:trHeight w:val="85"/>
        </w:trPr>
        <w:tc>
          <w:tcPr>
            <w:tcW w:w="1170" w:type="dxa"/>
            <w:hideMark/>
          </w:tcPr>
          <w:p w14:paraId="2021D7C8" w14:textId="77777777" w:rsidR="003F1B2B" w:rsidRPr="00AB5D84" w:rsidRDefault="003F1B2B" w:rsidP="00AB5D84">
            <w:pPr>
              <w:spacing w:line="259" w:lineRule="auto"/>
              <w:rPr>
                <w:rFonts w:ascii="Rockwell" w:hAnsi="Rockwell"/>
              </w:rPr>
            </w:pPr>
            <w:r w:rsidRPr="00AB5D84">
              <w:rPr>
                <w:rFonts w:ascii="Rockwell" w:hAnsi="Rockwell"/>
              </w:rPr>
              <w:t>Q2</w:t>
            </w:r>
          </w:p>
        </w:tc>
        <w:tc>
          <w:tcPr>
            <w:tcW w:w="4052" w:type="dxa"/>
            <w:hideMark/>
          </w:tcPr>
          <w:p w14:paraId="4D5FCC60" w14:textId="77777777" w:rsidR="003F1B2B" w:rsidRPr="00AB5D84" w:rsidRDefault="003F1B2B" w:rsidP="00AB5D84">
            <w:pPr>
              <w:spacing w:line="259" w:lineRule="auto"/>
              <w:rPr>
                <w:rFonts w:ascii="Rockwell" w:hAnsi="Rockwell"/>
              </w:rPr>
            </w:pPr>
            <w:r w:rsidRPr="00AB5D84">
              <w:rPr>
                <w:rFonts w:ascii="Rockwell" w:hAnsi="Rockwell"/>
              </w:rPr>
              <w:t>Begin integrated supportive supervision using common checklist</w:t>
            </w:r>
          </w:p>
        </w:tc>
        <w:tc>
          <w:tcPr>
            <w:tcW w:w="0" w:type="auto"/>
            <w:hideMark/>
          </w:tcPr>
          <w:p w14:paraId="6F306BF8" w14:textId="77777777" w:rsidR="003F1B2B" w:rsidRPr="00AB5D84" w:rsidRDefault="003F1B2B" w:rsidP="00AB5D84">
            <w:pPr>
              <w:spacing w:line="259" w:lineRule="auto"/>
              <w:rPr>
                <w:rFonts w:ascii="Rockwell" w:hAnsi="Rockwell"/>
              </w:rPr>
            </w:pPr>
            <w:r w:rsidRPr="00AB5D84">
              <w:rPr>
                <w:rFonts w:ascii="Rockwell" w:hAnsi="Rockwell"/>
              </w:rPr>
              <w:t>Quality Directorate</w:t>
            </w:r>
          </w:p>
        </w:tc>
        <w:tc>
          <w:tcPr>
            <w:tcW w:w="2270" w:type="dxa"/>
            <w:hideMark/>
          </w:tcPr>
          <w:p w14:paraId="2FAAF4EB" w14:textId="77777777" w:rsidR="003F1B2B" w:rsidRPr="00AB5D84" w:rsidRDefault="003F1B2B" w:rsidP="00AB5D84">
            <w:pPr>
              <w:spacing w:line="259" w:lineRule="auto"/>
              <w:rPr>
                <w:rFonts w:ascii="Rockwell" w:hAnsi="Rockwell"/>
              </w:rPr>
            </w:pPr>
            <w:r w:rsidRPr="00AB5D84">
              <w:rPr>
                <w:rFonts w:ascii="Rockwell" w:hAnsi="Rockwell"/>
              </w:rPr>
              <w:t>IPC, WASH, Surveillance</w:t>
            </w:r>
          </w:p>
        </w:tc>
        <w:tc>
          <w:tcPr>
            <w:tcW w:w="1971" w:type="dxa"/>
            <w:hideMark/>
          </w:tcPr>
          <w:p w14:paraId="4C829D88" w14:textId="60708DF0" w:rsidR="003F1B2B" w:rsidRPr="00AB5D84" w:rsidRDefault="00CD6176" w:rsidP="00AB5D84">
            <w:pPr>
              <w:spacing w:line="259" w:lineRule="auto"/>
              <w:rPr>
                <w:rFonts w:ascii="Rockwell" w:hAnsi="Rockwell"/>
              </w:rPr>
            </w:pPr>
            <w:r w:rsidRPr="00AB5D84">
              <w:rPr>
                <w:rFonts w:ascii="Rockwell" w:hAnsi="Rockwell"/>
              </w:rPr>
              <w:t>Jan</w:t>
            </w:r>
            <w:r w:rsidR="003F1B2B" w:rsidRPr="00AB5D84">
              <w:rPr>
                <w:rFonts w:ascii="Rockwell" w:hAnsi="Rockwell"/>
              </w:rPr>
              <w:t>-June</w:t>
            </w:r>
          </w:p>
        </w:tc>
        <w:tc>
          <w:tcPr>
            <w:tcW w:w="0" w:type="auto"/>
            <w:hideMark/>
          </w:tcPr>
          <w:p w14:paraId="49E25328" w14:textId="77777777" w:rsidR="003F1B2B" w:rsidRPr="00AB5D84" w:rsidRDefault="003F1B2B" w:rsidP="00AB5D84">
            <w:pPr>
              <w:spacing w:line="259" w:lineRule="auto"/>
              <w:rPr>
                <w:rFonts w:ascii="Rockwell" w:hAnsi="Rockwell"/>
              </w:rPr>
            </w:pPr>
            <w:r w:rsidRPr="00AB5D84">
              <w:rPr>
                <w:rFonts w:ascii="Rockwell" w:hAnsi="Rockwell"/>
              </w:rPr>
              <w:t>2 supervisions conducted1 checklist used</w:t>
            </w:r>
          </w:p>
        </w:tc>
      </w:tr>
      <w:tr w:rsidR="003F1B2B" w:rsidRPr="00AB5D84" w14:paraId="788B45E5" w14:textId="77777777" w:rsidTr="00AB5D84">
        <w:trPr>
          <w:trHeight w:val="85"/>
        </w:trPr>
        <w:tc>
          <w:tcPr>
            <w:tcW w:w="1170" w:type="dxa"/>
            <w:hideMark/>
          </w:tcPr>
          <w:p w14:paraId="5129212E" w14:textId="77777777" w:rsidR="003F1B2B" w:rsidRPr="00AB5D84" w:rsidRDefault="003F1B2B" w:rsidP="00AB5D84">
            <w:pPr>
              <w:spacing w:line="259" w:lineRule="auto"/>
              <w:rPr>
                <w:rFonts w:ascii="Rockwell" w:hAnsi="Rockwell"/>
              </w:rPr>
            </w:pPr>
            <w:r w:rsidRPr="00AB5D84">
              <w:rPr>
                <w:rFonts w:ascii="Rockwell" w:hAnsi="Rockwell"/>
              </w:rPr>
              <w:t>Q2</w:t>
            </w:r>
          </w:p>
        </w:tc>
        <w:tc>
          <w:tcPr>
            <w:tcW w:w="4052" w:type="dxa"/>
            <w:hideMark/>
          </w:tcPr>
          <w:p w14:paraId="31EAC990" w14:textId="77777777" w:rsidR="003F1B2B" w:rsidRPr="00AB5D84" w:rsidRDefault="003F1B2B" w:rsidP="00AB5D84">
            <w:pPr>
              <w:spacing w:line="259" w:lineRule="auto"/>
              <w:rPr>
                <w:rFonts w:ascii="Rockwell" w:hAnsi="Rockwell"/>
              </w:rPr>
            </w:pPr>
            <w:r w:rsidRPr="00AB5D84">
              <w:rPr>
                <w:rFonts w:ascii="Rockwell" w:hAnsi="Rockwell"/>
              </w:rPr>
              <w:t>Monitor HAIs and AMR trends with Surveillance and Pharmacy</w:t>
            </w:r>
          </w:p>
        </w:tc>
        <w:tc>
          <w:tcPr>
            <w:tcW w:w="0" w:type="auto"/>
            <w:hideMark/>
          </w:tcPr>
          <w:p w14:paraId="174369B7" w14:textId="77777777" w:rsidR="003F1B2B" w:rsidRPr="00AB5D84" w:rsidRDefault="003F1B2B" w:rsidP="00AB5D84">
            <w:pPr>
              <w:spacing w:line="259" w:lineRule="auto"/>
              <w:rPr>
                <w:rFonts w:ascii="Rockwell" w:hAnsi="Rockwell"/>
              </w:rPr>
            </w:pPr>
            <w:r w:rsidRPr="00AB5D84">
              <w:rPr>
                <w:rFonts w:ascii="Rockwell" w:hAnsi="Rockwell"/>
              </w:rPr>
              <w:t>IPC, Surveillance, Pharmacy</w:t>
            </w:r>
          </w:p>
        </w:tc>
        <w:tc>
          <w:tcPr>
            <w:tcW w:w="2270" w:type="dxa"/>
            <w:hideMark/>
          </w:tcPr>
          <w:p w14:paraId="103B4123" w14:textId="77777777" w:rsidR="003F1B2B" w:rsidRPr="00AB5D84" w:rsidRDefault="003F1B2B" w:rsidP="00AB5D84">
            <w:pPr>
              <w:spacing w:line="259" w:lineRule="auto"/>
              <w:rPr>
                <w:rFonts w:ascii="Rockwell" w:hAnsi="Rockwell"/>
              </w:rPr>
            </w:pPr>
            <w:r w:rsidRPr="00AB5D84">
              <w:rPr>
                <w:rFonts w:ascii="Rockwell" w:hAnsi="Rockwell"/>
              </w:rPr>
              <w:t>Laboratory</w:t>
            </w:r>
          </w:p>
        </w:tc>
        <w:tc>
          <w:tcPr>
            <w:tcW w:w="1971" w:type="dxa"/>
            <w:hideMark/>
          </w:tcPr>
          <w:p w14:paraId="4C3EA345" w14:textId="77777777" w:rsidR="003F1B2B" w:rsidRPr="00AB5D84" w:rsidRDefault="003F1B2B" w:rsidP="00AB5D84">
            <w:pPr>
              <w:spacing w:line="259" w:lineRule="auto"/>
              <w:rPr>
                <w:rFonts w:ascii="Rockwell" w:hAnsi="Rockwell"/>
              </w:rPr>
            </w:pPr>
            <w:r w:rsidRPr="00AB5D84">
              <w:rPr>
                <w:rFonts w:ascii="Rockwell" w:hAnsi="Rockwell"/>
              </w:rPr>
              <w:t>Monthly</w:t>
            </w:r>
          </w:p>
        </w:tc>
        <w:tc>
          <w:tcPr>
            <w:tcW w:w="0" w:type="auto"/>
            <w:hideMark/>
          </w:tcPr>
          <w:p w14:paraId="1A0A79D1" w14:textId="77777777" w:rsidR="003F1B2B" w:rsidRPr="00AB5D84" w:rsidRDefault="003F1B2B" w:rsidP="00AB5D84">
            <w:pPr>
              <w:spacing w:line="259" w:lineRule="auto"/>
              <w:rPr>
                <w:rFonts w:ascii="Rockwell" w:hAnsi="Rockwell"/>
              </w:rPr>
            </w:pPr>
            <w:r w:rsidRPr="00AB5D84">
              <w:rPr>
                <w:rFonts w:ascii="Rockwell" w:hAnsi="Rockwell"/>
              </w:rPr>
              <w:t>12 HAI reports4 AMR bulletins</w:t>
            </w:r>
          </w:p>
        </w:tc>
      </w:tr>
      <w:tr w:rsidR="003F1B2B" w:rsidRPr="00AB5D84" w14:paraId="168FA85B" w14:textId="77777777" w:rsidTr="00AB5D84">
        <w:trPr>
          <w:trHeight w:val="85"/>
        </w:trPr>
        <w:tc>
          <w:tcPr>
            <w:tcW w:w="1170" w:type="dxa"/>
            <w:hideMark/>
          </w:tcPr>
          <w:p w14:paraId="12056398" w14:textId="77777777" w:rsidR="003F1B2B" w:rsidRPr="00AB5D84" w:rsidRDefault="003F1B2B" w:rsidP="00AB5D84">
            <w:pPr>
              <w:spacing w:line="259" w:lineRule="auto"/>
              <w:rPr>
                <w:rFonts w:ascii="Rockwell" w:hAnsi="Rockwell"/>
              </w:rPr>
            </w:pPr>
            <w:r w:rsidRPr="00AB5D84">
              <w:rPr>
                <w:rFonts w:ascii="Rockwell" w:hAnsi="Rockwell"/>
              </w:rPr>
              <w:t>Q3</w:t>
            </w:r>
          </w:p>
        </w:tc>
        <w:tc>
          <w:tcPr>
            <w:tcW w:w="4052" w:type="dxa"/>
            <w:hideMark/>
          </w:tcPr>
          <w:p w14:paraId="73CA8C5E" w14:textId="77777777" w:rsidR="003F1B2B" w:rsidRPr="00AB5D84" w:rsidRDefault="003F1B2B" w:rsidP="00AB5D84">
            <w:pPr>
              <w:spacing w:line="259" w:lineRule="auto"/>
              <w:rPr>
                <w:rFonts w:ascii="Rockwell" w:hAnsi="Rockwell"/>
              </w:rPr>
            </w:pPr>
            <w:r w:rsidRPr="00AB5D84">
              <w:rPr>
                <w:rFonts w:ascii="Rockwell" w:hAnsi="Rockwell"/>
              </w:rPr>
              <w:t>Integrate IPC indicators into DHIS2/HMIS reports</w:t>
            </w:r>
          </w:p>
        </w:tc>
        <w:tc>
          <w:tcPr>
            <w:tcW w:w="0" w:type="auto"/>
            <w:hideMark/>
          </w:tcPr>
          <w:p w14:paraId="3C77DD4C" w14:textId="77777777" w:rsidR="003F1B2B" w:rsidRPr="00AB5D84" w:rsidRDefault="003F1B2B" w:rsidP="00AB5D84">
            <w:pPr>
              <w:spacing w:line="259" w:lineRule="auto"/>
              <w:rPr>
                <w:rFonts w:ascii="Rockwell" w:hAnsi="Rockwell"/>
              </w:rPr>
            </w:pPr>
            <w:r w:rsidRPr="00AB5D84">
              <w:rPr>
                <w:rFonts w:ascii="Rockwell" w:hAnsi="Rockwell"/>
              </w:rPr>
              <w:t>HMIS Focal</w:t>
            </w:r>
          </w:p>
        </w:tc>
        <w:tc>
          <w:tcPr>
            <w:tcW w:w="2270" w:type="dxa"/>
            <w:hideMark/>
          </w:tcPr>
          <w:p w14:paraId="5D717CDB" w14:textId="77777777" w:rsidR="003F1B2B" w:rsidRPr="00AB5D84" w:rsidRDefault="003F1B2B" w:rsidP="00AB5D84">
            <w:pPr>
              <w:spacing w:line="259" w:lineRule="auto"/>
              <w:rPr>
                <w:rFonts w:ascii="Rockwell" w:hAnsi="Rockwell"/>
              </w:rPr>
            </w:pPr>
            <w:r w:rsidRPr="00AB5D84">
              <w:rPr>
                <w:rFonts w:ascii="Rockwell" w:hAnsi="Rockwell"/>
              </w:rPr>
              <w:t>M&amp;E, IT, IPC</w:t>
            </w:r>
          </w:p>
        </w:tc>
        <w:tc>
          <w:tcPr>
            <w:tcW w:w="1971" w:type="dxa"/>
            <w:hideMark/>
          </w:tcPr>
          <w:p w14:paraId="65CFCC00" w14:textId="0109BB74" w:rsidR="003F1B2B" w:rsidRPr="00AB5D84" w:rsidRDefault="00CD6176" w:rsidP="00AB5D84">
            <w:pPr>
              <w:spacing w:line="259" w:lineRule="auto"/>
              <w:rPr>
                <w:rFonts w:ascii="Rockwell" w:hAnsi="Rockwell"/>
              </w:rPr>
            </w:pPr>
            <w:r w:rsidRPr="00AB5D84">
              <w:rPr>
                <w:rFonts w:ascii="Rockwell" w:hAnsi="Rockwell"/>
              </w:rPr>
              <w:t xml:space="preserve">Quarterly </w:t>
            </w:r>
          </w:p>
        </w:tc>
        <w:tc>
          <w:tcPr>
            <w:tcW w:w="0" w:type="auto"/>
            <w:hideMark/>
          </w:tcPr>
          <w:p w14:paraId="6FD21229" w14:textId="77777777" w:rsidR="003F1B2B" w:rsidRPr="00AB5D84" w:rsidRDefault="003F1B2B" w:rsidP="00AB5D84">
            <w:pPr>
              <w:spacing w:line="259" w:lineRule="auto"/>
              <w:rPr>
                <w:rFonts w:ascii="Rockwell" w:hAnsi="Rockwell"/>
              </w:rPr>
            </w:pPr>
            <w:r w:rsidRPr="00AB5D84">
              <w:rPr>
                <w:rFonts w:ascii="Rockwell" w:hAnsi="Rockwell"/>
              </w:rPr>
              <w:t>5 indicators added2 HMIS tools updated</w:t>
            </w:r>
          </w:p>
        </w:tc>
      </w:tr>
      <w:tr w:rsidR="003F1B2B" w:rsidRPr="00AB5D84" w14:paraId="6D228096" w14:textId="77777777" w:rsidTr="00AB5D84">
        <w:trPr>
          <w:trHeight w:val="683"/>
        </w:trPr>
        <w:tc>
          <w:tcPr>
            <w:tcW w:w="1170" w:type="dxa"/>
            <w:hideMark/>
          </w:tcPr>
          <w:p w14:paraId="203A6D73" w14:textId="77777777" w:rsidR="003F1B2B" w:rsidRPr="00AB5D84" w:rsidRDefault="003F1B2B" w:rsidP="00AB5D84">
            <w:pPr>
              <w:spacing w:line="259" w:lineRule="auto"/>
              <w:rPr>
                <w:rFonts w:ascii="Rockwell" w:hAnsi="Rockwell"/>
              </w:rPr>
            </w:pPr>
            <w:r w:rsidRPr="00AB5D84">
              <w:rPr>
                <w:rFonts w:ascii="Rockwell" w:hAnsi="Rockwell"/>
              </w:rPr>
              <w:t>Q3</w:t>
            </w:r>
          </w:p>
        </w:tc>
        <w:tc>
          <w:tcPr>
            <w:tcW w:w="4052" w:type="dxa"/>
            <w:hideMark/>
          </w:tcPr>
          <w:p w14:paraId="7C8585B4" w14:textId="77777777" w:rsidR="003F1B2B" w:rsidRPr="00AB5D84" w:rsidRDefault="003F1B2B" w:rsidP="00AB5D84">
            <w:pPr>
              <w:spacing w:line="259" w:lineRule="auto"/>
              <w:rPr>
                <w:rFonts w:ascii="Rockwell" w:hAnsi="Rockwell"/>
              </w:rPr>
            </w:pPr>
            <w:r w:rsidRPr="00AB5D84">
              <w:rPr>
                <w:rFonts w:ascii="Rockwell" w:hAnsi="Rockwell"/>
              </w:rPr>
              <w:t>Joint review of IPC-linked commodity usage (e.g., PPE, disinfectants, antibiotics)</w:t>
            </w:r>
          </w:p>
        </w:tc>
        <w:tc>
          <w:tcPr>
            <w:tcW w:w="0" w:type="auto"/>
            <w:hideMark/>
          </w:tcPr>
          <w:p w14:paraId="29673BAF" w14:textId="77777777" w:rsidR="003F1B2B" w:rsidRPr="00AB5D84" w:rsidRDefault="003F1B2B" w:rsidP="00AB5D84">
            <w:pPr>
              <w:spacing w:line="259" w:lineRule="auto"/>
              <w:rPr>
                <w:rFonts w:ascii="Rockwell" w:hAnsi="Rockwell"/>
              </w:rPr>
            </w:pPr>
            <w:r w:rsidRPr="00AB5D84">
              <w:rPr>
                <w:rFonts w:ascii="Rockwell" w:hAnsi="Rockwell"/>
              </w:rPr>
              <w:t>Procurement, Pharmacy</w:t>
            </w:r>
          </w:p>
        </w:tc>
        <w:tc>
          <w:tcPr>
            <w:tcW w:w="2270" w:type="dxa"/>
            <w:hideMark/>
          </w:tcPr>
          <w:p w14:paraId="786974A0" w14:textId="77777777" w:rsidR="003F1B2B" w:rsidRPr="00AB5D84" w:rsidRDefault="003F1B2B" w:rsidP="00AB5D84">
            <w:pPr>
              <w:spacing w:line="259" w:lineRule="auto"/>
              <w:rPr>
                <w:rFonts w:ascii="Rockwell" w:hAnsi="Rockwell"/>
              </w:rPr>
            </w:pPr>
            <w:r w:rsidRPr="00AB5D84">
              <w:rPr>
                <w:rFonts w:ascii="Rockwell" w:hAnsi="Rockwell"/>
              </w:rPr>
              <w:t>IPC, AMS Committee</w:t>
            </w:r>
          </w:p>
        </w:tc>
        <w:tc>
          <w:tcPr>
            <w:tcW w:w="1971" w:type="dxa"/>
            <w:hideMark/>
          </w:tcPr>
          <w:p w14:paraId="00AC05FB" w14:textId="609DDF6C" w:rsidR="003F1B2B" w:rsidRPr="00AB5D84" w:rsidRDefault="00CD6176" w:rsidP="00AB5D84">
            <w:pPr>
              <w:spacing w:line="259" w:lineRule="auto"/>
              <w:rPr>
                <w:rFonts w:ascii="Rockwell" w:hAnsi="Rockwell"/>
              </w:rPr>
            </w:pPr>
            <w:r w:rsidRPr="00AB5D84">
              <w:rPr>
                <w:rFonts w:ascii="Rockwell" w:hAnsi="Rockwell"/>
              </w:rPr>
              <w:t xml:space="preserve">Quarterly </w:t>
            </w:r>
          </w:p>
        </w:tc>
        <w:tc>
          <w:tcPr>
            <w:tcW w:w="0" w:type="auto"/>
            <w:hideMark/>
          </w:tcPr>
          <w:p w14:paraId="626E185E" w14:textId="77777777" w:rsidR="003F1B2B" w:rsidRPr="00AB5D84" w:rsidRDefault="003F1B2B" w:rsidP="00AB5D84">
            <w:pPr>
              <w:spacing w:line="259" w:lineRule="auto"/>
              <w:rPr>
                <w:rFonts w:ascii="Rockwell" w:hAnsi="Rockwell"/>
              </w:rPr>
            </w:pPr>
            <w:r w:rsidRPr="00AB5D84">
              <w:rPr>
                <w:rFonts w:ascii="Rockwell" w:hAnsi="Rockwell"/>
              </w:rPr>
              <w:t>2 review meetings1 report prepared</w:t>
            </w:r>
          </w:p>
        </w:tc>
      </w:tr>
      <w:tr w:rsidR="003F1B2B" w:rsidRPr="00AB5D84" w14:paraId="1ED57E9E" w14:textId="77777777" w:rsidTr="00AB5D84">
        <w:trPr>
          <w:trHeight w:val="647"/>
        </w:trPr>
        <w:tc>
          <w:tcPr>
            <w:tcW w:w="1170" w:type="dxa"/>
            <w:hideMark/>
          </w:tcPr>
          <w:p w14:paraId="5FABDEF8" w14:textId="77777777" w:rsidR="003F1B2B" w:rsidRPr="00AB5D84" w:rsidRDefault="003F1B2B" w:rsidP="00AB5D84">
            <w:pPr>
              <w:spacing w:line="259" w:lineRule="auto"/>
              <w:rPr>
                <w:rFonts w:ascii="Rockwell" w:hAnsi="Rockwell"/>
              </w:rPr>
            </w:pPr>
            <w:r w:rsidRPr="00AB5D84">
              <w:rPr>
                <w:rFonts w:ascii="Rockwell" w:hAnsi="Rockwell"/>
              </w:rPr>
              <w:t>Q3</w:t>
            </w:r>
          </w:p>
        </w:tc>
        <w:tc>
          <w:tcPr>
            <w:tcW w:w="4052" w:type="dxa"/>
            <w:hideMark/>
          </w:tcPr>
          <w:p w14:paraId="5F95C043" w14:textId="77777777" w:rsidR="003F1B2B" w:rsidRPr="00AB5D84" w:rsidRDefault="003F1B2B" w:rsidP="00AB5D84">
            <w:pPr>
              <w:spacing w:line="259" w:lineRule="auto"/>
              <w:rPr>
                <w:rFonts w:ascii="Rockwell" w:hAnsi="Rockwell"/>
              </w:rPr>
            </w:pPr>
            <w:r w:rsidRPr="00AB5D84">
              <w:rPr>
                <w:rFonts w:ascii="Rockwell" w:hAnsi="Rockwell"/>
              </w:rPr>
              <w:t>Facility-wide sanitation campaign with WASH and community services</w:t>
            </w:r>
          </w:p>
        </w:tc>
        <w:tc>
          <w:tcPr>
            <w:tcW w:w="0" w:type="auto"/>
            <w:hideMark/>
          </w:tcPr>
          <w:p w14:paraId="0EFDA0F6" w14:textId="77777777" w:rsidR="003F1B2B" w:rsidRPr="00AB5D84" w:rsidRDefault="003F1B2B" w:rsidP="00AB5D84">
            <w:pPr>
              <w:spacing w:line="259" w:lineRule="auto"/>
              <w:rPr>
                <w:rFonts w:ascii="Rockwell" w:hAnsi="Rockwell"/>
              </w:rPr>
            </w:pPr>
            <w:r w:rsidRPr="00AB5D84">
              <w:rPr>
                <w:rFonts w:ascii="Rockwell" w:hAnsi="Rockwell"/>
              </w:rPr>
              <w:t>WASH Coordinator, IPC</w:t>
            </w:r>
          </w:p>
        </w:tc>
        <w:tc>
          <w:tcPr>
            <w:tcW w:w="2270" w:type="dxa"/>
            <w:hideMark/>
          </w:tcPr>
          <w:p w14:paraId="3314AFF2" w14:textId="77777777" w:rsidR="003F1B2B" w:rsidRPr="00AB5D84" w:rsidRDefault="003F1B2B" w:rsidP="00AB5D84">
            <w:pPr>
              <w:spacing w:line="259" w:lineRule="auto"/>
              <w:rPr>
                <w:rFonts w:ascii="Rockwell" w:hAnsi="Rockwell"/>
              </w:rPr>
            </w:pPr>
            <w:r w:rsidRPr="00AB5D84">
              <w:rPr>
                <w:rFonts w:ascii="Rockwell" w:hAnsi="Rockwell"/>
              </w:rPr>
              <w:t>Municipality, CSO, media</w:t>
            </w:r>
          </w:p>
        </w:tc>
        <w:tc>
          <w:tcPr>
            <w:tcW w:w="1971" w:type="dxa"/>
            <w:hideMark/>
          </w:tcPr>
          <w:p w14:paraId="3BAEA1B1" w14:textId="39335F94" w:rsidR="003F1B2B" w:rsidRPr="00AB5D84" w:rsidRDefault="00CD6176" w:rsidP="00AB5D84">
            <w:pPr>
              <w:spacing w:line="259" w:lineRule="auto"/>
              <w:rPr>
                <w:rFonts w:ascii="Rockwell" w:hAnsi="Rockwell"/>
              </w:rPr>
            </w:pPr>
            <w:r w:rsidRPr="00AB5D84">
              <w:rPr>
                <w:rFonts w:ascii="Rockwell" w:hAnsi="Rockwell"/>
              </w:rPr>
              <w:t xml:space="preserve">May </w:t>
            </w:r>
          </w:p>
        </w:tc>
        <w:tc>
          <w:tcPr>
            <w:tcW w:w="0" w:type="auto"/>
            <w:hideMark/>
          </w:tcPr>
          <w:p w14:paraId="357DE7C8" w14:textId="77777777" w:rsidR="003F1B2B" w:rsidRPr="00AB5D84" w:rsidRDefault="003F1B2B" w:rsidP="00AB5D84">
            <w:pPr>
              <w:spacing w:line="259" w:lineRule="auto"/>
              <w:rPr>
                <w:rFonts w:ascii="Rockwell" w:hAnsi="Rockwell"/>
              </w:rPr>
            </w:pPr>
            <w:r w:rsidRPr="00AB5D84">
              <w:rPr>
                <w:rFonts w:ascii="Rockwell" w:hAnsi="Rockwell"/>
              </w:rPr>
              <w:t>1 campaign100 participants involved</w:t>
            </w:r>
          </w:p>
        </w:tc>
      </w:tr>
      <w:tr w:rsidR="003F1B2B" w:rsidRPr="00AB5D84" w14:paraId="59E3248C" w14:textId="77777777" w:rsidTr="00AB5D84">
        <w:trPr>
          <w:trHeight w:val="350"/>
        </w:trPr>
        <w:tc>
          <w:tcPr>
            <w:tcW w:w="1170" w:type="dxa"/>
            <w:hideMark/>
          </w:tcPr>
          <w:p w14:paraId="7F672A18" w14:textId="77777777" w:rsidR="003F1B2B" w:rsidRPr="00AB5D84" w:rsidRDefault="003F1B2B" w:rsidP="00AB5D84">
            <w:pPr>
              <w:spacing w:line="259" w:lineRule="auto"/>
              <w:rPr>
                <w:rFonts w:ascii="Rockwell" w:hAnsi="Rockwell"/>
              </w:rPr>
            </w:pPr>
            <w:r w:rsidRPr="00AB5D84">
              <w:rPr>
                <w:rFonts w:ascii="Rockwell" w:hAnsi="Rockwell"/>
              </w:rPr>
              <w:t>Q4</w:t>
            </w:r>
          </w:p>
        </w:tc>
        <w:tc>
          <w:tcPr>
            <w:tcW w:w="4052" w:type="dxa"/>
            <w:hideMark/>
          </w:tcPr>
          <w:p w14:paraId="33C6CB7D" w14:textId="77777777" w:rsidR="003F1B2B" w:rsidRPr="00AB5D84" w:rsidRDefault="003F1B2B" w:rsidP="00AB5D84">
            <w:pPr>
              <w:spacing w:line="259" w:lineRule="auto"/>
              <w:rPr>
                <w:rFonts w:ascii="Rockwell" w:hAnsi="Rockwell"/>
              </w:rPr>
            </w:pPr>
            <w:r w:rsidRPr="00AB5D84">
              <w:rPr>
                <w:rFonts w:ascii="Rockwell" w:hAnsi="Rockwell"/>
              </w:rPr>
              <w:t>End-year joint evaluation of IPC integration and lessons learned</w:t>
            </w:r>
          </w:p>
        </w:tc>
        <w:tc>
          <w:tcPr>
            <w:tcW w:w="0" w:type="auto"/>
            <w:hideMark/>
          </w:tcPr>
          <w:p w14:paraId="6C793C1F" w14:textId="77777777" w:rsidR="003F1B2B" w:rsidRPr="00AB5D84" w:rsidRDefault="003F1B2B" w:rsidP="00AB5D84">
            <w:pPr>
              <w:spacing w:line="259" w:lineRule="auto"/>
              <w:rPr>
                <w:rFonts w:ascii="Rockwell" w:hAnsi="Rockwell"/>
              </w:rPr>
            </w:pPr>
            <w:r w:rsidRPr="00AB5D84">
              <w:rPr>
                <w:rFonts w:ascii="Rockwell" w:hAnsi="Rockwell"/>
              </w:rPr>
              <w:t>IPC, Quality, M&amp;E</w:t>
            </w:r>
          </w:p>
        </w:tc>
        <w:tc>
          <w:tcPr>
            <w:tcW w:w="2270" w:type="dxa"/>
            <w:hideMark/>
          </w:tcPr>
          <w:p w14:paraId="02045692" w14:textId="77777777" w:rsidR="003F1B2B" w:rsidRPr="00AB5D84" w:rsidRDefault="003F1B2B" w:rsidP="00AB5D84">
            <w:pPr>
              <w:spacing w:line="259" w:lineRule="auto"/>
              <w:rPr>
                <w:rFonts w:ascii="Rockwell" w:hAnsi="Rockwell"/>
              </w:rPr>
            </w:pPr>
            <w:r w:rsidRPr="00AB5D84">
              <w:rPr>
                <w:rFonts w:ascii="Rockwell" w:hAnsi="Rockwell"/>
              </w:rPr>
              <w:t>All program leads</w:t>
            </w:r>
          </w:p>
        </w:tc>
        <w:tc>
          <w:tcPr>
            <w:tcW w:w="1971" w:type="dxa"/>
            <w:hideMark/>
          </w:tcPr>
          <w:p w14:paraId="7B79C254" w14:textId="4B6ED67A" w:rsidR="003F1B2B" w:rsidRPr="00AB5D84" w:rsidRDefault="00CD6176" w:rsidP="00AB5D84">
            <w:pPr>
              <w:spacing w:line="259" w:lineRule="auto"/>
              <w:rPr>
                <w:rFonts w:ascii="Rockwell" w:hAnsi="Rockwell"/>
              </w:rPr>
            </w:pPr>
            <w:r w:rsidRPr="00AB5D84">
              <w:rPr>
                <w:rFonts w:ascii="Rockwell" w:hAnsi="Rockwell"/>
              </w:rPr>
              <w:t xml:space="preserve">June </w:t>
            </w:r>
          </w:p>
        </w:tc>
        <w:tc>
          <w:tcPr>
            <w:tcW w:w="0" w:type="auto"/>
            <w:hideMark/>
          </w:tcPr>
          <w:p w14:paraId="0920FF91" w14:textId="77777777" w:rsidR="003F1B2B" w:rsidRPr="00AB5D84" w:rsidRDefault="003F1B2B" w:rsidP="00AB5D84">
            <w:pPr>
              <w:spacing w:line="259" w:lineRule="auto"/>
              <w:rPr>
                <w:rFonts w:ascii="Rockwell" w:hAnsi="Rockwell"/>
              </w:rPr>
            </w:pPr>
            <w:r w:rsidRPr="00AB5D84">
              <w:rPr>
                <w:rFonts w:ascii="Rockwell" w:hAnsi="Rockwell"/>
              </w:rPr>
              <w:t>1 evaluation1 presentation to SMT</w:t>
            </w:r>
          </w:p>
        </w:tc>
      </w:tr>
      <w:tr w:rsidR="003F1B2B" w:rsidRPr="00AB5D84" w14:paraId="17A1B824" w14:textId="77777777" w:rsidTr="00AB5D84">
        <w:trPr>
          <w:trHeight w:val="539"/>
        </w:trPr>
        <w:tc>
          <w:tcPr>
            <w:tcW w:w="1170" w:type="dxa"/>
            <w:hideMark/>
          </w:tcPr>
          <w:p w14:paraId="79FDF715" w14:textId="77777777" w:rsidR="003F1B2B" w:rsidRPr="00AB5D84" w:rsidRDefault="003F1B2B" w:rsidP="00AB5D84">
            <w:pPr>
              <w:spacing w:line="259" w:lineRule="auto"/>
              <w:rPr>
                <w:rFonts w:ascii="Rockwell" w:hAnsi="Rockwell"/>
              </w:rPr>
            </w:pPr>
            <w:r w:rsidRPr="00AB5D84">
              <w:rPr>
                <w:rFonts w:ascii="Rockwell" w:hAnsi="Rockwell"/>
              </w:rPr>
              <w:t>Q4</w:t>
            </w:r>
          </w:p>
        </w:tc>
        <w:tc>
          <w:tcPr>
            <w:tcW w:w="4052" w:type="dxa"/>
            <w:hideMark/>
          </w:tcPr>
          <w:p w14:paraId="1EFCD3DF" w14:textId="77777777" w:rsidR="003F1B2B" w:rsidRPr="00AB5D84" w:rsidRDefault="003F1B2B" w:rsidP="00AB5D84">
            <w:pPr>
              <w:spacing w:line="259" w:lineRule="auto"/>
              <w:rPr>
                <w:rFonts w:ascii="Rockwell" w:hAnsi="Rockwell"/>
              </w:rPr>
            </w:pPr>
            <w:r w:rsidRPr="00AB5D84">
              <w:rPr>
                <w:rFonts w:ascii="Rockwell" w:hAnsi="Rockwell"/>
              </w:rPr>
              <w:t>Develop integrated annual work plan for next year</w:t>
            </w:r>
          </w:p>
        </w:tc>
        <w:tc>
          <w:tcPr>
            <w:tcW w:w="0" w:type="auto"/>
            <w:hideMark/>
          </w:tcPr>
          <w:p w14:paraId="6458D392" w14:textId="77777777" w:rsidR="003F1B2B" w:rsidRPr="00AB5D84" w:rsidRDefault="003F1B2B" w:rsidP="00AB5D84">
            <w:pPr>
              <w:spacing w:line="259" w:lineRule="auto"/>
              <w:rPr>
                <w:rFonts w:ascii="Rockwell" w:hAnsi="Rockwell"/>
              </w:rPr>
            </w:pPr>
            <w:r w:rsidRPr="00AB5D84">
              <w:rPr>
                <w:rFonts w:ascii="Rockwell" w:hAnsi="Rockwell"/>
              </w:rPr>
              <w:t>IPC Focal</w:t>
            </w:r>
          </w:p>
        </w:tc>
        <w:tc>
          <w:tcPr>
            <w:tcW w:w="2270" w:type="dxa"/>
            <w:hideMark/>
          </w:tcPr>
          <w:p w14:paraId="3EB985C5" w14:textId="77777777" w:rsidR="003F1B2B" w:rsidRPr="00AB5D84" w:rsidRDefault="003F1B2B" w:rsidP="00AB5D84">
            <w:pPr>
              <w:spacing w:line="259" w:lineRule="auto"/>
              <w:rPr>
                <w:rFonts w:ascii="Rockwell" w:hAnsi="Rockwell"/>
              </w:rPr>
            </w:pPr>
            <w:r w:rsidRPr="00AB5D84">
              <w:rPr>
                <w:rFonts w:ascii="Rockwell" w:hAnsi="Rockwell"/>
              </w:rPr>
              <w:t>All program leads</w:t>
            </w:r>
          </w:p>
        </w:tc>
        <w:tc>
          <w:tcPr>
            <w:tcW w:w="1971" w:type="dxa"/>
            <w:hideMark/>
          </w:tcPr>
          <w:p w14:paraId="6E4DA876" w14:textId="42A911B2" w:rsidR="003F1B2B" w:rsidRPr="00AB5D84" w:rsidRDefault="00CD6176" w:rsidP="00AB5D84">
            <w:pPr>
              <w:spacing w:line="259" w:lineRule="auto"/>
              <w:rPr>
                <w:rFonts w:ascii="Rockwell" w:hAnsi="Rockwell"/>
              </w:rPr>
            </w:pPr>
            <w:r w:rsidRPr="00AB5D84">
              <w:rPr>
                <w:rFonts w:ascii="Rockwell" w:hAnsi="Rockwell"/>
              </w:rPr>
              <w:t xml:space="preserve">June </w:t>
            </w:r>
          </w:p>
        </w:tc>
        <w:tc>
          <w:tcPr>
            <w:tcW w:w="0" w:type="auto"/>
            <w:hideMark/>
          </w:tcPr>
          <w:p w14:paraId="3444A52A" w14:textId="77777777" w:rsidR="003F1B2B" w:rsidRPr="00AB5D84" w:rsidRDefault="003F1B2B" w:rsidP="00AB5D84">
            <w:pPr>
              <w:spacing w:line="259" w:lineRule="auto"/>
              <w:rPr>
                <w:rFonts w:ascii="Rockwell" w:hAnsi="Rockwell"/>
              </w:rPr>
            </w:pPr>
            <w:r w:rsidRPr="00AB5D84">
              <w:rPr>
                <w:rFonts w:ascii="Rockwell" w:hAnsi="Rockwell"/>
              </w:rPr>
              <w:t>1 integrated AWP developed</w:t>
            </w:r>
          </w:p>
        </w:tc>
      </w:tr>
    </w:tbl>
    <w:p w14:paraId="7151E27C" w14:textId="77777777" w:rsidR="003F1B2B" w:rsidRPr="003F1B2B" w:rsidRDefault="003F1B2B">
      <w:pPr>
        <w:rPr>
          <w:rFonts w:ascii="Rockwell" w:hAnsi="Rockwell"/>
          <w:sz w:val="24"/>
          <w:szCs w:val="24"/>
        </w:rPr>
      </w:pPr>
    </w:p>
    <w:sectPr w:rsidR="003F1B2B" w:rsidRPr="003F1B2B" w:rsidSect="002610CE">
      <w:pgSz w:w="15840" w:h="12240" w:orient="landscape"/>
      <w:pgMar w:top="630" w:right="1440" w:bottom="4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61B12" w14:textId="77777777" w:rsidR="002E0C36" w:rsidRDefault="002E0C36" w:rsidP="00AB5D84">
      <w:pPr>
        <w:spacing w:after="0" w:line="240" w:lineRule="auto"/>
      </w:pPr>
      <w:r>
        <w:separator/>
      </w:r>
    </w:p>
  </w:endnote>
  <w:endnote w:type="continuationSeparator" w:id="0">
    <w:p w14:paraId="0B4462AC" w14:textId="77777777" w:rsidR="002E0C36" w:rsidRDefault="002E0C36" w:rsidP="00AB5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06599"/>
      <w:docPartObj>
        <w:docPartGallery w:val="Page Numbers (Bottom of Page)"/>
        <w:docPartUnique/>
      </w:docPartObj>
    </w:sdtPr>
    <w:sdtContent>
      <w:p w14:paraId="44303542" w14:textId="7D639A56" w:rsidR="00602D86" w:rsidRDefault="00000000">
        <w:pPr>
          <w:pStyle w:val="Footer"/>
        </w:pPr>
        <w:r>
          <w:rPr>
            <w:noProof/>
          </w:rPr>
          <w:drawing>
            <wp:anchor distT="0" distB="0" distL="114300" distR="114300" simplePos="0" relativeHeight="251659264" behindDoc="0" locked="0" layoutInCell="1" allowOverlap="1" wp14:anchorId="7E97082C" wp14:editId="032178C6">
              <wp:simplePos x="0" y="0"/>
              <wp:positionH relativeFrom="column">
                <wp:posOffset>-2551790</wp:posOffset>
              </wp:positionH>
              <wp:positionV relativeFrom="paragraph">
                <wp:posOffset>85030</wp:posOffset>
              </wp:positionV>
              <wp:extent cx="934483" cy="227457"/>
              <wp:effectExtent l="0" t="0" r="0" b="1270"/>
              <wp:wrapNone/>
              <wp:docPr id="524588279"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9370839"/>
      <w:docPartObj>
        <w:docPartGallery w:val="Page Numbers (Bottom of Page)"/>
        <w:docPartUnique/>
      </w:docPartObj>
    </w:sdtPr>
    <w:sdtContent>
      <w:p w14:paraId="41E6A872" w14:textId="77777777" w:rsidR="00AB5D84" w:rsidRDefault="00AB5D84">
        <w:pPr>
          <w:pStyle w:val="Footer"/>
        </w:pPr>
        <w:r>
          <w:rPr>
            <w:noProof/>
          </w:rPr>
          <w:drawing>
            <wp:anchor distT="0" distB="0" distL="114300" distR="114300" simplePos="0" relativeHeight="251663360" behindDoc="0" locked="0" layoutInCell="1" allowOverlap="1" wp14:anchorId="48D906D7" wp14:editId="48E82F63">
              <wp:simplePos x="0" y="0"/>
              <wp:positionH relativeFrom="column">
                <wp:posOffset>-2551790</wp:posOffset>
              </wp:positionH>
              <wp:positionV relativeFrom="paragraph">
                <wp:posOffset>85030</wp:posOffset>
              </wp:positionV>
              <wp:extent cx="934483" cy="227457"/>
              <wp:effectExtent l="0" t="0" r="0" b="1270"/>
              <wp:wrapNone/>
              <wp:docPr id="145012547"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Pr>
            <w:noProof/>
          </w:rPr>
          <mc:AlternateContent>
            <mc:Choice Requires="wps">
              <w:drawing>
                <wp:anchor distT="0" distB="0" distL="114300" distR="114300" simplePos="0" relativeHeight="251665408" behindDoc="0" locked="0" layoutInCell="1" allowOverlap="1" wp14:anchorId="0E6EB52C" wp14:editId="4829020B">
                  <wp:simplePos x="0" y="0"/>
                  <wp:positionH relativeFrom="page">
                    <wp:align>left</wp:align>
                  </wp:positionH>
                  <wp:positionV relativeFrom="page">
                    <wp:posOffset>8394700</wp:posOffset>
                  </wp:positionV>
                  <wp:extent cx="1085850" cy="1616710"/>
                  <wp:effectExtent l="0" t="38100" r="38100" b="21590"/>
                  <wp:wrapNone/>
                  <wp:docPr id="1430599808"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4C16464C" w14:textId="77777777" w:rsidR="00AB5D84" w:rsidRDefault="00AB5D84">
                              <w:pPr>
                                <w:jc w:val="center"/>
                                <w:rPr>
                                  <w:rFonts w:ascii="Rockwell" w:hAnsi="Rockwell"/>
                                  <w:b/>
                                  <w:bCs/>
                                  <w:sz w:val="18"/>
                                  <w:szCs w:val="18"/>
                                </w:rPr>
                              </w:pPr>
                            </w:p>
                            <w:p w14:paraId="0D93A934" w14:textId="77777777" w:rsidR="00AB5D84" w:rsidRPr="0078721D" w:rsidRDefault="00AB5D84">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6EB52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0;margin-top:661pt;width:85.5pt;height:127.3pt;flip:x;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" adj="21600" fillcolor="#4ea72e [3209]" strokecolor="#0b1807 [489]" strokeweight="1.5pt">
                  <v:textbox>
                    <w:txbxContent>
                      <w:p w14:paraId="4C16464C" w14:textId="77777777" w:rsidR="00AB5D84" w:rsidRDefault="00AB5D84">
                        <w:pPr>
                          <w:jc w:val="center"/>
                          <w:rPr>
                            <w:rFonts w:ascii="Rockwell" w:hAnsi="Rockwell"/>
                            <w:b/>
                            <w:bCs/>
                            <w:sz w:val="18"/>
                            <w:szCs w:val="18"/>
                          </w:rPr>
                        </w:pPr>
                      </w:p>
                      <w:p w14:paraId="0D93A934" w14:textId="77777777" w:rsidR="00AB5D84" w:rsidRPr="0078721D" w:rsidRDefault="00AB5D84">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4384" behindDoc="0" locked="0" layoutInCell="1" allowOverlap="1" wp14:anchorId="68404E83" wp14:editId="0610F4B9">
                  <wp:simplePos x="0" y="0"/>
                  <wp:positionH relativeFrom="page">
                    <wp:align>right</wp:align>
                  </wp:positionH>
                  <wp:positionV relativeFrom="paragraph">
                    <wp:posOffset>-19685</wp:posOffset>
                  </wp:positionV>
                  <wp:extent cx="10011962" cy="50800"/>
                  <wp:effectExtent l="19050" t="19050" r="27940" b="25400"/>
                  <wp:wrapNone/>
                  <wp:docPr id="790538223"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FA1375" id="Straight Connector 2" o:spid="_x0000_s1026" style="position:absolute;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97132 [3205]" strokeweight="3pt">
                  <v:stroke joinstyle="miter"/>
                  <w10:wrap anchorx="page"/>
                </v:lin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869802"/>
      <w:docPartObj>
        <w:docPartGallery w:val="Page Numbers (Bottom of Page)"/>
        <w:docPartUnique/>
      </w:docPartObj>
    </w:sdtPr>
    <w:sdtContent>
      <w:p w14:paraId="2077E0C0" w14:textId="77777777" w:rsidR="00141D70" w:rsidRDefault="00141D70">
        <w:pPr>
          <w:pStyle w:val="Footer"/>
        </w:pPr>
        <w:r>
          <w:rPr>
            <w:noProof/>
          </w:rPr>
          <w:drawing>
            <wp:anchor distT="0" distB="0" distL="114300" distR="114300" simplePos="0" relativeHeight="251667456" behindDoc="0" locked="0" layoutInCell="1" allowOverlap="1" wp14:anchorId="31F5D75B" wp14:editId="3F537AFA">
              <wp:simplePos x="0" y="0"/>
              <wp:positionH relativeFrom="column">
                <wp:posOffset>-2551790</wp:posOffset>
              </wp:positionH>
              <wp:positionV relativeFrom="paragraph">
                <wp:posOffset>85030</wp:posOffset>
              </wp:positionV>
              <wp:extent cx="934483" cy="227457"/>
              <wp:effectExtent l="0" t="0" r="0" b="1270"/>
              <wp:wrapNone/>
              <wp:docPr id="1216624256"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Pr>
            <w:noProof/>
          </w:rPr>
          <mc:AlternateContent>
            <mc:Choice Requires="wps">
              <w:drawing>
                <wp:anchor distT="0" distB="0" distL="114300" distR="114300" simplePos="0" relativeHeight="251669504" behindDoc="0" locked="0" layoutInCell="1" allowOverlap="1" wp14:anchorId="00A19627" wp14:editId="5209F4AA">
                  <wp:simplePos x="0" y="0"/>
                  <wp:positionH relativeFrom="page">
                    <wp:align>left</wp:align>
                  </wp:positionH>
                  <wp:positionV relativeFrom="page">
                    <wp:posOffset>8394700</wp:posOffset>
                  </wp:positionV>
                  <wp:extent cx="1085850" cy="1616710"/>
                  <wp:effectExtent l="0" t="38100" r="38100" b="21590"/>
                  <wp:wrapNone/>
                  <wp:docPr id="1071287595"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0858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74D6F551" w14:textId="77777777" w:rsidR="00141D70" w:rsidRDefault="00141D70">
                              <w:pPr>
                                <w:jc w:val="center"/>
                                <w:rPr>
                                  <w:rFonts w:ascii="Rockwell" w:hAnsi="Rockwell"/>
                                  <w:b/>
                                  <w:bCs/>
                                  <w:sz w:val="18"/>
                                  <w:szCs w:val="18"/>
                                </w:rPr>
                              </w:pPr>
                            </w:p>
                            <w:p w14:paraId="758E1D82" w14:textId="77777777" w:rsidR="00141D70" w:rsidRPr="0078721D" w:rsidRDefault="00141D70">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A1962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7" type="#_x0000_t5" style="position:absolute;margin-left:0;margin-top:661pt;width:85.5pt;height:127.3pt;flip:x;z-index:25166950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" adj="21600" fillcolor="#4ea72e [3209]" strokecolor="#0b1807 [489]" strokeweight="1.5pt">
                  <v:textbox>
                    <w:txbxContent>
                      <w:p w14:paraId="74D6F551" w14:textId="77777777" w:rsidR="00141D70" w:rsidRDefault="00141D70">
                        <w:pPr>
                          <w:jc w:val="center"/>
                          <w:rPr>
                            <w:rFonts w:ascii="Rockwell" w:hAnsi="Rockwell"/>
                            <w:b/>
                            <w:bCs/>
                            <w:sz w:val="18"/>
                            <w:szCs w:val="18"/>
                          </w:rPr>
                        </w:pPr>
                      </w:p>
                      <w:p w14:paraId="758E1D82" w14:textId="77777777" w:rsidR="00141D70" w:rsidRPr="0078721D" w:rsidRDefault="00141D70">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8480" behindDoc="0" locked="0" layoutInCell="1" allowOverlap="1" wp14:anchorId="62FBF4D3" wp14:editId="76EC2A80">
                  <wp:simplePos x="0" y="0"/>
                  <wp:positionH relativeFrom="page">
                    <wp:align>right</wp:align>
                  </wp:positionH>
                  <wp:positionV relativeFrom="paragraph">
                    <wp:posOffset>-19685</wp:posOffset>
                  </wp:positionV>
                  <wp:extent cx="10011962" cy="50800"/>
                  <wp:effectExtent l="19050" t="19050" r="27940" b="25400"/>
                  <wp:wrapNone/>
                  <wp:docPr id="1333857242"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56840D" id="Straight Connector 2" o:spid="_x0000_s1026" style="position:absolute;z-index:2516684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97132 [3205]" strokeweight="3pt">
                  <v:stroke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93CE7" w14:textId="77777777" w:rsidR="002E0C36" w:rsidRDefault="002E0C36" w:rsidP="00AB5D84">
      <w:pPr>
        <w:spacing w:after="0" w:line="240" w:lineRule="auto"/>
      </w:pPr>
      <w:r>
        <w:separator/>
      </w:r>
    </w:p>
  </w:footnote>
  <w:footnote w:type="continuationSeparator" w:id="0">
    <w:p w14:paraId="1C03E616" w14:textId="77777777" w:rsidR="002E0C36" w:rsidRDefault="002E0C36" w:rsidP="00AB5D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89A"/>
    <w:multiLevelType w:val="multilevel"/>
    <w:tmpl w:val="6CA6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3F60"/>
    <w:multiLevelType w:val="hybridMultilevel"/>
    <w:tmpl w:val="090427D8"/>
    <w:lvl w:ilvl="0" w:tplc="0B5C2EF6">
      <w:start w:val="1"/>
      <w:numFmt w:val="upperLetter"/>
      <w:lvlText w:val="%1."/>
      <w:lvlJc w:val="left"/>
      <w:pPr>
        <w:ind w:left="360" w:hanging="360"/>
      </w:pPr>
      <w:rPr>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8A514D2"/>
    <w:multiLevelType w:val="multilevel"/>
    <w:tmpl w:val="D3305176"/>
    <w:lvl w:ilvl="0">
      <w:start w:val="1"/>
      <w:numFmt w:val="bullet"/>
      <w:lvlText w:val=""/>
      <w:lvlJc w:val="left"/>
      <w:pPr>
        <w:tabs>
          <w:tab w:val="num" w:pos="360"/>
        </w:tabs>
        <w:ind w:left="360" w:hanging="360"/>
      </w:pPr>
      <w:rPr>
        <w:rFonts w:ascii="Wingdings" w:hAnsi="Wingdings" w:hint="default"/>
        <w:color w:val="33CCFF"/>
        <w:w w:val="86"/>
        <w:sz w:val="36"/>
        <w:szCs w:val="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CEE7EE1"/>
    <w:multiLevelType w:val="hybridMultilevel"/>
    <w:tmpl w:val="08666BFA"/>
    <w:lvl w:ilvl="0" w:tplc="00B46AC8">
      <w:start w:val="1"/>
      <w:numFmt w:val="decimal"/>
      <w:lvlText w:val="%1."/>
      <w:lvlJc w:val="left"/>
      <w:pPr>
        <w:ind w:left="720" w:hanging="36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756748"/>
    <w:multiLevelType w:val="hybridMultilevel"/>
    <w:tmpl w:val="14544196"/>
    <w:lvl w:ilvl="0" w:tplc="8AFC6E7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2960590"/>
    <w:multiLevelType w:val="multilevel"/>
    <w:tmpl w:val="4C36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6721BE"/>
    <w:multiLevelType w:val="multilevel"/>
    <w:tmpl w:val="6CA68A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6B957434"/>
    <w:multiLevelType w:val="multilevel"/>
    <w:tmpl w:val="8DD6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62731"/>
    <w:multiLevelType w:val="hybridMultilevel"/>
    <w:tmpl w:val="6BB0D95A"/>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58956941">
    <w:abstractNumId w:val="5"/>
  </w:num>
  <w:num w:numId="2" w16cid:durableId="942802170">
    <w:abstractNumId w:val="7"/>
  </w:num>
  <w:num w:numId="3" w16cid:durableId="172113519">
    <w:abstractNumId w:val="0"/>
  </w:num>
  <w:num w:numId="4" w16cid:durableId="72120387">
    <w:abstractNumId w:val="3"/>
  </w:num>
  <w:num w:numId="5" w16cid:durableId="1088698446">
    <w:abstractNumId w:val="4"/>
  </w:num>
  <w:num w:numId="6" w16cid:durableId="377242607">
    <w:abstractNumId w:val="8"/>
  </w:num>
  <w:num w:numId="7" w16cid:durableId="1155103805">
    <w:abstractNumId w:val="1"/>
  </w:num>
  <w:num w:numId="8" w16cid:durableId="254411194">
    <w:abstractNumId w:val="6"/>
  </w:num>
  <w:num w:numId="9" w16cid:durableId="212711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B2B"/>
    <w:rsid w:val="00141D70"/>
    <w:rsid w:val="001951DB"/>
    <w:rsid w:val="002610CE"/>
    <w:rsid w:val="002E0C36"/>
    <w:rsid w:val="003F1B2B"/>
    <w:rsid w:val="00602D86"/>
    <w:rsid w:val="0077445B"/>
    <w:rsid w:val="00841A65"/>
    <w:rsid w:val="00AB5D84"/>
    <w:rsid w:val="00B14378"/>
    <w:rsid w:val="00CD6176"/>
    <w:rsid w:val="00D67C61"/>
    <w:rsid w:val="00E028A3"/>
    <w:rsid w:val="00F309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2FC31"/>
  <w15:chartTrackingRefBased/>
  <w15:docId w15:val="{CD9A9B0F-C8A4-4C49-A994-BB3C80C55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B2B"/>
    <w:rPr>
      <w:rFonts w:eastAsiaTheme="majorEastAsia" w:cstheme="majorBidi"/>
      <w:color w:val="272727" w:themeColor="text1" w:themeTint="D8"/>
    </w:rPr>
  </w:style>
  <w:style w:type="paragraph" w:styleId="Title">
    <w:name w:val="Title"/>
    <w:basedOn w:val="Normal"/>
    <w:next w:val="Normal"/>
    <w:link w:val="TitleChar"/>
    <w:uiPriority w:val="10"/>
    <w:qFormat/>
    <w:rsid w:val="003F1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B2B"/>
    <w:pPr>
      <w:spacing w:before="160"/>
      <w:jc w:val="center"/>
    </w:pPr>
    <w:rPr>
      <w:i/>
      <w:iCs/>
      <w:color w:val="404040" w:themeColor="text1" w:themeTint="BF"/>
    </w:rPr>
  </w:style>
  <w:style w:type="character" w:customStyle="1" w:styleId="QuoteChar">
    <w:name w:val="Quote Char"/>
    <w:basedOn w:val="DefaultParagraphFont"/>
    <w:link w:val="Quote"/>
    <w:uiPriority w:val="29"/>
    <w:rsid w:val="003F1B2B"/>
    <w:rPr>
      <w:i/>
      <w:iCs/>
      <w:color w:val="404040" w:themeColor="text1" w:themeTint="BF"/>
    </w:rPr>
  </w:style>
  <w:style w:type="paragraph" w:styleId="ListParagraph">
    <w:name w:val="List Paragraph"/>
    <w:basedOn w:val="Normal"/>
    <w:uiPriority w:val="34"/>
    <w:qFormat/>
    <w:rsid w:val="003F1B2B"/>
    <w:pPr>
      <w:ind w:left="720"/>
      <w:contextualSpacing/>
    </w:pPr>
  </w:style>
  <w:style w:type="character" w:styleId="IntenseEmphasis">
    <w:name w:val="Intense Emphasis"/>
    <w:basedOn w:val="DefaultParagraphFont"/>
    <w:uiPriority w:val="21"/>
    <w:qFormat/>
    <w:rsid w:val="003F1B2B"/>
    <w:rPr>
      <w:i/>
      <w:iCs/>
      <w:color w:val="0F4761" w:themeColor="accent1" w:themeShade="BF"/>
    </w:rPr>
  </w:style>
  <w:style w:type="paragraph" w:styleId="IntenseQuote">
    <w:name w:val="Intense Quote"/>
    <w:basedOn w:val="Normal"/>
    <w:next w:val="Normal"/>
    <w:link w:val="IntenseQuoteChar"/>
    <w:uiPriority w:val="30"/>
    <w:qFormat/>
    <w:rsid w:val="003F1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B2B"/>
    <w:rPr>
      <w:i/>
      <w:iCs/>
      <w:color w:val="0F4761" w:themeColor="accent1" w:themeShade="BF"/>
    </w:rPr>
  </w:style>
  <w:style w:type="character" w:styleId="IntenseReference">
    <w:name w:val="Intense Reference"/>
    <w:basedOn w:val="DefaultParagraphFont"/>
    <w:uiPriority w:val="32"/>
    <w:qFormat/>
    <w:rsid w:val="003F1B2B"/>
    <w:rPr>
      <w:b/>
      <w:bCs/>
      <w:smallCaps/>
      <w:color w:val="0F4761" w:themeColor="accent1" w:themeShade="BF"/>
      <w:spacing w:val="5"/>
    </w:rPr>
  </w:style>
  <w:style w:type="table" w:styleId="TableGrid">
    <w:name w:val="Table Grid"/>
    <w:basedOn w:val="TableNormal"/>
    <w:uiPriority w:val="39"/>
    <w:rsid w:val="003F1B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610CE"/>
    <w:pPr>
      <w:spacing w:after="200" w:line="240" w:lineRule="auto"/>
    </w:pPr>
    <w:rPr>
      <w:i/>
      <w:iCs/>
      <w:color w:val="0E2841" w:themeColor="text2"/>
      <w:sz w:val="18"/>
      <w:szCs w:val="18"/>
    </w:rPr>
  </w:style>
  <w:style w:type="paragraph" w:styleId="NoSpacing">
    <w:name w:val="No Spacing"/>
    <w:uiPriority w:val="1"/>
    <w:qFormat/>
    <w:rsid w:val="002610CE"/>
    <w:pPr>
      <w:spacing w:after="0" w:line="240" w:lineRule="auto"/>
    </w:pPr>
    <w:rPr>
      <w:rFonts w:eastAsiaTheme="minorHAnsi"/>
      <w:sz w:val="24"/>
      <w:szCs w:val="24"/>
      <w:lang w:eastAsia="en-US"/>
    </w:rPr>
  </w:style>
  <w:style w:type="paragraph" w:styleId="Footer">
    <w:name w:val="footer"/>
    <w:basedOn w:val="Normal"/>
    <w:link w:val="FooterChar"/>
    <w:uiPriority w:val="99"/>
    <w:unhideWhenUsed/>
    <w:rsid w:val="002610CE"/>
    <w:pPr>
      <w:tabs>
        <w:tab w:val="center" w:pos="4680"/>
        <w:tab w:val="right" w:pos="9360"/>
      </w:tabs>
      <w:spacing w:after="0" w:line="240" w:lineRule="auto"/>
    </w:pPr>
    <w:rPr>
      <w:rFonts w:ascii="Times New Roman" w:eastAsia="Times New Roman" w:hAnsi="Times New Roman" w:cs="Times New Roman"/>
      <w:kern w:val="0"/>
      <w:sz w:val="24"/>
      <w:szCs w:val="24"/>
      <w:lang w:eastAsia="en-US"/>
      <w14:ligatures w14:val="none"/>
    </w:rPr>
  </w:style>
  <w:style w:type="character" w:customStyle="1" w:styleId="FooterChar">
    <w:name w:val="Footer Char"/>
    <w:basedOn w:val="DefaultParagraphFont"/>
    <w:link w:val="Footer"/>
    <w:uiPriority w:val="99"/>
    <w:rsid w:val="002610CE"/>
    <w:rPr>
      <w:rFonts w:ascii="Times New Roman" w:eastAsia="Times New Roman" w:hAnsi="Times New Roman" w:cs="Times New Roman"/>
      <w:kern w:val="0"/>
      <w:sz w:val="24"/>
      <w:szCs w:val="24"/>
      <w:lang w:eastAsia="en-US"/>
      <w14:ligatures w14:val="none"/>
    </w:rPr>
  </w:style>
  <w:style w:type="character" w:styleId="Hyperlink">
    <w:name w:val="Hyperlink"/>
    <w:basedOn w:val="DefaultParagraphFont"/>
    <w:uiPriority w:val="99"/>
    <w:unhideWhenUsed/>
    <w:rsid w:val="002610CE"/>
    <w:rPr>
      <w:color w:val="467886" w:themeColor="hyperlink"/>
      <w:u w:val="single"/>
    </w:rPr>
  </w:style>
  <w:style w:type="paragraph" w:styleId="TOC1">
    <w:name w:val="toc 1"/>
    <w:basedOn w:val="Normal"/>
    <w:next w:val="Normal"/>
    <w:autoRedefine/>
    <w:uiPriority w:val="39"/>
    <w:unhideWhenUsed/>
    <w:rsid w:val="002610CE"/>
    <w:pPr>
      <w:spacing w:after="100"/>
    </w:pPr>
    <w:rPr>
      <w:rFonts w:eastAsiaTheme="minorHAnsi"/>
      <w:lang w:eastAsia="en-US"/>
    </w:rPr>
  </w:style>
  <w:style w:type="paragraph" w:styleId="TOC2">
    <w:name w:val="toc 2"/>
    <w:basedOn w:val="Normal"/>
    <w:next w:val="Normal"/>
    <w:autoRedefine/>
    <w:uiPriority w:val="39"/>
    <w:unhideWhenUsed/>
    <w:rsid w:val="002610CE"/>
    <w:pPr>
      <w:spacing w:after="100" w:line="240" w:lineRule="auto"/>
      <w:ind w:left="240"/>
    </w:pPr>
    <w:rPr>
      <w:rFonts w:ascii="Times New Roman" w:eastAsia="Times New Roman" w:hAnsi="Times New Roman" w:cs="Times New Roman"/>
      <w:kern w:val="0"/>
      <w:sz w:val="24"/>
      <w:szCs w:val="24"/>
      <w:lang w:eastAsia="en-US"/>
      <w14:ligatures w14:val="none"/>
    </w:rPr>
  </w:style>
  <w:style w:type="paragraph" w:styleId="TableofFigures">
    <w:name w:val="table of figures"/>
    <w:basedOn w:val="Normal"/>
    <w:next w:val="Normal"/>
    <w:uiPriority w:val="99"/>
    <w:unhideWhenUsed/>
    <w:rsid w:val="002610CE"/>
    <w:pPr>
      <w:spacing w:after="0" w:line="240" w:lineRule="auto"/>
    </w:pPr>
    <w:rPr>
      <w:rFonts w:ascii="Times New Roman" w:eastAsia="Times New Roman" w:hAnsi="Times New Roman" w:cs="Times New Roman"/>
      <w:kern w:val="0"/>
      <w:sz w:val="24"/>
      <w:szCs w:val="24"/>
      <w:lang w:eastAsia="en-US"/>
      <w14:ligatures w14:val="none"/>
    </w:rPr>
  </w:style>
  <w:style w:type="paragraph" w:styleId="Header">
    <w:name w:val="header"/>
    <w:basedOn w:val="Normal"/>
    <w:link w:val="HeaderChar"/>
    <w:uiPriority w:val="99"/>
    <w:unhideWhenUsed/>
    <w:rsid w:val="00AB5D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84981-51E9-4097-950A-0575FB43D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1128</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Nuredin Yigezu</dc:creator>
  <cp:keywords/>
  <dc:description/>
  <cp:lastModifiedBy>Abdi Tofik</cp:lastModifiedBy>
  <cp:revision>3</cp:revision>
  <dcterms:created xsi:type="dcterms:W3CDTF">2025-07-25T14:50:00Z</dcterms:created>
  <dcterms:modified xsi:type="dcterms:W3CDTF">2025-07-25T21:48:00Z</dcterms:modified>
</cp:coreProperties>
</file>