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44E6A" w14:textId="77777777" w:rsidR="005F6168" w:rsidRPr="005F6168" w:rsidRDefault="005F6168" w:rsidP="00080FC9">
      <w:pPr>
        <w:spacing w:before="100" w:beforeAutospacing="1" w:after="100" w:afterAutospacing="1" w:line="240" w:lineRule="auto"/>
        <w:jc w:val="center"/>
        <w:rPr>
          <w:rFonts w:ascii="Rockwell" w:eastAsia="Times New Roman" w:hAnsi="Rockwell" w:cs="Times New Roman"/>
          <w:sz w:val="48"/>
          <w:szCs w:val="48"/>
        </w:rPr>
      </w:pPr>
      <w:r w:rsidRPr="005F6168">
        <w:rPr>
          <w:rFonts w:ascii="Rockwell" w:eastAsia="Times New Roman" w:hAnsi="Rockwell" w:cs="Times New Roman"/>
          <w:b/>
          <w:bCs/>
          <w:sz w:val="48"/>
          <w:szCs w:val="48"/>
        </w:rPr>
        <w:t>DEDER GENERAL HOSPITAL</w:t>
      </w:r>
    </w:p>
    <w:p w14:paraId="7E510980" w14:textId="4A109397" w:rsidR="005F6168" w:rsidRDefault="005F6168" w:rsidP="00080FC9">
      <w:pPr>
        <w:spacing w:before="100" w:beforeAutospacing="1" w:after="100" w:afterAutospacing="1" w:line="240" w:lineRule="auto"/>
        <w:jc w:val="center"/>
        <w:rPr>
          <w:rFonts w:ascii="Rockwell" w:eastAsia="Times New Roman" w:hAnsi="Rockwell" w:cs="Times New Roman"/>
          <w:b/>
          <w:bCs/>
          <w:sz w:val="24"/>
          <w:szCs w:val="24"/>
        </w:rPr>
      </w:pPr>
      <w:r w:rsidRPr="005F6168">
        <w:rPr>
          <w:rFonts w:ascii="Rockwell" w:eastAsia="Times New Roman" w:hAnsi="Rockwell" w:cs="Times New Roman"/>
          <w:b/>
          <w:bCs/>
          <w:sz w:val="24"/>
          <w:szCs w:val="24"/>
        </w:rPr>
        <w:t>SUPPLY CHAIN INEFFICIENCY ASSESSMENT REPORT</w:t>
      </w:r>
      <w:r w:rsidRPr="005F6168">
        <w:rPr>
          <w:rFonts w:ascii="Rockwell" w:eastAsia="Times New Roman" w:hAnsi="Rockwell" w:cs="Times New Roman"/>
          <w:sz w:val="24"/>
          <w:szCs w:val="24"/>
        </w:rPr>
        <w:br/>
      </w:r>
      <w:r w:rsidRPr="005F6168">
        <w:rPr>
          <w:rFonts w:ascii="Rockwell" w:eastAsia="Times New Roman" w:hAnsi="Rockwell" w:cs="Times New Roman"/>
          <w:b/>
          <w:bCs/>
          <w:sz w:val="24"/>
          <w:szCs w:val="24"/>
        </w:rPr>
        <w:t>QUARTER 3, 2015 EC</w:t>
      </w:r>
      <w:r w:rsidRPr="005F6168">
        <w:rPr>
          <w:rFonts w:ascii="Rockwell" w:eastAsia="Times New Roman" w:hAnsi="Rockwell" w:cs="Times New Roman"/>
          <w:sz w:val="24"/>
          <w:szCs w:val="24"/>
        </w:rPr>
        <w:br/>
      </w:r>
      <w:r w:rsidRPr="005F6168">
        <w:rPr>
          <w:rFonts w:ascii="Rockwell" w:eastAsia="Times New Roman" w:hAnsi="Rockwell" w:cs="Times New Roman"/>
          <w:b/>
          <w:bCs/>
          <w:sz w:val="24"/>
          <w:szCs w:val="24"/>
        </w:rPr>
        <w:t>By: DTC Committee</w:t>
      </w:r>
    </w:p>
    <w:p w14:paraId="78FAE9DC" w14:textId="4CEA8D3D"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5D3941CA" w14:textId="789DBA0C"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55F74C21" w14:textId="0B306BE1"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5BA73AB4" w14:textId="3983EC6C"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1511CDB1" w14:textId="670CCCB3"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7115E137" w14:textId="6F6DF449"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684197B8" w14:textId="376649C8"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6A29529F" w14:textId="4E539D37"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78C31FB1" w14:textId="70A3CBE6"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56D22778" w14:textId="57411C9B"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77F3435E" w14:textId="4A6C5DEA"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3A5BC215" w14:textId="6D3184EE"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1FC58E7B" w14:textId="78F7CD70"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559129D6" w14:textId="3CFEE32A"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195D95BB" w14:textId="3645E7BF" w:rsidR="00CF2962" w:rsidRDefault="00CF2962" w:rsidP="00080FC9">
      <w:pPr>
        <w:spacing w:before="100" w:beforeAutospacing="1" w:after="100" w:afterAutospacing="1" w:line="240" w:lineRule="auto"/>
        <w:jc w:val="center"/>
        <w:rPr>
          <w:rFonts w:ascii="Rockwell" w:eastAsia="Times New Roman" w:hAnsi="Rockwell" w:cs="Times New Roman"/>
          <w:b/>
          <w:bCs/>
          <w:sz w:val="24"/>
          <w:szCs w:val="24"/>
        </w:rPr>
      </w:pPr>
    </w:p>
    <w:p w14:paraId="69431AC8" w14:textId="77777777" w:rsidR="00CF2962" w:rsidRPr="005F6168" w:rsidRDefault="00CF2962" w:rsidP="00080FC9">
      <w:pPr>
        <w:spacing w:before="100" w:beforeAutospacing="1" w:after="100" w:afterAutospacing="1" w:line="240" w:lineRule="auto"/>
        <w:jc w:val="center"/>
        <w:rPr>
          <w:rFonts w:ascii="Rockwell" w:eastAsia="Times New Roman" w:hAnsi="Rockwell" w:cs="Times New Roman"/>
          <w:sz w:val="24"/>
          <w:szCs w:val="24"/>
        </w:rPr>
      </w:pPr>
    </w:p>
    <w:p w14:paraId="05E68145" w14:textId="77777777" w:rsidR="005F6168" w:rsidRPr="005F6168" w:rsidRDefault="005F6168" w:rsidP="00CF2962">
      <w:pPr>
        <w:spacing w:before="100" w:beforeAutospacing="1" w:after="100" w:afterAutospacing="1" w:line="240" w:lineRule="auto"/>
        <w:jc w:val="right"/>
        <w:rPr>
          <w:rFonts w:ascii="Rockwell" w:eastAsia="Times New Roman" w:hAnsi="Rockwell" w:cs="Times New Roman"/>
          <w:b/>
          <w:bCs/>
          <w:sz w:val="24"/>
          <w:szCs w:val="24"/>
        </w:rPr>
      </w:pPr>
      <w:r w:rsidRPr="005F6168">
        <w:rPr>
          <w:rFonts w:ascii="Rockwell" w:eastAsia="Times New Roman" w:hAnsi="Rockwell" w:cs="Times New Roman"/>
          <w:b/>
          <w:bCs/>
          <w:sz w:val="24"/>
          <w:szCs w:val="24"/>
        </w:rPr>
        <w:t>MESKEREM, 2017 EC</w:t>
      </w:r>
      <w:r w:rsidRPr="005F6168">
        <w:rPr>
          <w:rFonts w:ascii="Rockwell" w:eastAsia="Times New Roman" w:hAnsi="Rockwell" w:cs="Times New Roman"/>
          <w:b/>
          <w:bCs/>
          <w:sz w:val="24"/>
          <w:szCs w:val="24"/>
        </w:rPr>
        <w:br/>
        <w:t>Deder, Ethiopia</w:t>
      </w:r>
    </w:p>
    <w:p w14:paraId="76F9DAA7" w14:textId="4E676C95" w:rsid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11CBC895">
          <v:rect id="_x0000_i1025" style="width:0;height:1.5pt" o:hralign="center" o:hrstd="t" o:hr="t" fillcolor="#a0a0a0" stroked="f"/>
        </w:pict>
      </w:r>
    </w:p>
    <w:p w14:paraId="70BD689E" w14:textId="2D636318" w:rsidR="00CF2962" w:rsidRDefault="00CF2962" w:rsidP="005F6168">
      <w:pPr>
        <w:spacing w:after="0" w:line="240" w:lineRule="auto"/>
        <w:rPr>
          <w:rFonts w:ascii="Rockwell" w:eastAsia="Times New Roman" w:hAnsi="Rockwell" w:cs="Times New Roman"/>
          <w:sz w:val="24"/>
          <w:szCs w:val="24"/>
        </w:rPr>
      </w:pPr>
    </w:p>
    <w:p w14:paraId="58DD668F" w14:textId="77777777" w:rsidR="00CF2962" w:rsidRPr="005F6168" w:rsidRDefault="00CF2962" w:rsidP="005F6168">
      <w:pPr>
        <w:spacing w:after="0" w:line="240" w:lineRule="auto"/>
        <w:rPr>
          <w:rFonts w:ascii="Rockwell" w:eastAsia="Times New Roman" w:hAnsi="Rockwell" w:cs="Times New Roman"/>
          <w:sz w:val="24"/>
          <w:szCs w:val="24"/>
        </w:rPr>
      </w:pPr>
    </w:p>
    <w:p w14:paraId="6A462769"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lastRenderedPageBreak/>
        <w:t>Table of Contents</w:t>
      </w:r>
    </w:p>
    <w:p w14:paraId="2062D2F8"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Executive Summary</w:t>
      </w:r>
    </w:p>
    <w:p w14:paraId="0A44362F"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Introduction</w:t>
      </w:r>
    </w:p>
    <w:p w14:paraId="75DF647D"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Objectives of the Assessment</w:t>
      </w:r>
    </w:p>
    <w:p w14:paraId="161F1130"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Methodology</w:t>
      </w:r>
    </w:p>
    <w:p w14:paraId="40E328FE"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Cost Calculation Formulas</w:t>
      </w:r>
    </w:p>
    <w:p w14:paraId="65A867D8"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Inefficiency Summary Table (Q3 2015EC)</w:t>
      </w:r>
    </w:p>
    <w:p w14:paraId="08A4C5EE"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Assessment Results</w:t>
      </w:r>
    </w:p>
    <w:p w14:paraId="3449E3A0"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Risk Assessment</w:t>
      </w:r>
    </w:p>
    <w:p w14:paraId="11AE3264"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Discussion</w:t>
      </w:r>
    </w:p>
    <w:p w14:paraId="62CFE1D2"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Action Plan</w:t>
      </w:r>
    </w:p>
    <w:p w14:paraId="5C1717AB"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Recommendations and Utilization Plan</w:t>
      </w:r>
    </w:p>
    <w:p w14:paraId="7CF3E7EA"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Conclusion</w:t>
      </w:r>
    </w:p>
    <w:p w14:paraId="3414F252" w14:textId="77777777" w:rsidR="005F6168" w:rsidRPr="005F6168" w:rsidRDefault="005F6168" w:rsidP="005F6168">
      <w:pPr>
        <w:numPr>
          <w:ilvl w:val="0"/>
          <w:numId w:val="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References</w:t>
      </w:r>
    </w:p>
    <w:p w14:paraId="22A10670"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51DABA9E">
          <v:rect id="_x0000_i1026" style="width:0;height:1.5pt" o:hralign="center" o:hrstd="t" o:hr="t" fillcolor="#a0a0a0" stroked="f"/>
        </w:pict>
      </w:r>
    </w:p>
    <w:p w14:paraId="1680B794"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1. Executive Summary</w:t>
      </w:r>
    </w:p>
    <w:p w14:paraId="630F67C7"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This report outlines the assessment results of supply chain inefficiency at Deder General Hospital for Q3, 2015EC. The total inefficiency rate was found to be 7.2%, translating to an economic cost of 540,000 ETB. High-impact inefficiencies were observed in monitoring and reporting, technology integration, communication, and procurement practices. Implementation of quarterly meetings and structured communication significantly improved performance, yet gaps remain in digital system utilization and interdepartmental coordination.</w:t>
      </w:r>
    </w:p>
    <w:p w14:paraId="610D3447"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4F362BF8">
          <v:rect id="_x0000_i1027" style="width:0;height:1.5pt" o:hralign="center" o:hrstd="t" o:hr="t" fillcolor="#a0a0a0" stroked="f"/>
        </w:pict>
      </w:r>
    </w:p>
    <w:p w14:paraId="529B72B7"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2. Introduction</w:t>
      </w:r>
    </w:p>
    <w:p w14:paraId="308CB80A"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Supply chain efficiency is a cornerstone of healthcare service delivery. At Deder General Hospital, systemic inefficiencies in the supply chain have led to preventable stockouts, wastage, and financial strain. This assessment aims to measure the current inefficiency rate and highlight improvement opportunities.</w:t>
      </w:r>
    </w:p>
    <w:p w14:paraId="217D1E24"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6C41AA80">
          <v:rect id="_x0000_i1028" style="width:0;height:1.5pt" o:hralign="center" o:hrstd="t" o:hr="t" fillcolor="#a0a0a0" stroked="f"/>
        </w:pict>
      </w:r>
    </w:p>
    <w:p w14:paraId="57FA21FE"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3. Objectives of the Assessment</w:t>
      </w:r>
    </w:p>
    <w:p w14:paraId="31F70216" w14:textId="77777777" w:rsidR="005F6168" w:rsidRPr="005F6168" w:rsidRDefault="005F6168" w:rsidP="005F6168">
      <w:pPr>
        <w:numPr>
          <w:ilvl w:val="0"/>
          <w:numId w:val="2"/>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Quantify supply chain inefficiencies for Q3 2015EC.</w:t>
      </w:r>
    </w:p>
    <w:p w14:paraId="6C17E6A6" w14:textId="77777777" w:rsidR="005F6168" w:rsidRPr="005F6168" w:rsidRDefault="005F6168" w:rsidP="005F6168">
      <w:pPr>
        <w:numPr>
          <w:ilvl w:val="0"/>
          <w:numId w:val="2"/>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Identify root causes contributing to inefficiencies.</w:t>
      </w:r>
    </w:p>
    <w:p w14:paraId="6BF85448" w14:textId="77777777" w:rsidR="005F6168" w:rsidRPr="005F6168" w:rsidRDefault="005F6168" w:rsidP="005F6168">
      <w:pPr>
        <w:numPr>
          <w:ilvl w:val="0"/>
          <w:numId w:val="2"/>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Evaluate the cost implications.</w:t>
      </w:r>
    </w:p>
    <w:p w14:paraId="30C6303D" w14:textId="77777777" w:rsidR="005F6168" w:rsidRPr="005F6168" w:rsidRDefault="005F6168" w:rsidP="005F6168">
      <w:pPr>
        <w:numPr>
          <w:ilvl w:val="0"/>
          <w:numId w:val="2"/>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Recommend actionable interventions for improvement.</w:t>
      </w:r>
    </w:p>
    <w:p w14:paraId="3E356528" w14:textId="77777777" w:rsidR="005F6168" w:rsidRPr="005F6168" w:rsidRDefault="005F6168" w:rsidP="005F6168">
      <w:pPr>
        <w:numPr>
          <w:ilvl w:val="0"/>
          <w:numId w:val="2"/>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lastRenderedPageBreak/>
        <w:t>Provide data to track QI project progress over time.</w:t>
      </w:r>
    </w:p>
    <w:p w14:paraId="217696EF"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2E36CF70">
          <v:rect id="_x0000_i1029" style="width:0;height:1.5pt" o:hralign="center" o:hrstd="t" o:hr="t" fillcolor="#a0a0a0" stroked="f"/>
        </w:pict>
      </w:r>
    </w:p>
    <w:p w14:paraId="5D891BC6"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4. Methodology</w:t>
      </w:r>
    </w:p>
    <w:p w14:paraId="6FFB69AC"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b/>
          <w:bCs/>
          <w:sz w:val="24"/>
          <w:szCs w:val="24"/>
        </w:rPr>
        <w:t>a) Data Collection:</w:t>
      </w:r>
    </w:p>
    <w:p w14:paraId="1B11D729" w14:textId="77777777" w:rsidR="005F6168" w:rsidRPr="005F6168" w:rsidRDefault="005F6168" w:rsidP="005F6168">
      <w:pPr>
        <w:numPr>
          <w:ilvl w:val="0"/>
          <w:numId w:val="3"/>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Checklist-guided supply chain meeting discussions.</w:t>
      </w:r>
    </w:p>
    <w:p w14:paraId="1677F41F" w14:textId="77777777" w:rsidR="005F6168" w:rsidRPr="005F6168" w:rsidRDefault="005F6168" w:rsidP="005F6168">
      <w:pPr>
        <w:numPr>
          <w:ilvl w:val="0"/>
          <w:numId w:val="3"/>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Model 19 reports, bin cards, EAPTS transactions.</w:t>
      </w:r>
    </w:p>
    <w:p w14:paraId="12DD13E5" w14:textId="77777777" w:rsidR="005F6168" w:rsidRPr="005F6168" w:rsidRDefault="005F6168" w:rsidP="005F6168">
      <w:pPr>
        <w:numPr>
          <w:ilvl w:val="0"/>
          <w:numId w:val="3"/>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Observations, interviews with pharmacy and procurement staff.</w:t>
      </w:r>
    </w:p>
    <w:p w14:paraId="4650E85F"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b/>
          <w:bCs/>
          <w:sz w:val="24"/>
          <w:szCs w:val="24"/>
        </w:rPr>
        <w:t>b) Scope:</w:t>
      </w:r>
    </w:p>
    <w:p w14:paraId="28EF567C" w14:textId="77777777" w:rsidR="005F6168" w:rsidRPr="005F6168" w:rsidRDefault="005F6168" w:rsidP="005F6168">
      <w:pPr>
        <w:numPr>
          <w:ilvl w:val="0"/>
          <w:numId w:val="4"/>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Quarter 3, 2015EC (3-month period).</w:t>
      </w:r>
    </w:p>
    <w:p w14:paraId="00D5A1F3" w14:textId="77777777" w:rsidR="005F6168" w:rsidRPr="005F6168" w:rsidRDefault="005F6168" w:rsidP="005F6168">
      <w:pPr>
        <w:numPr>
          <w:ilvl w:val="0"/>
          <w:numId w:val="4"/>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All departments involved in planning, procurement, storage, and dispensing.</w:t>
      </w:r>
    </w:p>
    <w:p w14:paraId="1EB2A505"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b/>
          <w:bCs/>
          <w:sz w:val="24"/>
          <w:szCs w:val="24"/>
        </w:rPr>
        <w:t>c) Analysis:</w:t>
      </w:r>
    </w:p>
    <w:p w14:paraId="46717E12" w14:textId="77777777" w:rsidR="005F6168" w:rsidRPr="005F6168" w:rsidRDefault="005F6168" w:rsidP="005F6168">
      <w:pPr>
        <w:numPr>
          <w:ilvl w:val="0"/>
          <w:numId w:val="5"/>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Used predefined inefficiency formulas.</w:t>
      </w:r>
    </w:p>
    <w:p w14:paraId="0AFE41EF" w14:textId="77777777" w:rsidR="005F6168" w:rsidRPr="005F6168" w:rsidRDefault="005F6168" w:rsidP="005F6168">
      <w:pPr>
        <w:numPr>
          <w:ilvl w:val="0"/>
          <w:numId w:val="5"/>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Prioritized high-cost and high-frequency inefficiencies.</w:t>
      </w:r>
    </w:p>
    <w:p w14:paraId="57343142"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b/>
          <w:bCs/>
          <w:sz w:val="24"/>
          <w:szCs w:val="24"/>
        </w:rPr>
        <w:t>d) Validation:</w:t>
      </w:r>
    </w:p>
    <w:p w14:paraId="08529D1A" w14:textId="77777777" w:rsidR="005F6168" w:rsidRPr="005F6168" w:rsidRDefault="005F6168" w:rsidP="005F6168">
      <w:pPr>
        <w:numPr>
          <w:ilvl w:val="0"/>
          <w:numId w:val="6"/>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Validation through QI team discussion and external pharmacy audits.</w:t>
      </w:r>
    </w:p>
    <w:p w14:paraId="6461A60A"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07C0B490">
          <v:rect id="_x0000_i1030" style="width:0;height:1.5pt" o:hralign="center" o:hrstd="t" o:hr="t" fillcolor="#a0a0a0" stroked="f"/>
        </w:pict>
      </w:r>
    </w:p>
    <w:p w14:paraId="112BC54C"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5. Cost Calculation Formulas</w:t>
      </w:r>
    </w:p>
    <w:p w14:paraId="573CAB28"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b/>
          <w:bCs/>
          <w:sz w:val="24"/>
          <w:szCs w:val="24"/>
        </w:rPr>
        <w:t>SUPPLY CHAIN COST CALCULATION FORMULAS</w:t>
      </w:r>
    </w:p>
    <w:p w14:paraId="4D7F005C" w14:textId="77777777" w:rsidR="005F6168" w:rsidRPr="005F6168" w:rsidRDefault="005F6168" w:rsidP="005F6168">
      <w:pPr>
        <w:numPr>
          <w:ilvl w:val="0"/>
          <w:numId w:val="7"/>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Stockouts Cost = Number of Stockouts × Average Cost per Stockout</w:t>
      </w:r>
    </w:p>
    <w:p w14:paraId="1C3DB9AB" w14:textId="77777777" w:rsidR="005F6168" w:rsidRPr="005F6168" w:rsidRDefault="005F6168" w:rsidP="005F6168">
      <w:pPr>
        <w:numPr>
          <w:ilvl w:val="0"/>
          <w:numId w:val="7"/>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Excess Inventory Cost = Excess Inventory Level × Carrying Cost per Unit</w:t>
      </w:r>
    </w:p>
    <w:p w14:paraId="07088C59" w14:textId="77777777" w:rsidR="005F6168" w:rsidRPr="005F6168" w:rsidRDefault="005F6168" w:rsidP="005F6168">
      <w:pPr>
        <w:numPr>
          <w:ilvl w:val="0"/>
          <w:numId w:val="7"/>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Supplier Communication Cost = Number of Communication Errors × Cost per Error</w:t>
      </w:r>
    </w:p>
    <w:p w14:paraId="6DFCE0C9" w14:textId="77777777" w:rsidR="005F6168" w:rsidRPr="005F6168" w:rsidRDefault="005F6168" w:rsidP="005F6168">
      <w:pPr>
        <w:numPr>
          <w:ilvl w:val="0"/>
          <w:numId w:val="7"/>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Performance Monitoring Cost = Number of Performance Assessments × Cost per Assessment</w:t>
      </w:r>
    </w:p>
    <w:p w14:paraId="1948708A" w14:textId="77777777" w:rsidR="005F6168" w:rsidRPr="005F6168" w:rsidRDefault="005F6168" w:rsidP="005F6168">
      <w:pPr>
        <w:numPr>
          <w:ilvl w:val="0"/>
          <w:numId w:val="7"/>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Transportation Cost = Number of Shipments × Average Cost per Shipment</w:t>
      </w:r>
    </w:p>
    <w:p w14:paraId="0B1218CE" w14:textId="77777777" w:rsidR="005F6168" w:rsidRPr="005F6168" w:rsidRDefault="005F6168" w:rsidP="005F6168">
      <w:pPr>
        <w:numPr>
          <w:ilvl w:val="0"/>
          <w:numId w:val="7"/>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Poor Inventory Tracking Cost = Number of Inventory Discrepancies × Cost per Discrepancy</w:t>
      </w:r>
    </w:p>
    <w:p w14:paraId="504E52EE" w14:textId="77777777" w:rsidR="005F6168" w:rsidRPr="005F6168" w:rsidRDefault="005F6168" w:rsidP="005F6168">
      <w:pPr>
        <w:numPr>
          <w:ilvl w:val="0"/>
          <w:numId w:val="7"/>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Total Supply Chain Costs = Sum of all the above</w:t>
      </w:r>
    </w:p>
    <w:p w14:paraId="67D041DC"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b/>
          <w:bCs/>
          <w:sz w:val="24"/>
          <w:szCs w:val="24"/>
        </w:rPr>
        <w:t>INEFFICIENCY RATE FORMULAS</w:t>
      </w:r>
    </w:p>
    <w:p w14:paraId="3B7B871D"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lastRenderedPageBreak/>
        <w:t>Procurement Inefficiency (%) = ((Actual - Benchmark Procurement Cost) / Benchmark Cost) × 100</w:t>
      </w:r>
    </w:p>
    <w:p w14:paraId="0CFB367C"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Inventory Inefficiency (%) = ((Stockouts + Overstocks) / Total Transactions) × 100</w:t>
      </w:r>
    </w:p>
    <w:p w14:paraId="1C65E973"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Storage Inefficiency (%) = (Expired or Damaged Stock / Total Stock) × 100</w:t>
      </w:r>
    </w:p>
    <w:p w14:paraId="0CB98F50"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Demand Forecasting Inefficiency (%) = (|Actual - Forecast| / Actual Demand) × 100</w:t>
      </w:r>
    </w:p>
    <w:p w14:paraId="45BB9BD2"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Supplier Inefficiency (%) = (Late or Incorrect Deliveries / Total Deliveries) × 100</w:t>
      </w:r>
    </w:p>
    <w:p w14:paraId="4955A420"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Distribution Inefficiency (%) = (Delayed/Inaccurate Deliveries / Total Shipments) × 100</w:t>
      </w:r>
    </w:p>
    <w:p w14:paraId="75863B7C"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Cost Inefficiency (%) = ((Actual Supply Costs - Budgeted Costs) / Budgeted Costs) × 100</w:t>
      </w:r>
    </w:p>
    <w:p w14:paraId="39A4F869"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Reporting Inefficiency (%) = (Delayed Reports / Total Reports) × 100</w:t>
      </w:r>
    </w:p>
    <w:p w14:paraId="08DAB16F"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Technology Inefficiency (%) = (Manual Processes / Total Processes) × 100</w:t>
      </w:r>
    </w:p>
    <w:p w14:paraId="48D5A845"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Coordination Inefficiency (%) = (Communication Failures / Total Communications) × 100</w:t>
      </w:r>
    </w:p>
    <w:p w14:paraId="47A53AB4"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Waste Inefficiency (%) = (Expired/Damaged Stock / Total Handled Stock) × 100</w:t>
      </w:r>
    </w:p>
    <w:p w14:paraId="28C9EADA" w14:textId="77777777" w:rsidR="005F6168" w:rsidRPr="005F6168" w:rsidRDefault="005F6168" w:rsidP="005F6168">
      <w:pPr>
        <w:numPr>
          <w:ilvl w:val="0"/>
          <w:numId w:val="8"/>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Dispensing Inefficiency (%) = (Incorrect/Delayed Dispensing / Total Transactions) × 100</w:t>
      </w:r>
    </w:p>
    <w:p w14:paraId="65437067"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06DBA69F">
          <v:rect id="_x0000_i1031" style="width:0;height:1.5pt" o:hralign="center" o:hrstd="t" o:hr="t" fillcolor="#a0a0a0" stroked="f"/>
        </w:pict>
      </w:r>
    </w:p>
    <w:p w14:paraId="673C1CFF"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6. Inefficiency Summary Table (Q3 2015EC)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
        <w:gridCol w:w="4519"/>
        <w:gridCol w:w="1326"/>
        <w:gridCol w:w="1858"/>
      </w:tblGrid>
      <w:tr w:rsidR="005F6168" w:rsidRPr="005F6168" w14:paraId="0E54D97B" w14:textId="77777777" w:rsidTr="00723DD8">
        <w:trPr>
          <w:tblCellSpacing w:w="15" w:type="dxa"/>
        </w:trPr>
        <w:tc>
          <w:tcPr>
            <w:tcW w:w="0" w:type="auto"/>
            <w:vAlign w:val="center"/>
            <w:hideMark/>
          </w:tcPr>
          <w:p w14:paraId="08314CF7" w14:textId="77777777" w:rsidR="005F6168" w:rsidRPr="005F6168" w:rsidRDefault="005F6168" w:rsidP="005F6168">
            <w:pPr>
              <w:spacing w:after="0" w:line="240" w:lineRule="auto"/>
              <w:jc w:val="center"/>
              <w:rPr>
                <w:rFonts w:ascii="Rockwell" w:eastAsia="Times New Roman" w:hAnsi="Rockwell" w:cs="Times New Roman"/>
                <w:b/>
                <w:bCs/>
                <w:sz w:val="24"/>
                <w:szCs w:val="24"/>
              </w:rPr>
            </w:pPr>
            <w:r w:rsidRPr="005F6168">
              <w:rPr>
                <w:rFonts w:ascii="Rockwell" w:eastAsia="Times New Roman" w:hAnsi="Rockwell" w:cs="Times New Roman"/>
                <w:b/>
                <w:bCs/>
                <w:sz w:val="24"/>
                <w:szCs w:val="24"/>
              </w:rPr>
              <w:t>No.</w:t>
            </w:r>
          </w:p>
        </w:tc>
        <w:tc>
          <w:tcPr>
            <w:tcW w:w="0" w:type="auto"/>
            <w:vAlign w:val="center"/>
            <w:hideMark/>
          </w:tcPr>
          <w:p w14:paraId="6662498A" w14:textId="77777777" w:rsidR="005F6168" w:rsidRPr="005F6168" w:rsidRDefault="005F6168" w:rsidP="005F6168">
            <w:pPr>
              <w:spacing w:after="0" w:line="240" w:lineRule="auto"/>
              <w:jc w:val="center"/>
              <w:rPr>
                <w:rFonts w:ascii="Rockwell" w:eastAsia="Times New Roman" w:hAnsi="Rockwell" w:cs="Times New Roman"/>
                <w:b/>
                <w:bCs/>
                <w:sz w:val="24"/>
                <w:szCs w:val="24"/>
              </w:rPr>
            </w:pPr>
            <w:r w:rsidRPr="005F6168">
              <w:rPr>
                <w:rFonts w:ascii="Rockwell" w:eastAsia="Times New Roman" w:hAnsi="Rockwell" w:cs="Times New Roman"/>
                <w:b/>
                <w:bCs/>
                <w:sz w:val="24"/>
                <w:szCs w:val="24"/>
              </w:rPr>
              <w:t>Area of Inefficiency</w:t>
            </w:r>
          </w:p>
        </w:tc>
        <w:tc>
          <w:tcPr>
            <w:tcW w:w="0" w:type="auto"/>
            <w:vAlign w:val="center"/>
            <w:hideMark/>
          </w:tcPr>
          <w:p w14:paraId="63AC1A9B" w14:textId="77777777" w:rsidR="005F6168" w:rsidRPr="005F6168" w:rsidRDefault="005F6168" w:rsidP="005F6168">
            <w:pPr>
              <w:spacing w:after="0" w:line="240" w:lineRule="auto"/>
              <w:jc w:val="center"/>
              <w:rPr>
                <w:rFonts w:ascii="Rockwell" w:eastAsia="Times New Roman" w:hAnsi="Rockwell" w:cs="Times New Roman"/>
                <w:b/>
                <w:bCs/>
                <w:sz w:val="24"/>
                <w:szCs w:val="24"/>
              </w:rPr>
            </w:pPr>
            <w:r w:rsidRPr="005F6168">
              <w:rPr>
                <w:rFonts w:ascii="Rockwell" w:eastAsia="Times New Roman" w:hAnsi="Rockwell" w:cs="Times New Roman"/>
                <w:b/>
                <w:bCs/>
                <w:sz w:val="24"/>
                <w:szCs w:val="24"/>
              </w:rPr>
              <w:t>Cost (ETB)</w:t>
            </w:r>
          </w:p>
        </w:tc>
        <w:tc>
          <w:tcPr>
            <w:tcW w:w="0" w:type="auto"/>
            <w:vAlign w:val="center"/>
            <w:hideMark/>
          </w:tcPr>
          <w:p w14:paraId="5C85A697" w14:textId="77777777" w:rsidR="005F6168" w:rsidRPr="005F6168" w:rsidRDefault="005F6168" w:rsidP="005F6168">
            <w:pPr>
              <w:spacing w:after="0" w:line="240" w:lineRule="auto"/>
              <w:jc w:val="center"/>
              <w:rPr>
                <w:rFonts w:ascii="Rockwell" w:eastAsia="Times New Roman" w:hAnsi="Rockwell" w:cs="Times New Roman"/>
                <w:b/>
                <w:bCs/>
                <w:sz w:val="24"/>
                <w:szCs w:val="24"/>
              </w:rPr>
            </w:pPr>
            <w:r w:rsidRPr="005F6168">
              <w:rPr>
                <w:rFonts w:ascii="Rockwell" w:eastAsia="Times New Roman" w:hAnsi="Rockwell" w:cs="Times New Roman"/>
                <w:b/>
                <w:bCs/>
                <w:sz w:val="24"/>
                <w:szCs w:val="24"/>
              </w:rPr>
              <w:t>% of Total Cost</w:t>
            </w:r>
          </w:p>
        </w:tc>
      </w:tr>
      <w:tr w:rsidR="005F6168" w:rsidRPr="005F6168" w14:paraId="59B304D6" w14:textId="77777777" w:rsidTr="00723DD8">
        <w:trPr>
          <w:tblCellSpacing w:w="15" w:type="dxa"/>
        </w:trPr>
        <w:tc>
          <w:tcPr>
            <w:tcW w:w="0" w:type="auto"/>
            <w:vAlign w:val="center"/>
            <w:hideMark/>
          </w:tcPr>
          <w:p w14:paraId="6828095D"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1</w:t>
            </w:r>
          </w:p>
        </w:tc>
        <w:tc>
          <w:tcPr>
            <w:tcW w:w="0" w:type="auto"/>
            <w:vAlign w:val="center"/>
            <w:hideMark/>
          </w:tcPr>
          <w:p w14:paraId="62FC3223"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Procurement Inefficiency</w:t>
            </w:r>
          </w:p>
        </w:tc>
        <w:tc>
          <w:tcPr>
            <w:tcW w:w="0" w:type="auto"/>
            <w:vAlign w:val="center"/>
            <w:hideMark/>
          </w:tcPr>
          <w:p w14:paraId="001C6480" w14:textId="13D56E19"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t>7500</w:t>
            </w:r>
          </w:p>
        </w:tc>
        <w:tc>
          <w:tcPr>
            <w:tcW w:w="0" w:type="auto"/>
            <w:vAlign w:val="center"/>
            <w:hideMark/>
          </w:tcPr>
          <w:p w14:paraId="5C4838AC" w14:textId="036CBED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1%</w:t>
            </w:r>
          </w:p>
        </w:tc>
      </w:tr>
      <w:tr w:rsidR="005F6168" w:rsidRPr="005F6168" w14:paraId="6529FA11" w14:textId="77777777" w:rsidTr="00723DD8">
        <w:trPr>
          <w:tblCellSpacing w:w="15" w:type="dxa"/>
        </w:trPr>
        <w:tc>
          <w:tcPr>
            <w:tcW w:w="0" w:type="auto"/>
            <w:vAlign w:val="center"/>
            <w:hideMark/>
          </w:tcPr>
          <w:p w14:paraId="43CD729D"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2</w:t>
            </w:r>
          </w:p>
        </w:tc>
        <w:tc>
          <w:tcPr>
            <w:tcW w:w="0" w:type="auto"/>
            <w:vAlign w:val="center"/>
            <w:hideMark/>
          </w:tcPr>
          <w:p w14:paraId="3BB2C7F4"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Inventory Management</w:t>
            </w:r>
          </w:p>
        </w:tc>
        <w:tc>
          <w:tcPr>
            <w:tcW w:w="0" w:type="auto"/>
            <w:vAlign w:val="center"/>
            <w:hideMark/>
          </w:tcPr>
          <w:p w14:paraId="54ADAA17" w14:textId="6C0425D4"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t>9000</w:t>
            </w:r>
          </w:p>
        </w:tc>
        <w:tc>
          <w:tcPr>
            <w:tcW w:w="0" w:type="auto"/>
            <w:vAlign w:val="center"/>
            <w:hideMark/>
          </w:tcPr>
          <w:p w14:paraId="25631504" w14:textId="4332389E"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1.</w:t>
            </w:r>
            <w:r w:rsidR="00D979DA">
              <w:rPr>
                <w:rFonts w:ascii="Rockwell" w:eastAsia="Times New Roman" w:hAnsi="Rockwell" w:cs="Times New Roman"/>
                <w:sz w:val="24"/>
                <w:szCs w:val="24"/>
              </w:rPr>
              <w:t>2</w:t>
            </w:r>
          </w:p>
        </w:tc>
      </w:tr>
      <w:tr w:rsidR="005F6168" w:rsidRPr="005F6168" w14:paraId="46625942" w14:textId="77777777" w:rsidTr="00723DD8">
        <w:trPr>
          <w:tblCellSpacing w:w="15" w:type="dxa"/>
        </w:trPr>
        <w:tc>
          <w:tcPr>
            <w:tcW w:w="0" w:type="auto"/>
            <w:vAlign w:val="center"/>
            <w:hideMark/>
          </w:tcPr>
          <w:p w14:paraId="166B402F"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3</w:t>
            </w:r>
          </w:p>
        </w:tc>
        <w:tc>
          <w:tcPr>
            <w:tcW w:w="0" w:type="auto"/>
            <w:vAlign w:val="center"/>
            <w:hideMark/>
          </w:tcPr>
          <w:p w14:paraId="2B8A1508"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Demand Forecasting</w:t>
            </w:r>
          </w:p>
        </w:tc>
        <w:tc>
          <w:tcPr>
            <w:tcW w:w="0" w:type="auto"/>
            <w:vAlign w:val="center"/>
            <w:hideMark/>
          </w:tcPr>
          <w:p w14:paraId="6B559218" w14:textId="707D47EC"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6300</w:t>
            </w:r>
          </w:p>
        </w:tc>
        <w:tc>
          <w:tcPr>
            <w:tcW w:w="0" w:type="auto"/>
            <w:vAlign w:val="center"/>
            <w:hideMark/>
          </w:tcPr>
          <w:p w14:paraId="4CD299C8"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0.8%</w:t>
            </w:r>
          </w:p>
        </w:tc>
      </w:tr>
      <w:tr w:rsidR="005F6168" w:rsidRPr="005F6168" w14:paraId="25E3615B" w14:textId="77777777" w:rsidTr="00723DD8">
        <w:trPr>
          <w:tblCellSpacing w:w="15" w:type="dxa"/>
        </w:trPr>
        <w:tc>
          <w:tcPr>
            <w:tcW w:w="0" w:type="auto"/>
            <w:vAlign w:val="center"/>
            <w:hideMark/>
          </w:tcPr>
          <w:p w14:paraId="46071D61"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4</w:t>
            </w:r>
          </w:p>
        </w:tc>
        <w:tc>
          <w:tcPr>
            <w:tcW w:w="0" w:type="auto"/>
            <w:vAlign w:val="center"/>
            <w:hideMark/>
          </w:tcPr>
          <w:p w14:paraId="19FEFB5E"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Supplier &amp; Distribution</w:t>
            </w:r>
          </w:p>
        </w:tc>
        <w:tc>
          <w:tcPr>
            <w:tcW w:w="0" w:type="auto"/>
            <w:vAlign w:val="center"/>
            <w:hideMark/>
          </w:tcPr>
          <w:p w14:paraId="65FDF28E" w14:textId="71CA907B"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7200</w:t>
            </w:r>
          </w:p>
        </w:tc>
        <w:tc>
          <w:tcPr>
            <w:tcW w:w="0" w:type="auto"/>
            <w:vAlign w:val="center"/>
            <w:hideMark/>
          </w:tcPr>
          <w:p w14:paraId="5A4F0E45"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0.9%</w:t>
            </w:r>
          </w:p>
        </w:tc>
      </w:tr>
      <w:tr w:rsidR="005F6168" w:rsidRPr="005F6168" w14:paraId="47893BC3" w14:textId="77777777" w:rsidTr="00723DD8">
        <w:trPr>
          <w:tblCellSpacing w:w="15" w:type="dxa"/>
        </w:trPr>
        <w:tc>
          <w:tcPr>
            <w:tcW w:w="0" w:type="auto"/>
            <w:vAlign w:val="center"/>
            <w:hideMark/>
          </w:tcPr>
          <w:p w14:paraId="1F1AB64E"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5</w:t>
            </w:r>
          </w:p>
        </w:tc>
        <w:tc>
          <w:tcPr>
            <w:tcW w:w="0" w:type="auto"/>
            <w:vAlign w:val="center"/>
            <w:hideMark/>
          </w:tcPr>
          <w:p w14:paraId="5ED0846F"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Financial Management &amp; Cost Efficiency</w:t>
            </w:r>
          </w:p>
        </w:tc>
        <w:tc>
          <w:tcPr>
            <w:tcW w:w="0" w:type="auto"/>
            <w:vAlign w:val="center"/>
            <w:hideMark/>
          </w:tcPr>
          <w:p w14:paraId="007575B6" w14:textId="3549653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6600</w:t>
            </w:r>
          </w:p>
        </w:tc>
        <w:tc>
          <w:tcPr>
            <w:tcW w:w="0" w:type="auto"/>
            <w:vAlign w:val="center"/>
            <w:hideMark/>
          </w:tcPr>
          <w:p w14:paraId="3531835C"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0.85%</w:t>
            </w:r>
          </w:p>
        </w:tc>
      </w:tr>
      <w:tr w:rsidR="005F6168" w:rsidRPr="005F6168" w14:paraId="5A824E59" w14:textId="77777777" w:rsidTr="00723DD8">
        <w:trPr>
          <w:tblCellSpacing w:w="15" w:type="dxa"/>
        </w:trPr>
        <w:tc>
          <w:tcPr>
            <w:tcW w:w="0" w:type="auto"/>
            <w:vAlign w:val="center"/>
            <w:hideMark/>
          </w:tcPr>
          <w:p w14:paraId="76C676EC"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6</w:t>
            </w:r>
          </w:p>
        </w:tc>
        <w:tc>
          <w:tcPr>
            <w:tcW w:w="0" w:type="auto"/>
            <w:vAlign w:val="center"/>
            <w:hideMark/>
          </w:tcPr>
          <w:p w14:paraId="36CD4468"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Monitoring &amp; Reporting</w:t>
            </w:r>
          </w:p>
        </w:tc>
        <w:tc>
          <w:tcPr>
            <w:tcW w:w="0" w:type="auto"/>
            <w:vAlign w:val="center"/>
            <w:hideMark/>
          </w:tcPr>
          <w:p w14:paraId="7BC6093E" w14:textId="3800B2B6"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4500</w:t>
            </w:r>
          </w:p>
        </w:tc>
        <w:tc>
          <w:tcPr>
            <w:tcW w:w="0" w:type="auto"/>
            <w:vAlign w:val="center"/>
            <w:hideMark/>
          </w:tcPr>
          <w:p w14:paraId="775D89F4"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0.6%</w:t>
            </w:r>
          </w:p>
        </w:tc>
      </w:tr>
      <w:tr w:rsidR="005F6168" w:rsidRPr="005F6168" w14:paraId="4E8EC2B3" w14:textId="77777777" w:rsidTr="00723DD8">
        <w:trPr>
          <w:tblCellSpacing w:w="15" w:type="dxa"/>
        </w:trPr>
        <w:tc>
          <w:tcPr>
            <w:tcW w:w="0" w:type="auto"/>
            <w:vAlign w:val="center"/>
            <w:hideMark/>
          </w:tcPr>
          <w:p w14:paraId="54049E26"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7</w:t>
            </w:r>
          </w:p>
        </w:tc>
        <w:tc>
          <w:tcPr>
            <w:tcW w:w="0" w:type="auto"/>
            <w:vAlign w:val="center"/>
            <w:hideMark/>
          </w:tcPr>
          <w:p w14:paraId="5033EE45"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Technology &amp; System Integration</w:t>
            </w:r>
          </w:p>
        </w:tc>
        <w:tc>
          <w:tcPr>
            <w:tcW w:w="0" w:type="auto"/>
            <w:vAlign w:val="center"/>
            <w:hideMark/>
          </w:tcPr>
          <w:p w14:paraId="7348BE6E" w14:textId="7D6DC04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3600</w:t>
            </w:r>
          </w:p>
        </w:tc>
        <w:tc>
          <w:tcPr>
            <w:tcW w:w="0" w:type="auto"/>
            <w:vAlign w:val="center"/>
            <w:hideMark/>
          </w:tcPr>
          <w:p w14:paraId="48BE7B58"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0.48%</w:t>
            </w:r>
          </w:p>
        </w:tc>
      </w:tr>
      <w:tr w:rsidR="005F6168" w:rsidRPr="005F6168" w14:paraId="67A1904A" w14:textId="77777777" w:rsidTr="00723DD8">
        <w:trPr>
          <w:tblCellSpacing w:w="15" w:type="dxa"/>
        </w:trPr>
        <w:tc>
          <w:tcPr>
            <w:tcW w:w="0" w:type="auto"/>
            <w:vAlign w:val="center"/>
            <w:hideMark/>
          </w:tcPr>
          <w:p w14:paraId="55D01DCD"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8</w:t>
            </w:r>
          </w:p>
        </w:tc>
        <w:tc>
          <w:tcPr>
            <w:tcW w:w="0" w:type="auto"/>
            <w:vAlign w:val="center"/>
            <w:hideMark/>
          </w:tcPr>
          <w:p w14:paraId="2C1413F8"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Communication &amp; Coordination</w:t>
            </w:r>
          </w:p>
        </w:tc>
        <w:tc>
          <w:tcPr>
            <w:tcW w:w="0" w:type="auto"/>
            <w:vAlign w:val="center"/>
            <w:hideMark/>
          </w:tcPr>
          <w:p w14:paraId="194EEA69" w14:textId="1CA68085"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3600</w:t>
            </w:r>
          </w:p>
        </w:tc>
        <w:tc>
          <w:tcPr>
            <w:tcW w:w="0" w:type="auto"/>
            <w:vAlign w:val="center"/>
            <w:hideMark/>
          </w:tcPr>
          <w:p w14:paraId="03838568"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0.48%</w:t>
            </w:r>
          </w:p>
        </w:tc>
      </w:tr>
      <w:tr w:rsidR="005F6168" w:rsidRPr="005F6168" w14:paraId="78FB798C" w14:textId="77777777" w:rsidTr="00723DD8">
        <w:trPr>
          <w:tblCellSpacing w:w="15" w:type="dxa"/>
        </w:trPr>
        <w:tc>
          <w:tcPr>
            <w:tcW w:w="0" w:type="auto"/>
            <w:vAlign w:val="center"/>
            <w:hideMark/>
          </w:tcPr>
          <w:p w14:paraId="3C2958D9"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9</w:t>
            </w:r>
          </w:p>
        </w:tc>
        <w:tc>
          <w:tcPr>
            <w:tcW w:w="0" w:type="auto"/>
            <w:vAlign w:val="center"/>
            <w:hideMark/>
          </w:tcPr>
          <w:p w14:paraId="1942613D"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Wastage Reduction</w:t>
            </w:r>
          </w:p>
        </w:tc>
        <w:tc>
          <w:tcPr>
            <w:tcW w:w="0" w:type="auto"/>
            <w:vAlign w:val="center"/>
            <w:hideMark/>
          </w:tcPr>
          <w:p w14:paraId="229923EC" w14:textId="1DBFFA02"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2700</w:t>
            </w:r>
          </w:p>
        </w:tc>
        <w:tc>
          <w:tcPr>
            <w:tcW w:w="0" w:type="auto"/>
            <w:vAlign w:val="center"/>
            <w:hideMark/>
          </w:tcPr>
          <w:p w14:paraId="6803E881"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0.36%</w:t>
            </w:r>
          </w:p>
        </w:tc>
      </w:tr>
      <w:tr w:rsidR="005F6168" w:rsidRPr="005F6168" w14:paraId="2AE0B7E8" w14:textId="77777777" w:rsidTr="00723DD8">
        <w:trPr>
          <w:tblCellSpacing w:w="15" w:type="dxa"/>
        </w:trPr>
        <w:tc>
          <w:tcPr>
            <w:tcW w:w="0" w:type="auto"/>
            <w:vAlign w:val="center"/>
            <w:hideMark/>
          </w:tcPr>
          <w:p w14:paraId="6272E425"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10</w:t>
            </w:r>
          </w:p>
        </w:tc>
        <w:tc>
          <w:tcPr>
            <w:tcW w:w="0" w:type="auto"/>
            <w:vAlign w:val="center"/>
            <w:hideMark/>
          </w:tcPr>
          <w:p w14:paraId="6CA75C0B"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Storage Practice</w:t>
            </w:r>
          </w:p>
        </w:tc>
        <w:tc>
          <w:tcPr>
            <w:tcW w:w="0" w:type="auto"/>
            <w:vAlign w:val="center"/>
            <w:hideMark/>
          </w:tcPr>
          <w:p w14:paraId="6B8314D2" w14:textId="3A9D37E6"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1800</w:t>
            </w:r>
          </w:p>
        </w:tc>
        <w:tc>
          <w:tcPr>
            <w:tcW w:w="0" w:type="auto"/>
            <w:vAlign w:val="center"/>
            <w:hideMark/>
          </w:tcPr>
          <w:p w14:paraId="1EC29BD3"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0.24%</w:t>
            </w:r>
          </w:p>
        </w:tc>
      </w:tr>
      <w:tr w:rsidR="005F6168" w:rsidRPr="005F6168" w14:paraId="6482D030" w14:textId="77777777" w:rsidTr="00723DD8">
        <w:trPr>
          <w:tblCellSpacing w:w="15" w:type="dxa"/>
        </w:trPr>
        <w:tc>
          <w:tcPr>
            <w:tcW w:w="0" w:type="auto"/>
            <w:vAlign w:val="center"/>
            <w:hideMark/>
          </w:tcPr>
          <w:p w14:paraId="09FC1959"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11</w:t>
            </w:r>
          </w:p>
        </w:tc>
        <w:tc>
          <w:tcPr>
            <w:tcW w:w="0" w:type="auto"/>
            <w:vAlign w:val="center"/>
            <w:hideMark/>
          </w:tcPr>
          <w:p w14:paraId="27652B8C"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Dispensing Practice</w:t>
            </w:r>
          </w:p>
        </w:tc>
        <w:tc>
          <w:tcPr>
            <w:tcW w:w="0" w:type="auto"/>
            <w:vAlign w:val="center"/>
            <w:hideMark/>
          </w:tcPr>
          <w:p w14:paraId="6F4466E2" w14:textId="3C763444"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1200</w:t>
            </w:r>
          </w:p>
        </w:tc>
        <w:tc>
          <w:tcPr>
            <w:tcW w:w="0" w:type="auto"/>
            <w:vAlign w:val="center"/>
            <w:hideMark/>
          </w:tcPr>
          <w:p w14:paraId="2E2BE1D1"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0.16%</w:t>
            </w:r>
          </w:p>
        </w:tc>
      </w:tr>
      <w:tr w:rsidR="005F6168" w:rsidRPr="005F6168" w14:paraId="43AFA925" w14:textId="77777777" w:rsidTr="00723DD8">
        <w:trPr>
          <w:tblCellSpacing w:w="15" w:type="dxa"/>
        </w:trPr>
        <w:tc>
          <w:tcPr>
            <w:tcW w:w="0" w:type="auto"/>
            <w:vAlign w:val="center"/>
            <w:hideMark/>
          </w:tcPr>
          <w:p w14:paraId="0979A34C" w14:textId="77777777" w:rsidR="005F6168" w:rsidRPr="005F6168" w:rsidRDefault="005F6168" w:rsidP="005F6168">
            <w:pPr>
              <w:spacing w:after="0" w:line="240" w:lineRule="auto"/>
              <w:rPr>
                <w:rFonts w:ascii="Rockwell" w:eastAsia="Times New Roman" w:hAnsi="Rockwell" w:cs="Times New Roman"/>
                <w:sz w:val="24"/>
                <w:szCs w:val="24"/>
              </w:rPr>
            </w:pPr>
          </w:p>
        </w:tc>
        <w:tc>
          <w:tcPr>
            <w:tcW w:w="0" w:type="auto"/>
            <w:vAlign w:val="center"/>
            <w:hideMark/>
          </w:tcPr>
          <w:p w14:paraId="1A7A56A1"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b/>
                <w:bCs/>
                <w:sz w:val="24"/>
                <w:szCs w:val="24"/>
              </w:rPr>
              <w:t>Total</w:t>
            </w:r>
          </w:p>
        </w:tc>
        <w:tc>
          <w:tcPr>
            <w:tcW w:w="0" w:type="auto"/>
            <w:vAlign w:val="center"/>
            <w:hideMark/>
          </w:tcPr>
          <w:p w14:paraId="625A24EB" w14:textId="3295D92C"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b/>
                <w:bCs/>
                <w:sz w:val="24"/>
                <w:szCs w:val="24"/>
              </w:rPr>
              <w:t>54000</w:t>
            </w:r>
          </w:p>
        </w:tc>
        <w:tc>
          <w:tcPr>
            <w:tcW w:w="0" w:type="auto"/>
            <w:vAlign w:val="center"/>
            <w:hideMark/>
          </w:tcPr>
          <w:p w14:paraId="374741AF" w14:textId="77777777" w:rsidR="005F6168" w:rsidRPr="005F6168" w:rsidRDefault="005F6168" w:rsidP="005F6168">
            <w:pPr>
              <w:spacing w:after="0" w:line="240" w:lineRule="auto"/>
              <w:rPr>
                <w:rFonts w:ascii="Rockwell" w:eastAsia="Times New Roman" w:hAnsi="Rockwell" w:cs="Times New Roman"/>
                <w:sz w:val="24"/>
                <w:szCs w:val="24"/>
              </w:rPr>
            </w:pPr>
            <w:r w:rsidRPr="005F6168">
              <w:rPr>
                <w:rFonts w:ascii="Rockwell" w:eastAsia="Times New Roman" w:hAnsi="Rockwell" w:cs="Times New Roman"/>
                <w:b/>
                <w:bCs/>
                <w:sz w:val="24"/>
                <w:szCs w:val="24"/>
              </w:rPr>
              <w:t>7.2%</w:t>
            </w:r>
          </w:p>
        </w:tc>
      </w:tr>
    </w:tbl>
    <w:p w14:paraId="44F8D0B9"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3393DEFB">
          <v:rect id="_x0000_i1032" style="width:0;height:1.5pt" o:hralign="center" o:hrstd="t" o:hr="t" fillcolor="#a0a0a0" stroked="f"/>
        </w:pict>
      </w:r>
    </w:p>
    <w:p w14:paraId="186C32B5"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lastRenderedPageBreak/>
        <w:t>7. Assessment Results</w:t>
      </w:r>
    </w:p>
    <w:p w14:paraId="09E21A01" w14:textId="77777777" w:rsidR="005F6168" w:rsidRPr="005F6168" w:rsidRDefault="005F6168" w:rsidP="005F6168">
      <w:pPr>
        <w:numPr>
          <w:ilvl w:val="0"/>
          <w:numId w:val="9"/>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Procurement practices lacked supplier contract audits.</w:t>
      </w:r>
    </w:p>
    <w:p w14:paraId="420C6072" w14:textId="77777777" w:rsidR="005F6168" w:rsidRPr="005F6168" w:rsidRDefault="005F6168" w:rsidP="005F6168">
      <w:pPr>
        <w:numPr>
          <w:ilvl w:val="0"/>
          <w:numId w:val="9"/>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No routine cost variance or performance tracking.</w:t>
      </w:r>
    </w:p>
    <w:p w14:paraId="6FDCC536" w14:textId="77777777" w:rsidR="005F6168" w:rsidRPr="005F6168" w:rsidRDefault="005F6168" w:rsidP="005F6168">
      <w:pPr>
        <w:numPr>
          <w:ilvl w:val="0"/>
          <w:numId w:val="9"/>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EAPTS was underutilized.</w:t>
      </w:r>
    </w:p>
    <w:p w14:paraId="0386939E" w14:textId="77777777" w:rsidR="005F6168" w:rsidRPr="005F6168" w:rsidRDefault="005F6168" w:rsidP="005F6168">
      <w:pPr>
        <w:numPr>
          <w:ilvl w:val="0"/>
          <w:numId w:val="9"/>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Communication gaps between pharmacy, procurement, and clinical units.</w:t>
      </w:r>
    </w:p>
    <w:p w14:paraId="5CD9D68F" w14:textId="77777777" w:rsidR="005F6168" w:rsidRPr="005F6168" w:rsidRDefault="005F6168" w:rsidP="005F6168">
      <w:pPr>
        <w:numPr>
          <w:ilvl w:val="0"/>
          <w:numId w:val="9"/>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Digital systems not used despite being available.</w:t>
      </w:r>
    </w:p>
    <w:p w14:paraId="2C0914B3"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4ADE0605">
          <v:rect id="_x0000_i1033" style="width:0;height:1.5pt" o:hralign="center" o:hrstd="t" o:hr="t" fillcolor="#a0a0a0" stroked="f"/>
        </w:pict>
      </w:r>
    </w:p>
    <w:p w14:paraId="736BEE51"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8. Risk Assessment</w:t>
      </w:r>
    </w:p>
    <w:p w14:paraId="0EA28AB8" w14:textId="77777777" w:rsidR="005F6168" w:rsidRPr="005F6168" w:rsidRDefault="005F6168" w:rsidP="005F6168">
      <w:pPr>
        <w:numPr>
          <w:ilvl w:val="0"/>
          <w:numId w:val="10"/>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Stockouts disrupting patient care.</w:t>
      </w:r>
    </w:p>
    <w:p w14:paraId="0CB080E6" w14:textId="77777777" w:rsidR="005F6168" w:rsidRPr="005F6168" w:rsidRDefault="005F6168" w:rsidP="005F6168">
      <w:pPr>
        <w:numPr>
          <w:ilvl w:val="0"/>
          <w:numId w:val="10"/>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Excess inventory leading to expiries.</w:t>
      </w:r>
    </w:p>
    <w:p w14:paraId="6A4DB90A" w14:textId="77777777" w:rsidR="005F6168" w:rsidRPr="005F6168" w:rsidRDefault="005F6168" w:rsidP="005F6168">
      <w:pPr>
        <w:numPr>
          <w:ilvl w:val="0"/>
          <w:numId w:val="10"/>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Poor communication causing delays.</w:t>
      </w:r>
    </w:p>
    <w:p w14:paraId="42C0AB65" w14:textId="77777777" w:rsidR="005F6168" w:rsidRPr="005F6168" w:rsidRDefault="005F6168" w:rsidP="005F6168">
      <w:pPr>
        <w:numPr>
          <w:ilvl w:val="0"/>
          <w:numId w:val="10"/>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Manual tracking reducing accuracy.</w:t>
      </w:r>
    </w:p>
    <w:p w14:paraId="747C17B5" w14:textId="77777777" w:rsidR="005F6168" w:rsidRPr="005F6168" w:rsidRDefault="005F6168" w:rsidP="005F6168">
      <w:pPr>
        <w:numPr>
          <w:ilvl w:val="0"/>
          <w:numId w:val="10"/>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Waste from expired medications.</w:t>
      </w:r>
    </w:p>
    <w:p w14:paraId="57A668AC"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4299C88E">
          <v:rect id="_x0000_i1034" style="width:0;height:1.5pt" o:hralign="center" o:hrstd="t" o:hr="t" fillcolor="#a0a0a0" stroked="f"/>
        </w:pict>
      </w:r>
    </w:p>
    <w:p w14:paraId="260A7A4F"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9. Discussion</w:t>
      </w:r>
    </w:p>
    <w:p w14:paraId="7B02EAC8"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Despite targeted efforts, inefficiencies remained, primarily due to underuse of digital tools and lack of consistent audit systems. Nonetheless, quarterly meetings helped resolve procurement issues, improving coordination. The 7.2% inefficiency rate, though above the 5% goal, marks progress from the previous 16%.</w:t>
      </w:r>
    </w:p>
    <w:p w14:paraId="39F602CD"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20AFC827">
          <v:rect id="_x0000_i1035" style="width:0;height:1.5pt" o:hralign="center" o:hrstd="t" o:hr="t" fillcolor="#a0a0a0" stroked="f"/>
        </w:pict>
      </w:r>
    </w:p>
    <w:p w14:paraId="2DD64DF6"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10. Action Plan</w:t>
      </w:r>
    </w:p>
    <w:tbl>
      <w:tblPr>
        <w:tblStyle w:val="TableGrid"/>
        <w:tblW w:w="0" w:type="auto"/>
        <w:tblLook w:val="04A0" w:firstRow="1" w:lastRow="0" w:firstColumn="1" w:lastColumn="0" w:noHBand="0" w:noVBand="1"/>
      </w:tblPr>
      <w:tblGrid>
        <w:gridCol w:w="2295"/>
        <w:gridCol w:w="3567"/>
        <w:gridCol w:w="1911"/>
        <w:gridCol w:w="1577"/>
      </w:tblGrid>
      <w:tr w:rsidR="002C7217" w:rsidRPr="00080FC9" w14:paraId="13F53204" w14:textId="77777777" w:rsidTr="00A909E6">
        <w:tc>
          <w:tcPr>
            <w:tcW w:w="0" w:type="auto"/>
            <w:hideMark/>
          </w:tcPr>
          <w:p w14:paraId="1179A7E4"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Gap</w:t>
            </w:r>
          </w:p>
        </w:tc>
        <w:tc>
          <w:tcPr>
            <w:tcW w:w="0" w:type="auto"/>
            <w:hideMark/>
          </w:tcPr>
          <w:p w14:paraId="032AA149"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Intervention</w:t>
            </w:r>
          </w:p>
        </w:tc>
        <w:tc>
          <w:tcPr>
            <w:tcW w:w="0" w:type="auto"/>
            <w:hideMark/>
          </w:tcPr>
          <w:p w14:paraId="157A1DA0"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Timeline</w:t>
            </w:r>
          </w:p>
        </w:tc>
        <w:tc>
          <w:tcPr>
            <w:tcW w:w="0" w:type="auto"/>
            <w:hideMark/>
          </w:tcPr>
          <w:p w14:paraId="08CF4E22"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Responsible</w:t>
            </w:r>
          </w:p>
        </w:tc>
      </w:tr>
      <w:tr w:rsidR="002C7217" w:rsidRPr="00080FC9" w14:paraId="44846A10" w14:textId="77777777" w:rsidTr="00A909E6">
        <w:tc>
          <w:tcPr>
            <w:tcW w:w="0" w:type="auto"/>
            <w:hideMark/>
          </w:tcPr>
          <w:p w14:paraId="408C77C1"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No contract reviews</w:t>
            </w:r>
          </w:p>
        </w:tc>
        <w:tc>
          <w:tcPr>
            <w:tcW w:w="0" w:type="auto"/>
            <w:hideMark/>
          </w:tcPr>
          <w:p w14:paraId="67DAF8B5"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Schedule annual supplier evaluations</w:t>
            </w:r>
          </w:p>
        </w:tc>
        <w:tc>
          <w:tcPr>
            <w:tcW w:w="0" w:type="auto"/>
            <w:hideMark/>
          </w:tcPr>
          <w:p w14:paraId="5684308A" w14:textId="2E13A028" w:rsidR="005F6168" w:rsidRPr="005F6168" w:rsidRDefault="00A909E6" w:rsidP="005F6168">
            <w:pPr>
              <w:rPr>
                <w:rFonts w:ascii="Rockwell" w:eastAsia="Times New Roman" w:hAnsi="Rockwell" w:cs="Times New Roman"/>
                <w:sz w:val="24"/>
                <w:szCs w:val="24"/>
              </w:rPr>
            </w:pPr>
            <w:r w:rsidRPr="00080FC9">
              <w:rPr>
                <w:rFonts w:ascii="Rockwell" w:eastAsia="Times New Roman" w:hAnsi="Rockwell" w:cs="Times New Roman"/>
                <w:sz w:val="24"/>
                <w:szCs w:val="24"/>
              </w:rPr>
              <w:t>In the next quarter</w:t>
            </w:r>
          </w:p>
        </w:tc>
        <w:tc>
          <w:tcPr>
            <w:tcW w:w="0" w:type="auto"/>
            <w:hideMark/>
          </w:tcPr>
          <w:p w14:paraId="2846F07B" w14:textId="70F42518" w:rsidR="005F6168" w:rsidRPr="005F6168" w:rsidRDefault="002C7217" w:rsidP="005F6168">
            <w:pPr>
              <w:rPr>
                <w:rFonts w:ascii="Rockwell" w:eastAsia="Times New Roman" w:hAnsi="Rockwell" w:cs="Times New Roman"/>
                <w:sz w:val="24"/>
                <w:szCs w:val="24"/>
              </w:rPr>
            </w:pPr>
            <w:r w:rsidRPr="00080FC9">
              <w:rPr>
                <w:rFonts w:ascii="Rockwell" w:eastAsia="Times New Roman" w:hAnsi="Rockwell" w:cs="Times New Roman"/>
                <w:sz w:val="24"/>
                <w:szCs w:val="24"/>
              </w:rPr>
              <w:t>DTC</w:t>
            </w:r>
          </w:p>
        </w:tc>
      </w:tr>
      <w:tr w:rsidR="002C7217" w:rsidRPr="00080FC9" w14:paraId="707D801D" w14:textId="77777777" w:rsidTr="00A909E6">
        <w:tc>
          <w:tcPr>
            <w:tcW w:w="0" w:type="auto"/>
            <w:hideMark/>
          </w:tcPr>
          <w:p w14:paraId="26E5B750"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Lack of stock audit</w:t>
            </w:r>
          </w:p>
        </w:tc>
        <w:tc>
          <w:tcPr>
            <w:tcW w:w="0" w:type="auto"/>
            <w:hideMark/>
          </w:tcPr>
          <w:p w14:paraId="55B64730"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Conduct quarterly EAPTS stock checks</w:t>
            </w:r>
          </w:p>
        </w:tc>
        <w:tc>
          <w:tcPr>
            <w:tcW w:w="0" w:type="auto"/>
            <w:hideMark/>
          </w:tcPr>
          <w:p w14:paraId="4CD5CF15" w14:textId="499DE114" w:rsidR="005F6168" w:rsidRPr="005F6168" w:rsidRDefault="00A909E6" w:rsidP="005F6168">
            <w:pPr>
              <w:rPr>
                <w:rFonts w:ascii="Rockwell" w:eastAsia="Times New Roman" w:hAnsi="Rockwell" w:cs="Times New Roman"/>
                <w:sz w:val="24"/>
                <w:szCs w:val="24"/>
              </w:rPr>
            </w:pPr>
            <w:r w:rsidRPr="00080FC9">
              <w:rPr>
                <w:rFonts w:ascii="Rockwell" w:eastAsia="Times New Roman" w:hAnsi="Rockwell" w:cs="Times New Roman"/>
                <w:sz w:val="24"/>
                <w:szCs w:val="24"/>
              </w:rPr>
              <w:t>In the next quarter</w:t>
            </w:r>
          </w:p>
        </w:tc>
        <w:tc>
          <w:tcPr>
            <w:tcW w:w="0" w:type="auto"/>
            <w:hideMark/>
          </w:tcPr>
          <w:p w14:paraId="41763FE1" w14:textId="0BF199DE" w:rsidR="005F6168" w:rsidRPr="005F6168" w:rsidRDefault="002C7217" w:rsidP="005F6168">
            <w:pPr>
              <w:rPr>
                <w:rFonts w:ascii="Rockwell" w:eastAsia="Times New Roman" w:hAnsi="Rockwell" w:cs="Times New Roman"/>
                <w:sz w:val="24"/>
                <w:szCs w:val="24"/>
              </w:rPr>
            </w:pPr>
            <w:r w:rsidRPr="00080FC9">
              <w:rPr>
                <w:rFonts w:ascii="Rockwell" w:eastAsia="Times New Roman" w:hAnsi="Rockwell" w:cs="Times New Roman"/>
                <w:sz w:val="24"/>
                <w:szCs w:val="24"/>
              </w:rPr>
              <w:t>DTC</w:t>
            </w:r>
          </w:p>
        </w:tc>
      </w:tr>
      <w:tr w:rsidR="002C7217" w:rsidRPr="00080FC9" w14:paraId="013F915C" w14:textId="77777777" w:rsidTr="00A909E6">
        <w:tc>
          <w:tcPr>
            <w:tcW w:w="0" w:type="auto"/>
            <w:hideMark/>
          </w:tcPr>
          <w:p w14:paraId="19A8CF86"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Poor communication</w:t>
            </w:r>
          </w:p>
        </w:tc>
        <w:tc>
          <w:tcPr>
            <w:tcW w:w="0" w:type="auto"/>
            <w:hideMark/>
          </w:tcPr>
          <w:p w14:paraId="7C2E0C3C"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Monthly supply chain coordination</w:t>
            </w:r>
          </w:p>
        </w:tc>
        <w:tc>
          <w:tcPr>
            <w:tcW w:w="0" w:type="auto"/>
            <w:hideMark/>
          </w:tcPr>
          <w:p w14:paraId="0D9861B8" w14:textId="04E4BDF1" w:rsidR="005F6168" w:rsidRPr="005F6168" w:rsidRDefault="00A909E6" w:rsidP="005F6168">
            <w:pPr>
              <w:rPr>
                <w:rFonts w:ascii="Rockwell" w:eastAsia="Times New Roman" w:hAnsi="Rockwell" w:cs="Times New Roman"/>
                <w:sz w:val="24"/>
                <w:szCs w:val="24"/>
              </w:rPr>
            </w:pPr>
            <w:r w:rsidRPr="00080FC9">
              <w:rPr>
                <w:rFonts w:ascii="Rockwell" w:eastAsia="Times New Roman" w:hAnsi="Rockwell" w:cs="Times New Roman"/>
                <w:sz w:val="24"/>
                <w:szCs w:val="24"/>
              </w:rPr>
              <w:t>In the next quarter</w:t>
            </w:r>
          </w:p>
        </w:tc>
        <w:tc>
          <w:tcPr>
            <w:tcW w:w="0" w:type="auto"/>
            <w:hideMark/>
          </w:tcPr>
          <w:p w14:paraId="29E99681"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DTC</w:t>
            </w:r>
          </w:p>
        </w:tc>
      </w:tr>
      <w:tr w:rsidR="002C7217" w:rsidRPr="00080FC9" w14:paraId="7B0C35D3" w14:textId="77777777" w:rsidTr="00A909E6">
        <w:tc>
          <w:tcPr>
            <w:tcW w:w="0" w:type="auto"/>
            <w:hideMark/>
          </w:tcPr>
          <w:p w14:paraId="7EB81643"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No monitoring tools</w:t>
            </w:r>
          </w:p>
        </w:tc>
        <w:tc>
          <w:tcPr>
            <w:tcW w:w="0" w:type="auto"/>
            <w:hideMark/>
          </w:tcPr>
          <w:p w14:paraId="773B101C" w14:textId="77777777" w:rsidR="005F6168" w:rsidRPr="005F6168" w:rsidRDefault="005F6168" w:rsidP="005F6168">
            <w:pPr>
              <w:rPr>
                <w:rFonts w:ascii="Rockwell" w:eastAsia="Times New Roman" w:hAnsi="Rockwell" w:cs="Times New Roman"/>
                <w:sz w:val="24"/>
                <w:szCs w:val="24"/>
              </w:rPr>
            </w:pPr>
            <w:r w:rsidRPr="005F6168">
              <w:rPr>
                <w:rFonts w:ascii="Rockwell" w:eastAsia="Times New Roman" w:hAnsi="Rockwell" w:cs="Times New Roman"/>
                <w:sz w:val="24"/>
                <w:szCs w:val="24"/>
              </w:rPr>
              <w:t>Introduce KPI dashboard and alerts</w:t>
            </w:r>
          </w:p>
        </w:tc>
        <w:tc>
          <w:tcPr>
            <w:tcW w:w="0" w:type="auto"/>
            <w:hideMark/>
          </w:tcPr>
          <w:p w14:paraId="2FE5ECA5" w14:textId="751C4E46" w:rsidR="005F6168" w:rsidRPr="005F6168" w:rsidRDefault="00A909E6" w:rsidP="005F6168">
            <w:pPr>
              <w:rPr>
                <w:rFonts w:ascii="Rockwell" w:eastAsia="Times New Roman" w:hAnsi="Rockwell" w:cs="Times New Roman"/>
                <w:sz w:val="24"/>
                <w:szCs w:val="24"/>
              </w:rPr>
            </w:pPr>
            <w:r w:rsidRPr="00080FC9">
              <w:rPr>
                <w:rFonts w:ascii="Rockwell" w:eastAsia="Times New Roman" w:hAnsi="Rockwell" w:cs="Times New Roman"/>
                <w:sz w:val="24"/>
                <w:szCs w:val="24"/>
              </w:rPr>
              <w:t>In the next quarter</w:t>
            </w:r>
          </w:p>
        </w:tc>
        <w:tc>
          <w:tcPr>
            <w:tcW w:w="0" w:type="auto"/>
            <w:hideMark/>
          </w:tcPr>
          <w:p w14:paraId="22B45421" w14:textId="47D79324" w:rsidR="005F6168" w:rsidRPr="005F6168" w:rsidRDefault="002C7217" w:rsidP="005F6168">
            <w:pPr>
              <w:rPr>
                <w:rFonts w:ascii="Rockwell" w:eastAsia="Times New Roman" w:hAnsi="Rockwell" w:cs="Times New Roman"/>
                <w:sz w:val="24"/>
                <w:szCs w:val="24"/>
              </w:rPr>
            </w:pPr>
            <w:r w:rsidRPr="00080FC9">
              <w:rPr>
                <w:rFonts w:ascii="Rockwell" w:eastAsia="Times New Roman" w:hAnsi="Rockwell" w:cs="Times New Roman"/>
                <w:sz w:val="24"/>
                <w:szCs w:val="24"/>
              </w:rPr>
              <w:t>DTC</w:t>
            </w:r>
          </w:p>
        </w:tc>
      </w:tr>
    </w:tbl>
    <w:p w14:paraId="1E79D691"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129E4E79">
          <v:rect id="_x0000_i1036" style="width:0;height:1.5pt" o:hralign="center" o:hrstd="t" o:hr="t" fillcolor="#a0a0a0" stroked="f"/>
        </w:pict>
      </w:r>
    </w:p>
    <w:p w14:paraId="43293658"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11. Recommendations and Utilization Plan</w:t>
      </w:r>
    </w:p>
    <w:p w14:paraId="1F169441" w14:textId="77777777" w:rsidR="005F6168" w:rsidRPr="005F6168" w:rsidRDefault="005F6168" w:rsidP="005F6168">
      <w:pPr>
        <w:numPr>
          <w:ilvl w:val="0"/>
          <w:numId w:val="1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Digitize all inventory operations.</w:t>
      </w:r>
    </w:p>
    <w:p w14:paraId="404243A0" w14:textId="77777777" w:rsidR="005F6168" w:rsidRPr="005F6168" w:rsidRDefault="005F6168" w:rsidP="005F6168">
      <w:pPr>
        <w:numPr>
          <w:ilvl w:val="0"/>
          <w:numId w:val="1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lastRenderedPageBreak/>
        <w:t>Conduct structured quarterly supply chain review.</w:t>
      </w:r>
    </w:p>
    <w:p w14:paraId="49292BF0" w14:textId="77777777" w:rsidR="005F6168" w:rsidRPr="005F6168" w:rsidRDefault="005F6168" w:rsidP="005F6168">
      <w:pPr>
        <w:numPr>
          <w:ilvl w:val="0"/>
          <w:numId w:val="1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Automate reporting with performance KPIs.</w:t>
      </w:r>
    </w:p>
    <w:p w14:paraId="4B8775B8" w14:textId="77777777" w:rsidR="005F6168" w:rsidRPr="005F6168" w:rsidRDefault="005F6168" w:rsidP="005F6168">
      <w:pPr>
        <w:numPr>
          <w:ilvl w:val="0"/>
          <w:numId w:val="1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Train staff on forecasting and stock rotation.</w:t>
      </w:r>
    </w:p>
    <w:p w14:paraId="26BC0463" w14:textId="77777777" w:rsidR="005F6168" w:rsidRPr="005F6168" w:rsidRDefault="005F6168" w:rsidP="005F6168">
      <w:pPr>
        <w:numPr>
          <w:ilvl w:val="0"/>
          <w:numId w:val="11"/>
        </w:num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Implement feedback mechanisms with suppliers.</w:t>
      </w:r>
    </w:p>
    <w:p w14:paraId="16011D10"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5E352450">
          <v:rect id="_x0000_i1037" style="width:0;height:1.5pt" o:hralign="center" o:hrstd="t" o:hr="t" fillcolor="#a0a0a0" stroked="f"/>
        </w:pict>
      </w:r>
    </w:p>
    <w:p w14:paraId="43C4B326" w14:textId="77777777" w:rsidR="005F6168" w:rsidRPr="005F6168" w:rsidRDefault="005F6168" w:rsidP="005F6168">
      <w:pPr>
        <w:spacing w:before="100" w:beforeAutospacing="1" w:after="100" w:afterAutospacing="1" w:line="240" w:lineRule="auto"/>
        <w:outlineLvl w:val="2"/>
        <w:rPr>
          <w:rFonts w:ascii="Rockwell" w:eastAsia="Times New Roman" w:hAnsi="Rockwell" w:cs="Times New Roman"/>
          <w:b/>
          <w:bCs/>
          <w:sz w:val="27"/>
          <w:szCs w:val="27"/>
        </w:rPr>
      </w:pPr>
      <w:r w:rsidRPr="005F6168">
        <w:rPr>
          <w:rFonts w:ascii="Rockwell" w:eastAsia="Times New Roman" w:hAnsi="Rockwell" w:cs="Times New Roman"/>
          <w:b/>
          <w:bCs/>
          <w:sz w:val="27"/>
          <w:szCs w:val="27"/>
        </w:rPr>
        <w:t>12. Conclusion</w:t>
      </w:r>
    </w:p>
    <w:p w14:paraId="6C198574" w14:textId="77777777" w:rsidR="005F6168" w:rsidRPr="005F6168" w:rsidRDefault="005F6168" w:rsidP="005F6168">
      <w:pPr>
        <w:spacing w:before="100" w:beforeAutospacing="1" w:after="100" w:afterAutospacing="1" w:line="240" w:lineRule="auto"/>
        <w:rPr>
          <w:rFonts w:ascii="Rockwell" w:eastAsia="Times New Roman" w:hAnsi="Rockwell" w:cs="Times New Roman"/>
          <w:sz w:val="24"/>
          <w:szCs w:val="24"/>
        </w:rPr>
      </w:pPr>
      <w:r w:rsidRPr="005F6168">
        <w:rPr>
          <w:rFonts w:ascii="Rockwell" w:eastAsia="Times New Roman" w:hAnsi="Rockwell" w:cs="Times New Roman"/>
          <w:sz w:val="24"/>
          <w:szCs w:val="24"/>
        </w:rPr>
        <w:t>Q3 2015EC recorded a 7.2% inefficiency rate, improved from prior cycles but still above the &lt;5% goal. Sustained improvements require full adoption of digital systems, continuous monitoring, and clear accountability.</w:t>
      </w:r>
    </w:p>
    <w:p w14:paraId="2A21AC60" w14:textId="77777777" w:rsidR="005F6168" w:rsidRPr="005F6168" w:rsidRDefault="00D979DA" w:rsidP="005F6168">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37BEFF48">
          <v:rect id="_x0000_i1038" style="width:0;height:1.5pt" o:hralign="center" o:hrstd="t" o:hr="t" fillcolor="#a0a0a0" stroked="f"/>
        </w:pict>
      </w:r>
    </w:p>
    <w:p w14:paraId="5BCF78C1" w14:textId="77777777" w:rsidR="00A909E6" w:rsidRPr="00A909E6" w:rsidRDefault="00A909E6" w:rsidP="00A909E6">
      <w:p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Here are 20 high-quality and credible references to include at the end of your </w:t>
      </w:r>
      <w:r w:rsidRPr="00A909E6">
        <w:rPr>
          <w:rFonts w:ascii="Rockwell" w:eastAsia="Times New Roman" w:hAnsi="Rockwell" w:cs="Times New Roman"/>
          <w:b/>
          <w:bCs/>
          <w:sz w:val="24"/>
          <w:szCs w:val="24"/>
        </w:rPr>
        <w:t>Supply Chain Inefficiency Assessment Report – Quarter 3, 2015 EC</w:t>
      </w:r>
      <w:r w:rsidRPr="00A909E6">
        <w:rPr>
          <w:rFonts w:ascii="Rockwell" w:eastAsia="Times New Roman" w:hAnsi="Rockwell" w:cs="Times New Roman"/>
          <w:sz w:val="24"/>
          <w:szCs w:val="24"/>
        </w:rPr>
        <w:t>, formatted in standard citation style. These draw from global best practices, academic literature, international organizations, and expert guidelines in supply chain management, healthcare logistics, and operational performance.</w:t>
      </w:r>
    </w:p>
    <w:p w14:paraId="4158715C" w14:textId="77777777" w:rsidR="00A909E6" w:rsidRPr="00A909E6" w:rsidRDefault="00D979DA" w:rsidP="00A909E6">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71E5AE8E">
          <v:rect id="_x0000_i1039" style="width:0;height:1.5pt" o:hralign="center" o:hrstd="t" o:hr="t" fillcolor="#a0a0a0" stroked="f"/>
        </w:pict>
      </w:r>
    </w:p>
    <w:p w14:paraId="7901A9D0" w14:textId="77777777" w:rsidR="00A909E6" w:rsidRPr="00A909E6" w:rsidRDefault="00A909E6" w:rsidP="00A909E6">
      <w:pPr>
        <w:spacing w:before="100" w:beforeAutospacing="1" w:after="100" w:afterAutospacing="1" w:line="240" w:lineRule="auto"/>
        <w:outlineLvl w:val="2"/>
        <w:rPr>
          <w:rFonts w:ascii="Rockwell" w:eastAsia="Times New Roman" w:hAnsi="Rockwell" w:cs="Times New Roman"/>
          <w:b/>
          <w:bCs/>
          <w:sz w:val="27"/>
          <w:szCs w:val="27"/>
        </w:rPr>
      </w:pPr>
      <w:r w:rsidRPr="00A909E6">
        <w:rPr>
          <w:rFonts w:ascii="Rockwell" w:eastAsia="Times New Roman" w:hAnsi="Rockwell" w:cs="Times New Roman"/>
          <w:b/>
          <w:bCs/>
          <w:sz w:val="27"/>
          <w:szCs w:val="27"/>
        </w:rPr>
        <w:t>13. References</w:t>
      </w:r>
    </w:p>
    <w:p w14:paraId="4FDC9722"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Chopra, S., &amp; Meindl, P. (2019). </w:t>
      </w:r>
      <w:r w:rsidRPr="00A909E6">
        <w:rPr>
          <w:rFonts w:ascii="Rockwell" w:eastAsia="Times New Roman" w:hAnsi="Rockwell" w:cs="Times New Roman"/>
          <w:i/>
          <w:iCs/>
          <w:sz w:val="24"/>
          <w:szCs w:val="24"/>
        </w:rPr>
        <w:t>Supply Chain Management: Strategy, Planning, and Operation</w:t>
      </w:r>
      <w:r w:rsidRPr="00A909E6">
        <w:rPr>
          <w:rFonts w:ascii="Rockwell" w:eastAsia="Times New Roman" w:hAnsi="Rockwell" w:cs="Times New Roman"/>
          <w:sz w:val="24"/>
          <w:szCs w:val="24"/>
        </w:rPr>
        <w:t xml:space="preserve"> (7th ed.). Pearson.</w:t>
      </w:r>
    </w:p>
    <w:p w14:paraId="5C9ED5E1"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Simchi-Levi, D., Kaminsky, P., &amp; Simchi-Levi, E. (2007). </w:t>
      </w:r>
      <w:r w:rsidRPr="00A909E6">
        <w:rPr>
          <w:rFonts w:ascii="Rockwell" w:eastAsia="Times New Roman" w:hAnsi="Rockwell" w:cs="Times New Roman"/>
          <w:i/>
          <w:iCs/>
          <w:sz w:val="24"/>
          <w:szCs w:val="24"/>
        </w:rPr>
        <w:t>Designing and Managing the Supply Chain: Concepts, Strategies and Case Studies</w:t>
      </w:r>
      <w:r w:rsidRPr="00A909E6">
        <w:rPr>
          <w:rFonts w:ascii="Rockwell" w:eastAsia="Times New Roman" w:hAnsi="Rockwell" w:cs="Times New Roman"/>
          <w:sz w:val="24"/>
          <w:szCs w:val="24"/>
        </w:rPr>
        <w:t>. McGraw-Hill Education.</w:t>
      </w:r>
    </w:p>
    <w:p w14:paraId="54801378"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World Health Organization (WHO). (2011). </w:t>
      </w:r>
      <w:r w:rsidRPr="00A909E6">
        <w:rPr>
          <w:rFonts w:ascii="Rockwell" w:eastAsia="Times New Roman" w:hAnsi="Rockwell" w:cs="Times New Roman"/>
          <w:i/>
          <w:iCs/>
          <w:sz w:val="24"/>
          <w:szCs w:val="24"/>
        </w:rPr>
        <w:t>Model Guidelines for Medicine Supply Management</w:t>
      </w:r>
      <w:r w:rsidRPr="00A909E6">
        <w:rPr>
          <w:rFonts w:ascii="Rockwell" w:eastAsia="Times New Roman" w:hAnsi="Rockwell" w:cs="Times New Roman"/>
          <w:sz w:val="24"/>
          <w:szCs w:val="24"/>
        </w:rPr>
        <w:t>. Geneva: WHO Press.</w:t>
      </w:r>
    </w:p>
    <w:p w14:paraId="5077D0AA"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USAID DELIVER PROJECT. (2014). </w:t>
      </w:r>
      <w:r w:rsidRPr="00A909E6">
        <w:rPr>
          <w:rFonts w:ascii="Rockwell" w:eastAsia="Times New Roman" w:hAnsi="Rockwell" w:cs="Times New Roman"/>
          <w:i/>
          <w:iCs/>
          <w:sz w:val="24"/>
          <w:szCs w:val="24"/>
        </w:rPr>
        <w:t>Logistics Management Information Systems (LMIS) Technical Series</w:t>
      </w:r>
      <w:r w:rsidRPr="00A909E6">
        <w:rPr>
          <w:rFonts w:ascii="Rockwell" w:eastAsia="Times New Roman" w:hAnsi="Rockwell" w:cs="Times New Roman"/>
          <w:sz w:val="24"/>
          <w:szCs w:val="24"/>
        </w:rPr>
        <w:t>. USAID.</w:t>
      </w:r>
    </w:p>
    <w:p w14:paraId="1F8CDD15"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APICS. (2020). </w:t>
      </w:r>
      <w:r w:rsidRPr="00A909E6">
        <w:rPr>
          <w:rFonts w:ascii="Rockwell" w:eastAsia="Times New Roman" w:hAnsi="Rockwell" w:cs="Times New Roman"/>
          <w:i/>
          <w:iCs/>
          <w:sz w:val="24"/>
          <w:szCs w:val="24"/>
        </w:rPr>
        <w:t>APICS Dictionary</w:t>
      </w:r>
      <w:r w:rsidRPr="00A909E6">
        <w:rPr>
          <w:rFonts w:ascii="Rockwell" w:eastAsia="Times New Roman" w:hAnsi="Rockwell" w:cs="Times New Roman"/>
          <w:sz w:val="24"/>
          <w:szCs w:val="24"/>
        </w:rPr>
        <w:t xml:space="preserve"> (16th ed.). Association for Supply Chain Management.</w:t>
      </w:r>
    </w:p>
    <w:p w14:paraId="7A0A2181"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Heizer, J., Render, B., &amp; Munson, C. (2017). </w:t>
      </w:r>
      <w:r w:rsidRPr="00A909E6">
        <w:rPr>
          <w:rFonts w:ascii="Rockwell" w:eastAsia="Times New Roman" w:hAnsi="Rockwell" w:cs="Times New Roman"/>
          <w:i/>
          <w:iCs/>
          <w:sz w:val="24"/>
          <w:szCs w:val="24"/>
        </w:rPr>
        <w:t>Operations Management: Sustainability and Supply Chain Management</w:t>
      </w:r>
      <w:r w:rsidRPr="00A909E6">
        <w:rPr>
          <w:rFonts w:ascii="Rockwell" w:eastAsia="Times New Roman" w:hAnsi="Rockwell" w:cs="Times New Roman"/>
          <w:sz w:val="24"/>
          <w:szCs w:val="24"/>
        </w:rPr>
        <w:t xml:space="preserve"> (12th ed.). Pearson.</w:t>
      </w:r>
    </w:p>
    <w:p w14:paraId="71B43883"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Global Fund. (2015). </w:t>
      </w:r>
      <w:r w:rsidRPr="00A909E6">
        <w:rPr>
          <w:rFonts w:ascii="Rockwell" w:eastAsia="Times New Roman" w:hAnsi="Rockwell" w:cs="Times New Roman"/>
          <w:i/>
          <w:iCs/>
          <w:sz w:val="24"/>
          <w:szCs w:val="24"/>
        </w:rPr>
        <w:t>Procurement and Supply Chain Management Guide</w:t>
      </w:r>
      <w:r w:rsidRPr="00A909E6">
        <w:rPr>
          <w:rFonts w:ascii="Rockwell" w:eastAsia="Times New Roman" w:hAnsi="Rockwell" w:cs="Times New Roman"/>
          <w:sz w:val="24"/>
          <w:szCs w:val="24"/>
        </w:rPr>
        <w:t>. Geneva.</w:t>
      </w:r>
    </w:p>
    <w:p w14:paraId="29E8F419"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Harland, C. M. (1996). Supply Chain Management: Relationships, Chains and Networks. </w:t>
      </w:r>
      <w:r w:rsidRPr="00A909E6">
        <w:rPr>
          <w:rFonts w:ascii="Rockwell" w:eastAsia="Times New Roman" w:hAnsi="Rockwell" w:cs="Times New Roman"/>
          <w:i/>
          <w:iCs/>
          <w:sz w:val="24"/>
          <w:szCs w:val="24"/>
        </w:rPr>
        <w:t>British Journal of Management</w:t>
      </w:r>
      <w:r w:rsidRPr="00A909E6">
        <w:rPr>
          <w:rFonts w:ascii="Rockwell" w:eastAsia="Times New Roman" w:hAnsi="Rockwell" w:cs="Times New Roman"/>
          <w:sz w:val="24"/>
          <w:szCs w:val="24"/>
        </w:rPr>
        <w:t>, 7, S63–S80.</w:t>
      </w:r>
    </w:p>
    <w:p w14:paraId="68E93C52"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Krafcik, J. F. (1988). Triumph of the Lean Production System. </w:t>
      </w:r>
      <w:r w:rsidRPr="00A909E6">
        <w:rPr>
          <w:rFonts w:ascii="Rockwell" w:eastAsia="Times New Roman" w:hAnsi="Rockwell" w:cs="Times New Roman"/>
          <w:i/>
          <w:iCs/>
          <w:sz w:val="24"/>
          <w:szCs w:val="24"/>
        </w:rPr>
        <w:t>Sloan Management Review</w:t>
      </w:r>
      <w:r w:rsidRPr="00A909E6">
        <w:rPr>
          <w:rFonts w:ascii="Rockwell" w:eastAsia="Times New Roman" w:hAnsi="Rockwell" w:cs="Times New Roman"/>
          <w:sz w:val="24"/>
          <w:szCs w:val="24"/>
        </w:rPr>
        <w:t>, 30(1), 41–52.</w:t>
      </w:r>
    </w:p>
    <w:p w14:paraId="56BBFC71"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lastRenderedPageBreak/>
        <w:t xml:space="preserve">CSCMP (Council of Supply Chain Management Professionals). (2018). </w:t>
      </w:r>
      <w:r w:rsidRPr="00A909E6">
        <w:rPr>
          <w:rFonts w:ascii="Rockwell" w:eastAsia="Times New Roman" w:hAnsi="Rockwell" w:cs="Times New Roman"/>
          <w:i/>
          <w:iCs/>
          <w:sz w:val="24"/>
          <w:szCs w:val="24"/>
        </w:rPr>
        <w:t>Supply Chain Management Terms and Glossary</w:t>
      </w:r>
      <w:r w:rsidRPr="00A909E6">
        <w:rPr>
          <w:rFonts w:ascii="Rockwell" w:eastAsia="Times New Roman" w:hAnsi="Rockwell" w:cs="Times New Roman"/>
          <w:sz w:val="24"/>
          <w:szCs w:val="24"/>
        </w:rPr>
        <w:t>.</w:t>
      </w:r>
    </w:p>
    <w:p w14:paraId="04D04F0D"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UNICEF. (2018). </w:t>
      </w:r>
      <w:r w:rsidRPr="00A909E6">
        <w:rPr>
          <w:rFonts w:ascii="Rockwell" w:eastAsia="Times New Roman" w:hAnsi="Rockwell" w:cs="Times New Roman"/>
          <w:i/>
          <w:iCs/>
          <w:sz w:val="24"/>
          <w:szCs w:val="24"/>
        </w:rPr>
        <w:t>Effective Vaccine Management (EVM) Initiative: Supply Chain Framework and Guidelines</w:t>
      </w:r>
      <w:r w:rsidRPr="00A909E6">
        <w:rPr>
          <w:rFonts w:ascii="Rockwell" w:eastAsia="Times New Roman" w:hAnsi="Rockwell" w:cs="Times New Roman"/>
          <w:sz w:val="24"/>
          <w:szCs w:val="24"/>
        </w:rPr>
        <w:t>. New York.</w:t>
      </w:r>
    </w:p>
    <w:p w14:paraId="46754A96"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Management Sciences for Health (MSH). (2012). </w:t>
      </w:r>
      <w:r w:rsidRPr="00A909E6">
        <w:rPr>
          <w:rFonts w:ascii="Rockwell" w:eastAsia="Times New Roman" w:hAnsi="Rockwell" w:cs="Times New Roman"/>
          <w:i/>
          <w:iCs/>
          <w:sz w:val="24"/>
          <w:szCs w:val="24"/>
        </w:rPr>
        <w:t>MDS-3: Managing Access to Medicines and Health Technologies</w:t>
      </w:r>
      <w:r w:rsidRPr="00A909E6">
        <w:rPr>
          <w:rFonts w:ascii="Rockwell" w:eastAsia="Times New Roman" w:hAnsi="Rockwell" w:cs="Times New Roman"/>
          <w:sz w:val="24"/>
          <w:szCs w:val="24"/>
        </w:rPr>
        <w:t>. Arlington, VA: MSH.</w:t>
      </w:r>
    </w:p>
    <w:p w14:paraId="1CBB446C"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World Bank. (2017). </w:t>
      </w:r>
      <w:r w:rsidRPr="00A909E6">
        <w:rPr>
          <w:rFonts w:ascii="Rockwell" w:eastAsia="Times New Roman" w:hAnsi="Rockwell" w:cs="Times New Roman"/>
          <w:i/>
          <w:iCs/>
          <w:sz w:val="24"/>
          <w:szCs w:val="24"/>
        </w:rPr>
        <w:t>Improving Public Procurement Systems in Sub-Saharan Africa</w:t>
      </w:r>
      <w:r w:rsidRPr="00A909E6">
        <w:rPr>
          <w:rFonts w:ascii="Rockwell" w:eastAsia="Times New Roman" w:hAnsi="Rockwell" w:cs="Times New Roman"/>
          <w:sz w:val="24"/>
          <w:szCs w:val="24"/>
        </w:rPr>
        <w:t>. Washington, DC.</w:t>
      </w:r>
    </w:p>
    <w:p w14:paraId="573C943D"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Ethiopian Pharmaceutical Supply Service (EPSS). (2022). </w:t>
      </w:r>
      <w:r w:rsidRPr="00A909E6">
        <w:rPr>
          <w:rFonts w:ascii="Rockwell" w:eastAsia="Times New Roman" w:hAnsi="Rockwell" w:cs="Times New Roman"/>
          <w:i/>
          <w:iCs/>
          <w:sz w:val="24"/>
          <w:szCs w:val="24"/>
        </w:rPr>
        <w:t>Standard Operating Procedures Manual for Health Commodities Management</w:t>
      </w:r>
      <w:r w:rsidRPr="00A909E6">
        <w:rPr>
          <w:rFonts w:ascii="Rockwell" w:eastAsia="Times New Roman" w:hAnsi="Rockwell" w:cs="Times New Roman"/>
          <w:sz w:val="24"/>
          <w:szCs w:val="24"/>
        </w:rPr>
        <w:t>.</w:t>
      </w:r>
    </w:p>
    <w:p w14:paraId="4A0FBA0E"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Ministry of Health, Ethiopia. (2019). </w:t>
      </w:r>
      <w:r w:rsidRPr="00A909E6">
        <w:rPr>
          <w:rFonts w:ascii="Rockwell" w:eastAsia="Times New Roman" w:hAnsi="Rockwell" w:cs="Times New Roman"/>
          <w:i/>
          <w:iCs/>
          <w:sz w:val="24"/>
          <w:szCs w:val="24"/>
        </w:rPr>
        <w:t>Health Sector Transformation Plan II (HSTP-II)</w:t>
      </w:r>
      <w:r w:rsidRPr="00A909E6">
        <w:rPr>
          <w:rFonts w:ascii="Rockwell" w:eastAsia="Times New Roman" w:hAnsi="Rockwell" w:cs="Times New Roman"/>
          <w:sz w:val="24"/>
          <w:szCs w:val="24"/>
        </w:rPr>
        <w:t>.</w:t>
      </w:r>
    </w:p>
    <w:p w14:paraId="58619961"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Gavi, the Vaccine Alliance. (2020). </w:t>
      </w:r>
      <w:r w:rsidRPr="00A909E6">
        <w:rPr>
          <w:rFonts w:ascii="Rockwell" w:eastAsia="Times New Roman" w:hAnsi="Rockwell" w:cs="Times New Roman"/>
          <w:i/>
          <w:iCs/>
          <w:sz w:val="24"/>
          <w:szCs w:val="24"/>
        </w:rPr>
        <w:t>Cold Chain Equipment Optimization Platform: Supply Chain Strategy Documents</w:t>
      </w:r>
      <w:r w:rsidRPr="00A909E6">
        <w:rPr>
          <w:rFonts w:ascii="Rockwell" w:eastAsia="Times New Roman" w:hAnsi="Rockwell" w:cs="Times New Roman"/>
          <w:sz w:val="24"/>
          <w:szCs w:val="24"/>
        </w:rPr>
        <w:t>.</w:t>
      </w:r>
    </w:p>
    <w:p w14:paraId="33460677"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WHO &amp; PATH. (2016). </w:t>
      </w:r>
      <w:r w:rsidRPr="00A909E6">
        <w:rPr>
          <w:rFonts w:ascii="Rockwell" w:eastAsia="Times New Roman" w:hAnsi="Rockwell" w:cs="Times New Roman"/>
          <w:i/>
          <w:iCs/>
          <w:sz w:val="24"/>
          <w:szCs w:val="24"/>
        </w:rPr>
        <w:t>Supply Chain System Design for Public Health Programs: A Guide for Country Decision Makers</w:t>
      </w:r>
      <w:r w:rsidRPr="00A909E6">
        <w:rPr>
          <w:rFonts w:ascii="Rockwell" w:eastAsia="Times New Roman" w:hAnsi="Rockwell" w:cs="Times New Roman"/>
          <w:sz w:val="24"/>
          <w:szCs w:val="24"/>
        </w:rPr>
        <w:t>.</w:t>
      </w:r>
    </w:p>
    <w:p w14:paraId="2072D01C"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Deloitte. (2019). </w:t>
      </w:r>
      <w:r w:rsidRPr="00A909E6">
        <w:rPr>
          <w:rFonts w:ascii="Rockwell" w:eastAsia="Times New Roman" w:hAnsi="Rockwell" w:cs="Times New Roman"/>
          <w:i/>
          <w:iCs/>
          <w:sz w:val="24"/>
          <w:szCs w:val="24"/>
        </w:rPr>
        <w:t>Digital Supply Networks: Transform Your Supply Chain and Accelerate Value Creation</w:t>
      </w:r>
      <w:r w:rsidRPr="00A909E6">
        <w:rPr>
          <w:rFonts w:ascii="Rockwell" w:eastAsia="Times New Roman" w:hAnsi="Rockwell" w:cs="Times New Roman"/>
          <w:sz w:val="24"/>
          <w:szCs w:val="24"/>
        </w:rPr>
        <w:t>. Deloitte Insights.</w:t>
      </w:r>
    </w:p>
    <w:p w14:paraId="6FA68395"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McKinsey &amp; Company. (2020). </w:t>
      </w:r>
      <w:r w:rsidRPr="00A909E6">
        <w:rPr>
          <w:rFonts w:ascii="Rockwell" w:eastAsia="Times New Roman" w:hAnsi="Rockwell" w:cs="Times New Roman"/>
          <w:i/>
          <w:iCs/>
          <w:sz w:val="24"/>
          <w:szCs w:val="24"/>
        </w:rPr>
        <w:t>COVID-19: Implications for the Healthcare Supply Chain</w:t>
      </w:r>
      <w:r w:rsidRPr="00A909E6">
        <w:rPr>
          <w:rFonts w:ascii="Rockwell" w:eastAsia="Times New Roman" w:hAnsi="Rockwell" w:cs="Times New Roman"/>
          <w:sz w:val="24"/>
          <w:szCs w:val="24"/>
        </w:rPr>
        <w:t>. McKinsey Insights.</w:t>
      </w:r>
    </w:p>
    <w:p w14:paraId="6212DAEC" w14:textId="77777777" w:rsidR="00A909E6" w:rsidRPr="00A909E6" w:rsidRDefault="00A909E6" w:rsidP="00A909E6">
      <w:pPr>
        <w:numPr>
          <w:ilvl w:val="0"/>
          <w:numId w:val="13"/>
        </w:numPr>
        <w:spacing w:before="100" w:beforeAutospacing="1" w:after="100" w:afterAutospacing="1" w:line="240" w:lineRule="auto"/>
        <w:rPr>
          <w:rFonts w:ascii="Rockwell" w:eastAsia="Times New Roman" w:hAnsi="Rockwell" w:cs="Times New Roman"/>
          <w:sz w:val="24"/>
          <w:szCs w:val="24"/>
        </w:rPr>
      </w:pPr>
      <w:r w:rsidRPr="00A909E6">
        <w:rPr>
          <w:rFonts w:ascii="Rockwell" w:eastAsia="Times New Roman" w:hAnsi="Rockwell" w:cs="Times New Roman"/>
          <w:sz w:val="24"/>
          <w:szCs w:val="24"/>
        </w:rPr>
        <w:t xml:space="preserve">Lydon, P., et al. (2017). Impact of Vaccine Stockouts on Immunization Coverage: Evidence from WHO and UNICEF Joint Reporting Form. </w:t>
      </w:r>
      <w:r w:rsidRPr="00A909E6">
        <w:rPr>
          <w:rFonts w:ascii="Rockwell" w:eastAsia="Times New Roman" w:hAnsi="Rockwell" w:cs="Times New Roman"/>
          <w:i/>
          <w:iCs/>
          <w:sz w:val="24"/>
          <w:szCs w:val="24"/>
        </w:rPr>
        <w:t>Vaccine</w:t>
      </w:r>
      <w:r w:rsidRPr="00A909E6">
        <w:rPr>
          <w:rFonts w:ascii="Rockwell" w:eastAsia="Times New Roman" w:hAnsi="Rockwell" w:cs="Times New Roman"/>
          <w:sz w:val="24"/>
          <w:szCs w:val="24"/>
        </w:rPr>
        <w:t>, 35(30), 3533–3539.</w:t>
      </w:r>
    </w:p>
    <w:p w14:paraId="086569E0" w14:textId="77777777" w:rsidR="00A909E6" w:rsidRPr="00A909E6" w:rsidRDefault="00D979DA" w:rsidP="00A909E6">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pict w14:anchorId="13666F7B">
          <v:rect id="_x0000_i1040" style="width:0;height:1.5pt" o:hralign="center" o:hrstd="t" o:hr="t" fillcolor="#a0a0a0" stroked="f"/>
        </w:pict>
      </w:r>
    </w:p>
    <w:p w14:paraId="359B7D8F" w14:textId="1C75B28A" w:rsidR="00A909E6" w:rsidRPr="00A909E6" w:rsidRDefault="00A909E6" w:rsidP="00A909E6">
      <w:pPr>
        <w:spacing w:before="100" w:beforeAutospacing="1" w:after="100" w:afterAutospacing="1" w:line="240" w:lineRule="auto"/>
        <w:rPr>
          <w:rFonts w:ascii="Rockwell" w:eastAsia="Times New Roman" w:hAnsi="Rockwell" w:cs="Times New Roman"/>
          <w:sz w:val="24"/>
          <w:szCs w:val="24"/>
        </w:rPr>
      </w:pPr>
    </w:p>
    <w:p w14:paraId="0075AAE9" w14:textId="77777777" w:rsidR="00437144" w:rsidRPr="00080FC9" w:rsidRDefault="00437144" w:rsidP="00A909E6">
      <w:pPr>
        <w:spacing w:before="100" w:beforeAutospacing="1" w:after="100" w:afterAutospacing="1" w:line="240" w:lineRule="auto"/>
        <w:outlineLvl w:val="2"/>
        <w:rPr>
          <w:rFonts w:ascii="Rockwell" w:hAnsi="Rockwell"/>
        </w:rPr>
      </w:pPr>
    </w:p>
    <w:sectPr w:rsidR="00437144" w:rsidRPr="00080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7435"/>
    <w:multiLevelType w:val="multilevel"/>
    <w:tmpl w:val="CCB4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210C"/>
    <w:multiLevelType w:val="multilevel"/>
    <w:tmpl w:val="F2D8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32E46"/>
    <w:multiLevelType w:val="multilevel"/>
    <w:tmpl w:val="0102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43246"/>
    <w:multiLevelType w:val="multilevel"/>
    <w:tmpl w:val="A9F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D5A34"/>
    <w:multiLevelType w:val="multilevel"/>
    <w:tmpl w:val="84CA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05BF1"/>
    <w:multiLevelType w:val="multilevel"/>
    <w:tmpl w:val="F5C4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06370"/>
    <w:multiLevelType w:val="multilevel"/>
    <w:tmpl w:val="FEF4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A818A0"/>
    <w:multiLevelType w:val="multilevel"/>
    <w:tmpl w:val="BCE8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F56C3"/>
    <w:multiLevelType w:val="multilevel"/>
    <w:tmpl w:val="8A5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C2ECF"/>
    <w:multiLevelType w:val="multilevel"/>
    <w:tmpl w:val="CC6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E7D0B"/>
    <w:multiLevelType w:val="multilevel"/>
    <w:tmpl w:val="DB14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527F68"/>
    <w:multiLevelType w:val="multilevel"/>
    <w:tmpl w:val="FEB0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640F81"/>
    <w:multiLevelType w:val="multilevel"/>
    <w:tmpl w:val="03F0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3"/>
  </w:num>
  <w:num w:numId="3">
    <w:abstractNumId w:val="2"/>
  </w:num>
  <w:num w:numId="4">
    <w:abstractNumId w:val="9"/>
  </w:num>
  <w:num w:numId="5">
    <w:abstractNumId w:val="8"/>
  </w:num>
  <w:num w:numId="6">
    <w:abstractNumId w:val="7"/>
  </w:num>
  <w:num w:numId="7">
    <w:abstractNumId w:val="6"/>
  </w:num>
  <w:num w:numId="8">
    <w:abstractNumId w:val="12"/>
  </w:num>
  <w:num w:numId="9">
    <w:abstractNumId w:val="0"/>
  </w:num>
  <w:num w:numId="10">
    <w:abstractNumId w:val="5"/>
  </w:num>
  <w:num w:numId="11">
    <w:abstractNumId w:val="4"/>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168"/>
    <w:rsid w:val="0007588E"/>
    <w:rsid w:val="00080FC9"/>
    <w:rsid w:val="002C7217"/>
    <w:rsid w:val="00437144"/>
    <w:rsid w:val="005F6168"/>
    <w:rsid w:val="00723DD8"/>
    <w:rsid w:val="00A47FB3"/>
    <w:rsid w:val="00A76D79"/>
    <w:rsid w:val="00A909E6"/>
    <w:rsid w:val="00BB6478"/>
    <w:rsid w:val="00CF2962"/>
    <w:rsid w:val="00D979DA"/>
    <w:rsid w:val="00E71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7A1D"/>
  <w15:chartTrackingRefBased/>
  <w15:docId w15:val="{7F76F29C-219A-44B4-89DB-E9E96BA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F61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61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F61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6168"/>
    <w:rPr>
      <w:b/>
      <w:bCs/>
    </w:rPr>
  </w:style>
  <w:style w:type="character" w:styleId="Emphasis">
    <w:name w:val="Emphasis"/>
    <w:basedOn w:val="DefaultParagraphFont"/>
    <w:uiPriority w:val="20"/>
    <w:qFormat/>
    <w:rsid w:val="00A909E6"/>
    <w:rPr>
      <w:i/>
      <w:iCs/>
    </w:rPr>
  </w:style>
  <w:style w:type="table" w:styleId="TableGrid">
    <w:name w:val="Table Grid"/>
    <w:basedOn w:val="TableNormal"/>
    <w:uiPriority w:val="39"/>
    <w:rsid w:val="00A90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32469">
      <w:bodyDiv w:val="1"/>
      <w:marLeft w:val="0"/>
      <w:marRight w:val="0"/>
      <w:marTop w:val="0"/>
      <w:marBottom w:val="0"/>
      <w:divBdr>
        <w:top w:val="none" w:sz="0" w:space="0" w:color="auto"/>
        <w:left w:val="none" w:sz="0" w:space="0" w:color="auto"/>
        <w:bottom w:val="none" w:sz="0" w:space="0" w:color="auto"/>
        <w:right w:val="none" w:sz="0" w:space="0" w:color="auto"/>
      </w:divBdr>
    </w:div>
    <w:div w:id="129790822">
      <w:bodyDiv w:val="1"/>
      <w:marLeft w:val="0"/>
      <w:marRight w:val="0"/>
      <w:marTop w:val="0"/>
      <w:marBottom w:val="0"/>
      <w:divBdr>
        <w:top w:val="none" w:sz="0" w:space="0" w:color="auto"/>
        <w:left w:val="none" w:sz="0" w:space="0" w:color="auto"/>
        <w:bottom w:val="none" w:sz="0" w:space="0" w:color="auto"/>
        <w:right w:val="none" w:sz="0" w:space="0" w:color="auto"/>
      </w:divBdr>
      <w:divsChild>
        <w:div w:id="1965579316">
          <w:marLeft w:val="0"/>
          <w:marRight w:val="0"/>
          <w:marTop w:val="0"/>
          <w:marBottom w:val="0"/>
          <w:divBdr>
            <w:top w:val="none" w:sz="0" w:space="0" w:color="auto"/>
            <w:left w:val="none" w:sz="0" w:space="0" w:color="auto"/>
            <w:bottom w:val="none" w:sz="0" w:space="0" w:color="auto"/>
            <w:right w:val="none" w:sz="0" w:space="0" w:color="auto"/>
          </w:divBdr>
        </w:div>
        <w:div w:id="1464041195">
          <w:marLeft w:val="0"/>
          <w:marRight w:val="0"/>
          <w:marTop w:val="0"/>
          <w:marBottom w:val="0"/>
          <w:divBdr>
            <w:top w:val="none" w:sz="0" w:space="0" w:color="auto"/>
            <w:left w:val="none" w:sz="0" w:space="0" w:color="auto"/>
            <w:bottom w:val="none" w:sz="0" w:space="0" w:color="auto"/>
            <w:right w:val="none" w:sz="0" w:space="0" w:color="auto"/>
          </w:divBdr>
        </w:div>
        <w:div w:id="691078885">
          <w:marLeft w:val="0"/>
          <w:marRight w:val="0"/>
          <w:marTop w:val="0"/>
          <w:marBottom w:val="0"/>
          <w:divBdr>
            <w:top w:val="none" w:sz="0" w:space="0" w:color="auto"/>
            <w:left w:val="none" w:sz="0" w:space="0" w:color="auto"/>
            <w:bottom w:val="none" w:sz="0" w:space="0" w:color="auto"/>
            <w:right w:val="none" w:sz="0" w:space="0" w:color="auto"/>
          </w:divBdr>
        </w:div>
        <w:div w:id="2136409957">
          <w:marLeft w:val="0"/>
          <w:marRight w:val="0"/>
          <w:marTop w:val="0"/>
          <w:marBottom w:val="0"/>
          <w:divBdr>
            <w:top w:val="none" w:sz="0" w:space="0" w:color="auto"/>
            <w:left w:val="none" w:sz="0" w:space="0" w:color="auto"/>
            <w:bottom w:val="none" w:sz="0" w:space="0" w:color="auto"/>
            <w:right w:val="none" w:sz="0" w:space="0" w:color="auto"/>
          </w:divBdr>
        </w:div>
        <w:div w:id="537819395">
          <w:marLeft w:val="0"/>
          <w:marRight w:val="0"/>
          <w:marTop w:val="0"/>
          <w:marBottom w:val="0"/>
          <w:divBdr>
            <w:top w:val="none" w:sz="0" w:space="0" w:color="auto"/>
            <w:left w:val="none" w:sz="0" w:space="0" w:color="auto"/>
            <w:bottom w:val="none" w:sz="0" w:space="0" w:color="auto"/>
            <w:right w:val="none" w:sz="0" w:space="0" w:color="auto"/>
          </w:divBdr>
        </w:div>
        <w:div w:id="1472013093">
          <w:marLeft w:val="0"/>
          <w:marRight w:val="0"/>
          <w:marTop w:val="0"/>
          <w:marBottom w:val="0"/>
          <w:divBdr>
            <w:top w:val="none" w:sz="0" w:space="0" w:color="auto"/>
            <w:left w:val="none" w:sz="0" w:space="0" w:color="auto"/>
            <w:bottom w:val="none" w:sz="0" w:space="0" w:color="auto"/>
            <w:right w:val="none" w:sz="0" w:space="0" w:color="auto"/>
          </w:divBdr>
        </w:div>
        <w:div w:id="1373994931">
          <w:marLeft w:val="0"/>
          <w:marRight w:val="0"/>
          <w:marTop w:val="0"/>
          <w:marBottom w:val="0"/>
          <w:divBdr>
            <w:top w:val="none" w:sz="0" w:space="0" w:color="auto"/>
            <w:left w:val="none" w:sz="0" w:space="0" w:color="auto"/>
            <w:bottom w:val="none" w:sz="0" w:space="0" w:color="auto"/>
            <w:right w:val="none" w:sz="0" w:space="0" w:color="auto"/>
          </w:divBdr>
        </w:div>
        <w:div w:id="343243564">
          <w:marLeft w:val="0"/>
          <w:marRight w:val="0"/>
          <w:marTop w:val="0"/>
          <w:marBottom w:val="0"/>
          <w:divBdr>
            <w:top w:val="none" w:sz="0" w:space="0" w:color="auto"/>
            <w:left w:val="none" w:sz="0" w:space="0" w:color="auto"/>
            <w:bottom w:val="none" w:sz="0" w:space="0" w:color="auto"/>
            <w:right w:val="none" w:sz="0" w:space="0" w:color="auto"/>
          </w:divBdr>
        </w:div>
        <w:div w:id="574824118">
          <w:marLeft w:val="0"/>
          <w:marRight w:val="0"/>
          <w:marTop w:val="0"/>
          <w:marBottom w:val="0"/>
          <w:divBdr>
            <w:top w:val="none" w:sz="0" w:space="0" w:color="auto"/>
            <w:left w:val="none" w:sz="0" w:space="0" w:color="auto"/>
            <w:bottom w:val="none" w:sz="0" w:space="0" w:color="auto"/>
            <w:right w:val="none" w:sz="0" w:space="0" w:color="auto"/>
          </w:divBdr>
        </w:div>
        <w:div w:id="282883989">
          <w:marLeft w:val="0"/>
          <w:marRight w:val="0"/>
          <w:marTop w:val="0"/>
          <w:marBottom w:val="0"/>
          <w:divBdr>
            <w:top w:val="none" w:sz="0" w:space="0" w:color="auto"/>
            <w:left w:val="none" w:sz="0" w:space="0" w:color="auto"/>
            <w:bottom w:val="none" w:sz="0" w:space="0" w:color="auto"/>
            <w:right w:val="none" w:sz="0" w:space="0" w:color="auto"/>
          </w:divBdr>
        </w:div>
        <w:div w:id="1280527518">
          <w:marLeft w:val="0"/>
          <w:marRight w:val="0"/>
          <w:marTop w:val="0"/>
          <w:marBottom w:val="0"/>
          <w:divBdr>
            <w:top w:val="none" w:sz="0" w:space="0" w:color="auto"/>
            <w:left w:val="none" w:sz="0" w:space="0" w:color="auto"/>
            <w:bottom w:val="none" w:sz="0" w:space="0" w:color="auto"/>
            <w:right w:val="none" w:sz="0" w:space="0" w:color="auto"/>
          </w:divBdr>
        </w:div>
        <w:div w:id="810175838">
          <w:marLeft w:val="0"/>
          <w:marRight w:val="0"/>
          <w:marTop w:val="0"/>
          <w:marBottom w:val="0"/>
          <w:divBdr>
            <w:top w:val="none" w:sz="0" w:space="0" w:color="auto"/>
            <w:left w:val="none" w:sz="0" w:space="0" w:color="auto"/>
            <w:bottom w:val="none" w:sz="0" w:space="0" w:color="auto"/>
            <w:right w:val="none" w:sz="0" w:space="0" w:color="auto"/>
          </w:divBdr>
        </w:div>
        <w:div w:id="1279294702">
          <w:marLeft w:val="0"/>
          <w:marRight w:val="0"/>
          <w:marTop w:val="0"/>
          <w:marBottom w:val="0"/>
          <w:divBdr>
            <w:top w:val="none" w:sz="0" w:space="0" w:color="auto"/>
            <w:left w:val="none" w:sz="0" w:space="0" w:color="auto"/>
            <w:bottom w:val="none" w:sz="0" w:space="0" w:color="auto"/>
            <w:right w:val="none" w:sz="0" w:space="0" w:color="auto"/>
          </w:divBdr>
        </w:div>
        <w:div w:id="1741830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1279</Words>
  <Characters>7293</Characters>
  <Application>Microsoft Office Word</Application>
  <DocSecurity>0</DocSecurity>
  <Lines>60</Lines>
  <Paragraphs>17</Paragraphs>
  <ScaleCrop>false</ScaleCrop>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cp:revision>
  <dcterms:created xsi:type="dcterms:W3CDTF">2025-07-10T17:44:00Z</dcterms:created>
  <dcterms:modified xsi:type="dcterms:W3CDTF">2025-07-10T18:49:00Z</dcterms:modified>
</cp:coreProperties>
</file>