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84DC3" w14:textId="3D6DFEE7" w:rsidR="00F068B3" w:rsidRPr="00F068B3" w:rsidRDefault="003D1636" w:rsidP="003D1636">
      <w:pPr>
        <w:spacing w:after="0" w:line="240" w:lineRule="auto"/>
        <w:jc w:val="center"/>
        <w:rPr>
          <w:rFonts w:ascii="Rockwell" w:eastAsia="Times New Roman" w:hAnsi="Rockwell" w:cs="Times New Roman"/>
          <w:sz w:val="24"/>
          <w:szCs w:val="24"/>
        </w:rPr>
      </w:pPr>
      <w:r>
        <w:rPr>
          <w:rFonts w:ascii="Rockwell" w:eastAsia="Times New Roman" w:hAnsi="Rockwell" w:cs="Times New Roman"/>
          <w:noProof/>
          <w:sz w:val="24"/>
          <w:szCs w:val="24"/>
        </w:rPr>
        <w:drawing>
          <wp:inline distT="0" distB="0" distL="0" distR="0" wp14:anchorId="3FD8CB2B" wp14:editId="36EA94AF">
            <wp:extent cx="1819529" cy="1695687"/>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819529" cy="1695687"/>
                    </a:xfrm>
                    <a:prstGeom prst="rect">
                      <a:avLst/>
                    </a:prstGeom>
                  </pic:spPr>
                </pic:pic>
              </a:graphicData>
            </a:graphic>
          </wp:inline>
        </w:drawing>
      </w:r>
      <w:r w:rsidR="00F068B3" w:rsidRPr="00F068B3">
        <w:rPr>
          <w:rFonts w:ascii="Rockwell" w:eastAsia="Times New Roman" w:hAnsi="Rockwell" w:cs="Times New Roman"/>
          <w:sz w:val="24"/>
          <w:szCs w:val="24"/>
        </w:rPr>
        <w:pict w14:anchorId="3F2EA906">
          <v:rect id="_x0000_i1025" style="width:0;height:1.5pt" o:hralign="center" o:hrstd="t" o:hr="t" fillcolor="#a0a0a0" stroked="f"/>
        </w:pict>
      </w:r>
    </w:p>
    <w:p w14:paraId="743BEB75" w14:textId="77777777" w:rsidR="00F068B3" w:rsidRPr="00F068B3" w:rsidRDefault="00F068B3" w:rsidP="00F35D11">
      <w:pPr>
        <w:spacing w:before="100" w:beforeAutospacing="1" w:after="100" w:afterAutospacing="1" w:line="240" w:lineRule="auto"/>
        <w:jc w:val="center"/>
        <w:outlineLvl w:val="0"/>
        <w:rPr>
          <w:rFonts w:ascii="Rockwell" w:eastAsia="Times New Roman" w:hAnsi="Rockwell" w:cs="Times New Roman"/>
          <w:b/>
          <w:bCs/>
          <w:kern w:val="36"/>
          <w:sz w:val="48"/>
          <w:szCs w:val="48"/>
        </w:rPr>
      </w:pPr>
      <w:bookmarkStart w:id="0" w:name="_Toc203069751"/>
      <w:r w:rsidRPr="00F068B3">
        <w:rPr>
          <w:rFonts w:ascii="Rockwell" w:eastAsia="Times New Roman" w:hAnsi="Rockwell" w:cs="Times New Roman"/>
          <w:b/>
          <w:bCs/>
          <w:kern w:val="36"/>
          <w:sz w:val="48"/>
          <w:szCs w:val="48"/>
        </w:rPr>
        <w:t>DEDER GENERAL HOSPITAL</w:t>
      </w:r>
      <w:bookmarkEnd w:id="0"/>
    </w:p>
    <w:p w14:paraId="39C4DB7E" w14:textId="77777777" w:rsidR="00F068B3" w:rsidRPr="00F068B3" w:rsidRDefault="00F068B3" w:rsidP="00F35D11">
      <w:pPr>
        <w:spacing w:before="100" w:beforeAutospacing="1" w:after="100" w:afterAutospacing="1" w:line="240" w:lineRule="auto"/>
        <w:jc w:val="center"/>
        <w:outlineLvl w:val="1"/>
        <w:rPr>
          <w:rFonts w:ascii="Rockwell" w:eastAsia="Times New Roman" w:hAnsi="Rockwell" w:cs="Times New Roman"/>
          <w:b/>
          <w:bCs/>
          <w:sz w:val="36"/>
          <w:szCs w:val="36"/>
        </w:rPr>
      </w:pPr>
      <w:bookmarkStart w:id="1" w:name="_Toc203069752"/>
      <w:r w:rsidRPr="00F068B3">
        <w:rPr>
          <w:rFonts w:ascii="Rockwell" w:eastAsia="Times New Roman" w:hAnsi="Rockwell" w:cs="Times New Roman"/>
          <w:b/>
          <w:bCs/>
          <w:sz w:val="36"/>
          <w:szCs w:val="36"/>
        </w:rPr>
        <w:t>SUPPLY CHAIN INEFFICIENCY ASSESSMENT REPORT</w:t>
      </w:r>
      <w:bookmarkEnd w:id="1"/>
    </w:p>
    <w:p w14:paraId="50255181" w14:textId="77777777" w:rsidR="00F068B3" w:rsidRPr="00F068B3" w:rsidRDefault="00F068B3" w:rsidP="00F068B3">
      <w:pPr>
        <w:spacing w:before="100" w:beforeAutospacing="1" w:after="100" w:afterAutospacing="1" w:line="240" w:lineRule="auto"/>
        <w:outlineLvl w:val="2"/>
        <w:rPr>
          <w:rFonts w:ascii="Rockwell" w:eastAsia="Times New Roman" w:hAnsi="Rockwell" w:cs="Times New Roman"/>
          <w:b/>
          <w:bCs/>
          <w:sz w:val="27"/>
          <w:szCs w:val="27"/>
        </w:rPr>
      </w:pPr>
      <w:bookmarkStart w:id="2" w:name="_Toc203069753"/>
      <w:r w:rsidRPr="00F068B3">
        <w:rPr>
          <w:rFonts w:ascii="Rockwell" w:eastAsia="Times New Roman" w:hAnsi="Rockwell" w:cs="Times New Roman"/>
          <w:b/>
          <w:bCs/>
          <w:sz w:val="27"/>
          <w:szCs w:val="27"/>
        </w:rPr>
        <w:t>QUARTER 4, 2017 EC</w:t>
      </w:r>
      <w:bookmarkEnd w:id="2"/>
    </w:p>
    <w:p w14:paraId="42B4AECF" w14:textId="7440A282" w:rsidR="00F068B3" w:rsidRDefault="00F068B3" w:rsidP="00F068B3">
      <w:pPr>
        <w:spacing w:before="100" w:beforeAutospacing="1" w:after="100" w:afterAutospacing="1" w:line="240" w:lineRule="auto"/>
        <w:outlineLvl w:val="2"/>
        <w:rPr>
          <w:rFonts w:ascii="Rockwell" w:eastAsia="Times New Roman" w:hAnsi="Rockwell" w:cs="Times New Roman"/>
          <w:b/>
          <w:bCs/>
          <w:sz w:val="27"/>
          <w:szCs w:val="27"/>
        </w:rPr>
      </w:pPr>
      <w:bookmarkStart w:id="3" w:name="_Toc203069754"/>
      <w:r w:rsidRPr="00F068B3">
        <w:rPr>
          <w:rFonts w:ascii="Rockwell" w:eastAsia="Times New Roman" w:hAnsi="Rockwell" w:cs="Times New Roman"/>
          <w:b/>
          <w:bCs/>
          <w:sz w:val="27"/>
          <w:szCs w:val="27"/>
        </w:rPr>
        <w:t>By: DTC Committee</w:t>
      </w:r>
      <w:bookmarkEnd w:id="3"/>
    </w:p>
    <w:p w14:paraId="6EA752BB" w14:textId="241DB35E" w:rsidR="00F35D11" w:rsidRDefault="00F35D11" w:rsidP="00F068B3">
      <w:pPr>
        <w:spacing w:before="100" w:beforeAutospacing="1" w:after="100" w:afterAutospacing="1" w:line="240" w:lineRule="auto"/>
        <w:outlineLvl w:val="2"/>
        <w:rPr>
          <w:rFonts w:ascii="Rockwell" w:eastAsia="Times New Roman" w:hAnsi="Rockwell" w:cs="Times New Roman"/>
          <w:b/>
          <w:bCs/>
          <w:sz w:val="27"/>
          <w:szCs w:val="27"/>
        </w:rPr>
      </w:pPr>
    </w:p>
    <w:p w14:paraId="2276D220" w14:textId="4367D936" w:rsidR="00F35D11" w:rsidRDefault="00F35D11" w:rsidP="00F068B3">
      <w:pPr>
        <w:spacing w:before="100" w:beforeAutospacing="1" w:after="100" w:afterAutospacing="1" w:line="240" w:lineRule="auto"/>
        <w:outlineLvl w:val="2"/>
        <w:rPr>
          <w:rFonts w:ascii="Rockwell" w:eastAsia="Times New Roman" w:hAnsi="Rockwell" w:cs="Times New Roman"/>
          <w:b/>
          <w:bCs/>
          <w:sz w:val="27"/>
          <w:szCs w:val="27"/>
        </w:rPr>
      </w:pPr>
    </w:p>
    <w:p w14:paraId="0204C051" w14:textId="0B5292C9" w:rsidR="00F35D11" w:rsidRDefault="00F35D11" w:rsidP="00F068B3">
      <w:pPr>
        <w:spacing w:before="100" w:beforeAutospacing="1" w:after="100" w:afterAutospacing="1" w:line="240" w:lineRule="auto"/>
        <w:outlineLvl w:val="2"/>
        <w:rPr>
          <w:rFonts w:ascii="Rockwell" w:eastAsia="Times New Roman" w:hAnsi="Rockwell" w:cs="Times New Roman"/>
          <w:b/>
          <w:bCs/>
          <w:sz w:val="27"/>
          <w:szCs w:val="27"/>
        </w:rPr>
      </w:pPr>
    </w:p>
    <w:p w14:paraId="79D5D4B4" w14:textId="1B4DEA41" w:rsidR="00F35D11" w:rsidRDefault="00F35D11" w:rsidP="00F068B3">
      <w:pPr>
        <w:spacing w:before="100" w:beforeAutospacing="1" w:after="100" w:afterAutospacing="1" w:line="240" w:lineRule="auto"/>
        <w:outlineLvl w:val="2"/>
        <w:rPr>
          <w:rFonts w:ascii="Rockwell" w:eastAsia="Times New Roman" w:hAnsi="Rockwell" w:cs="Times New Roman"/>
          <w:b/>
          <w:bCs/>
          <w:sz w:val="27"/>
          <w:szCs w:val="27"/>
        </w:rPr>
      </w:pPr>
    </w:p>
    <w:p w14:paraId="5887EB4D" w14:textId="715AD744" w:rsidR="00F35D11" w:rsidRDefault="00F35D11" w:rsidP="00F068B3">
      <w:pPr>
        <w:spacing w:before="100" w:beforeAutospacing="1" w:after="100" w:afterAutospacing="1" w:line="240" w:lineRule="auto"/>
        <w:outlineLvl w:val="2"/>
        <w:rPr>
          <w:rFonts w:ascii="Rockwell" w:eastAsia="Times New Roman" w:hAnsi="Rockwell" w:cs="Times New Roman"/>
          <w:b/>
          <w:bCs/>
          <w:sz w:val="27"/>
          <w:szCs w:val="27"/>
        </w:rPr>
      </w:pPr>
    </w:p>
    <w:p w14:paraId="450133EE" w14:textId="5A31FE69" w:rsidR="00F35D11" w:rsidRDefault="00F35D11" w:rsidP="00F068B3">
      <w:pPr>
        <w:spacing w:before="100" w:beforeAutospacing="1" w:after="100" w:afterAutospacing="1" w:line="240" w:lineRule="auto"/>
        <w:outlineLvl w:val="2"/>
        <w:rPr>
          <w:rFonts w:ascii="Rockwell" w:eastAsia="Times New Roman" w:hAnsi="Rockwell" w:cs="Times New Roman"/>
          <w:b/>
          <w:bCs/>
          <w:sz w:val="27"/>
          <w:szCs w:val="27"/>
        </w:rPr>
      </w:pPr>
    </w:p>
    <w:p w14:paraId="0529A5F1" w14:textId="77777777" w:rsidR="00F35D11" w:rsidRPr="00F068B3" w:rsidRDefault="00F35D11" w:rsidP="00F068B3">
      <w:pPr>
        <w:spacing w:before="100" w:beforeAutospacing="1" w:after="100" w:afterAutospacing="1" w:line="240" w:lineRule="auto"/>
        <w:outlineLvl w:val="2"/>
        <w:rPr>
          <w:rFonts w:ascii="Rockwell" w:eastAsia="Times New Roman" w:hAnsi="Rockwell" w:cs="Times New Roman"/>
          <w:b/>
          <w:bCs/>
          <w:sz w:val="27"/>
          <w:szCs w:val="27"/>
        </w:rPr>
      </w:pPr>
    </w:p>
    <w:p w14:paraId="28A31916" w14:textId="3CED3CC2" w:rsidR="00F068B3" w:rsidRPr="00F068B3" w:rsidRDefault="00F35D11" w:rsidP="00F35D11">
      <w:pPr>
        <w:spacing w:before="100" w:beforeAutospacing="1" w:after="100" w:afterAutospacing="1" w:line="240" w:lineRule="auto"/>
        <w:jc w:val="right"/>
        <w:rPr>
          <w:rFonts w:ascii="Rockwell" w:eastAsia="Times New Roman" w:hAnsi="Rockwell" w:cs="Times New Roman"/>
          <w:b/>
          <w:bCs/>
          <w:sz w:val="28"/>
          <w:szCs w:val="28"/>
        </w:rPr>
      </w:pPr>
      <w:r w:rsidRPr="00F35D11">
        <w:rPr>
          <w:rFonts w:ascii="Rockwell" w:eastAsia="Times New Roman" w:hAnsi="Rockwell" w:cs="Times New Roman"/>
          <w:b/>
          <w:bCs/>
          <w:sz w:val="28"/>
          <w:szCs w:val="28"/>
        </w:rPr>
        <w:t>SENE, 2017 EC</w:t>
      </w:r>
      <w:r w:rsidR="00F068B3" w:rsidRPr="00F068B3">
        <w:rPr>
          <w:rFonts w:ascii="Rockwell" w:eastAsia="Times New Roman" w:hAnsi="Rockwell" w:cs="Times New Roman"/>
          <w:b/>
          <w:bCs/>
          <w:sz w:val="28"/>
          <w:szCs w:val="28"/>
        </w:rPr>
        <w:br/>
      </w:r>
      <w:proofErr w:type="spellStart"/>
      <w:r w:rsidR="00F068B3" w:rsidRPr="00F068B3">
        <w:rPr>
          <w:rFonts w:ascii="Rockwell" w:eastAsia="Times New Roman" w:hAnsi="Rockwell" w:cs="Times New Roman"/>
          <w:b/>
          <w:bCs/>
          <w:sz w:val="28"/>
          <w:szCs w:val="28"/>
        </w:rPr>
        <w:t>Deder</w:t>
      </w:r>
      <w:proofErr w:type="spellEnd"/>
      <w:r w:rsidR="00F068B3" w:rsidRPr="00F068B3">
        <w:rPr>
          <w:rFonts w:ascii="Rockwell" w:eastAsia="Times New Roman" w:hAnsi="Rockwell" w:cs="Times New Roman"/>
          <w:b/>
          <w:bCs/>
          <w:sz w:val="28"/>
          <w:szCs w:val="28"/>
        </w:rPr>
        <w:t>, Ethiopia</w:t>
      </w:r>
    </w:p>
    <w:p w14:paraId="788CC1CA" w14:textId="77777777" w:rsidR="00F35D11" w:rsidRDefault="00F35D11" w:rsidP="00F068B3">
      <w:pPr>
        <w:spacing w:after="0" w:line="240" w:lineRule="auto"/>
        <w:rPr>
          <w:rFonts w:ascii="Rockwell" w:eastAsia="Times New Roman" w:hAnsi="Rockwell" w:cs="Times New Roman"/>
          <w:sz w:val="24"/>
          <w:szCs w:val="24"/>
        </w:rPr>
      </w:pPr>
    </w:p>
    <w:p w14:paraId="74EEF3B0" w14:textId="77777777" w:rsidR="00F35D11" w:rsidRDefault="00F35D11" w:rsidP="00F068B3">
      <w:pPr>
        <w:spacing w:after="0" w:line="240" w:lineRule="auto"/>
        <w:rPr>
          <w:rFonts w:ascii="Rockwell" w:eastAsia="Times New Roman" w:hAnsi="Rockwell" w:cs="Times New Roman"/>
          <w:sz w:val="24"/>
          <w:szCs w:val="24"/>
        </w:rPr>
      </w:pPr>
    </w:p>
    <w:p w14:paraId="14062B53" w14:textId="4AF35ACB"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7C1728FD">
          <v:rect id="_x0000_i1026" style="width:0;height:1.5pt" o:hralign="center" o:hrstd="t" o:hr="t" fillcolor="#a0a0a0" stroked="f"/>
        </w:pict>
      </w:r>
    </w:p>
    <w:p w14:paraId="52DB2D7B" w14:textId="77777777" w:rsidR="00F35D11" w:rsidRDefault="00F35D11" w:rsidP="00F068B3">
      <w:pPr>
        <w:spacing w:before="100" w:beforeAutospacing="1" w:after="100" w:afterAutospacing="1" w:line="240" w:lineRule="auto"/>
        <w:outlineLvl w:val="1"/>
        <w:rPr>
          <w:rFonts w:ascii="Rockwell" w:eastAsia="Times New Roman" w:hAnsi="Rockwell" w:cs="Times New Roman"/>
          <w:b/>
          <w:bCs/>
          <w:sz w:val="36"/>
          <w:szCs w:val="36"/>
        </w:rPr>
      </w:pPr>
    </w:p>
    <w:p w14:paraId="4BB8C9D2" w14:textId="0E078DE4" w:rsid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4" w:name="_Toc203069755"/>
      <w:r w:rsidRPr="00F068B3">
        <w:rPr>
          <w:rFonts w:ascii="Rockwell" w:eastAsia="Times New Roman" w:hAnsi="Rockwell" w:cs="Times New Roman"/>
          <w:b/>
          <w:bCs/>
          <w:sz w:val="36"/>
          <w:szCs w:val="36"/>
        </w:rPr>
        <w:t>Table of Contents</w:t>
      </w:r>
      <w:bookmarkEnd w:id="4"/>
    </w:p>
    <w:p w14:paraId="228CD5A1" w14:textId="77777777" w:rsidR="00F35D11" w:rsidRPr="00F068B3" w:rsidRDefault="00F35D11" w:rsidP="00F068B3">
      <w:pPr>
        <w:spacing w:before="100" w:beforeAutospacing="1" w:after="100" w:afterAutospacing="1" w:line="240" w:lineRule="auto"/>
        <w:outlineLvl w:val="1"/>
        <w:rPr>
          <w:rFonts w:ascii="Rockwell" w:eastAsia="Times New Roman" w:hAnsi="Rockwell" w:cs="Times New Roman"/>
          <w:b/>
          <w:bCs/>
          <w:sz w:val="36"/>
          <w:szCs w:val="36"/>
        </w:rPr>
      </w:pPr>
    </w:p>
    <w:sdt>
      <w:sdtPr>
        <w:id w:val="-55732567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177F81C" w14:textId="6E31C01E" w:rsidR="00F35D11" w:rsidRDefault="00F35D11">
          <w:pPr>
            <w:pStyle w:val="TOCHeading"/>
          </w:pPr>
          <w:r>
            <w:t>Contents</w:t>
          </w:r>
        </w:p>
        <w:p w14:paraId="5DD7E560" w14:textId="268E8E15" w:rsidR="00F35D11" w:rsidRDefault="00F35D11" w:rsidP="00F35D11">
          <w:pPr>
            <w:pStyle w:val="TOC1"/>
            <w:tabs>
              <w:tab w:val="right" w:leader="dot" w:pos="9350"/>
            </w:tabs>
            <w:rPr>
              <w:noProof/>
            </w:rPr>
          </w:pPr>
          <w:r>
            <w:fldChar w:fldCharType="begin"/>
          </w:r>
          <w:r>
            <w:instrText xml:space="preserve"> TOC \o "1-3" \h \z \u </w:instrText>
          </w:r>
          <w:r>
            <w:fldChar w:fldCharType="separate"/>
          </w:r>
        </w:p>
        <w:p w14:paraId="3E878372" w14:textId="5E730195" w:rsidR="00F35D11" w:rsidRDefault="00F35D11">
          <w:pPr>
            <w:pStyle w:val="TOC2"/>
            <w:tabs>
              <w:tab w:val="right" w:leader="dot" w:pos="9350"/>
            </w:tabs>
            <w:rPr>
              <w:noProof/>
            </w:rPr>
          </w:pPr>
          <w:hyperlink w:anchor="_Toc203069755" w:history="1">
            <w:r w:rsidRPr="00A870A7">
              <w:rPr>
                <w:rStyle w:val="Hyperlink"/>
                <w:rFonts w:ascii="Rockwell" w:eastAsia="Times New Roman" w:hAnsi="Rockwell" w:cs="Times New Roman"/>
                <w:b/>
                <w:bCs/>
                <w:noProof/>
              </w:rPr>
              <w:t>Table of Contents</w:t>
            </w:r>
            <w:r>
              <w:rPr>
                <w:noProof/>
                <w:webHidden/>
              </w:rPr>
              <w:tab/>
            </w:r>
            <w:r>
              <w:rPr>
                <w:noProof/>
                <w:webHidden/>
              </w:rPr>
              <w:fldChar w:fldCharType="begin"/>
            </w:r>
            <w:r>
              <w:rPr>
                <w:noProof/>
                <w:webHidden/>
              </w:rPr>
              <w:instrText xml:space="preserve"> PAGEREF _Toc203069755 \h </w:instrText>
            </w:r>
            <w:r>
              <w:rPr>
                <w:noProof/>
                <w:webHidden/>
              </w:rPr>
            </w:r>
            <w:r>
              <w:rPr>
                <w:noProof/>
                <w:webHidden/>
              </w:rPr>
              <w:fldChar w:fldCharType="separate"/>
            </w:r>
            <w:r w:rsidR="005A1D79">
              <w:rPr>
                <w:noProof/>
                <w:webHidden/>
              </w:rPr>
              <w:t>1</w:t>
            </w:r>
            <w:r>
              <w:rPr>
                <w:noProof/>
                <w:webHidden/>
              </w:rPr>
              <w:fldChar w:fldCharType="end"/>
            </w:r>
          </w:hyperlink>
        </w:p>
        <w:p w14:paraId="6FCA71A5" w14:textId="7FC41159" w:rsidR="00F35D11" w:rsidRDefault="00F35D11">
          <w:pPr>
            <w:pStyle w:val="TOC2"/>
            <w:tabs>
              <w:tab w:val="right" w:leader="dot" w:pos="9350"/>
            </w:tabs>
            <w:rPr>
              <w:noProof/>
            </w:rPr>
          </w:pPr>
          <w:hyperlink w:anchor="_Toc203069756" w:history="1">
            <w:r w:rsidRPr="00A870A7">
              <w:rPr>
                <w:rStyle w:val="Hyperlink"/>
                <w:rFonts w:ascii="Rockwell" w:eastAsia="Times New Roman" w:hAnsi="Rockwell" w:cs="Times New Roman"/>
                <w:b/>
                <w:bCs/>
                <w:noProof/>
              </w:rPr>
              <w:t>1. Executive Summary</w:t>
            </w:r>
            <w:r>
              <w:rPr>
                <w:noProof/>
                <w:webHidden/>
              </w:rPr>
              <w:tab/>
            </w:r>
            <w:r>
              <w:rPr>
                <w:noProof/>
                <w:webHidden/>
              </w:rPr>
              <w:fldChar w:fldCharType="begin"/>
            </w:r>
            <w:r>
              <w:rPr>
                <w:noProof/>
                <w:webHidden/>
              </w:rPr>
              <w:instrText xml:space="preserve"> PAGEREF _Toc203069756 \h </w:instrText>
            </w:r>
            <w:r>
              <w:rPr>
                <w:noProof/>
                <w:webHidden/>
              </w:rPr>
            </w:r>
            <w:r>
              <w:rPr>
                <w:noProof/>
                <w:webHidden/>
              </w:rPr>
              <w:fldChar w:fldCharType="separate"/>
            </w:r>
            <w:r w:rsidR="005A1D79">
              <w:rPr>
                <w:noProof/>
                <w:webHidden/>
              </w:rPr>
              <w:t>2</w:t>
            </w:r>
            <w:r>
              <w:rPr>
                <w:noProof/>
                <w:webHidden/>
              </w:rPr>
              <w:fldChar w:fldCharType="end"/>
            </w:r>
          </w:hyperlink>
        </w:p>
        <w:p w14:paraId="4476C0DA" w14:textId="1B1D85BA" w:rsidR="00F35D11" w:rsidRDefault="00F35D11">
          <w:pPr>
            <w:pStyle w:val="TOC2"/>
            <w:tabs>
              <w:tab w:val="right" w:leader="dot" w:pos="9350"/>
            </w:tabs>
            <w:rPr>
              <w:noProof/>
            </w:rPr>
          </w:pPr>
          <w:hyperlink w:anchor="_Toc203069757" w:history="1">
            <w:r w:rsidRPr="00A870A7">
              <w:rPr>
                <w:rStyle w:val="Hyperlink"/>
                <w:rFonts w:ascii="Rockwell" w:eastAsia="Times New Roman" w:hAnsi="Rockwell" w:cs="Times New Roman"/>
                <w:b/>
                <w:bCs/>
                <w:noProof/>
              </w:rPr>
              <w:t>2. Introduction</w:t>
            </w:r>
            <w:r>
              <w:rPr>
                <w:noProof/>
                <w:webHidden/>
              </w:rPr>
              <w:tab/>
            </w:r>
            <w:r>
              <w:rPr>
                <w:noProof/>
                <w:webHidden/>
              </w:rPr>
              <w:fldChar w:fldCharType="begin"/>
            </w:r>
            <w:r>
              <w:rPr>
                <w:noProof/>
                <w:webHidden/>
              </w:rPr>
              <w:instrText xml:space="preserve"> PAGEREF _Toc203069757 \h </w:instrText>
            </w:r>
            <w:r>
              <w:rPr>
                <w:noProof/>
                <w:webHidden/>
              </w:rPr>
            </w:r>
            <w:r>
              <w:rPr>
                <w:noProof/>
                <w:webHidden/>
              </w:rPr>
              <w:fldChar w:fldCharType="separate"/>
            </w:r>
            <w:r w:rsidR="005A1D79">
              <w:rPr>
                <w:noProof/>
                <w:webHidden/>
              </w:rPr>
              <w:t>2</w:t>
            </w:r>
            <w:r>
              <w:rPr>
                <w:noProof/>
                <w:webHidden/>
              </w:rPr>
              <w:fldChar w:fldCharType="end"/>
            </w:r>
          </w:hyperlink>
        </w:p>
        <w:p w14:paraId="1AD1330E" w14:textId="5382DDE9" w:rsidR="00F35D11" w:rsidRDefault="00F35D11">
          <w:pPr>
            <w:pStyle w:val="TOC2"/>
            <w:tabs>
              <w:tab w:val="right" w:leader="dot" w:pos="9350"/>
            </w:tabs>
            <w:rPr>
              <w:noProof/>
            </w:rPr>
          </w:pPr>
          <w:hyperlink w:anchor="_Toc203069758" w:history="1">
            <w:r w:rsidRPr="00A870A7">
              <w:rPr>
                <w:rStyle w:val="Hyperlink"/>
                <w:rFonts w:ascii="Rockwell" w:eastAsia="Times New Roman" w:hAnsi="Rockwell" w:cs="Times New Roman"/>
                <w:b/>
                <w:bCs/>
                <w:noProof/>
              </w:rPr>
              <w:t>3. Objectives of the Assessment</w:t>
            </w:r>
            <w:r>
              <w:rPr>
                <w:noProof/>
                <w:webHidden/>
              </w:rPr>
              <w:tab/>
            </w:r>
            <w:r>
              <w:rPr>
                <w:noProof/>
                <w:webHidden/>
              </w:rPr>
              <w:fldChar w:fldCharType="begin"/>
            </w:r>
            <w:r>
              <w:rPr>
                <w:noProof/>
                <w:webHidden/>
              </w:rPr>
              <w:instrText xml:space="preserve"> PAGEREF _Toc203069758 \h </w:instrText>
            </w:r>
            <w:r>
              <w:rPr>
                <w:noProof/>
                <w:webHidden/>
              </w:rPr>
            </w:r>
            <w:r>
              <w:rPr>
                <w:noProof/>
                <w:webHidden/>
              </w:rPr>
              <w:fldChar w:fldCharType="separate"/>
            </w:r>
            <w:r w:rsidR="005A1D79">
              <w:rPr>
                <w:noProof/>
                <w:webHidden/>
              </w:rPr>
              <w:t>2</w:t>
            </w:r>
            <w:r>
              <w:rPr>
                <w:noProof/>
                <w:webHidden/>
              </w:rPr>
              <w:fldChar w:fldCharType="end"/>
            </w:r>
          </w:hyperlink>
        </w:p>
        <w:p w14:paraId="350AC0CB" w14:textId="287C518D" w:rsidR="00F35D11" w:rsidRDefault="00F35D11" w:rsidP="00F35D11">
          <w:pPr>
            <w:pStyle w:val="TOC2"/>
            <w:tabs>
              <w:tab w:val="right" w:leader="dot" w:pos="9350"/>
            </w:tabs>
            <w:rPr>
              <w:noProof/>
            </w:rPr>
          </w:pPr>
          <w:hyperlink w:anchor="_Toc203069759" w:history="1">
            <w:r w:rsidRPr="00A870A7">
              <w:rPr>
                <w:rStyle w:val="Hyperlink"/>
                <w:rFonts w:ascii="Rockwell" w:eastAsia="Times New Roman" w:hAnsi="Rockwell" w:cs="Times New Roman"/>
                <w:b/>
                <w:bCs/>
                <w:noProof/>
              </w:rPr>
              <w:t>4. Methodology</w:t>
            </w:r>
            <w:r>
              <w:rPr>
                <w:noProof/>
                <w:webHidden/>
              </w:rPr>
              <w:tab/>
            </w:r>
            <w:r>
              <w:rPr>
                <w:noProof/>
                <w:webHidden/>
              </w:rPr>
              <w:fldChar w:fldCharType="begin"/>
            </w:r>
            <w:r>
              <w:rPr>
                <w:noProof/>
                <w:webHidden/>
              </w:rPr>
              <w:instrText xml:space="preserve"> PAGEREF _Toc203069759 \h </w:instrText>
            </w:r>
            <w:r>
              <w:rPr>
                <w:noProof/>
                <w:webHidden/>
              </w:rPr>
            </w:r>
            <w:r>
              <w:rPr>
                <w:noProof/>
                <w:webHidden/>
              </w:rPr>
              <w:fldChar w:fldCharType="separate"/>
            </w:r>
            <w:r w:rsidR="005A1D79">
              <w:rPr>
                <w:noProof/>
                <w:webHidden/>
              </w:rPr>
              <w:t>2</w:t>
            </w:r>
            <w:r>
              <w:rPr>
                <w:noProof/>
                <w:webHidden/>
              </w:rPr>
              <w:fldChar w:fldCharType="end"/>
            </w:r>
          </w:hyperlink>
        </w:p>
        <w:p w14:paraId="383C4057" w14:textId="7FFE3768" w:rsidR="00F35D11" w:rsidRDefault="00F35D11" w:rsidP="00F35D11">
          <w:pPr>
            <w:pStyle w:val="TOC2"/>
            <w:tabs>
              <w:tab w:val="right" w:leader="dot" w:pos="9350"/>
            </w:tabs>
            <w:rPr>
              <w:noProof/>
            </w:rPr>
          </w:pPr>
          <w:hyperlink w:anchor="_Toc203069764" w:history="1">
            <w:r w:rsidRPr="00A870A7">
              <w:rPr>
                <w:rStyle w:val="Hyperlink"/>
                <w:rFonts w:ascii="Rockwell" w:eastAsia="Times New Roman" w:hAnsi="Rockwell" w:cs="Times New Roman"/>
                <w:b/>
                <w:bCs/>
                <w:noProof/>
              </w:rPr>
              <w:t>5. Cost Calculation Formulas</w:t>
            </w:r>
            <w:r>
              <w:rPr>
                <w:noProof/>
                <w:webHidden/>
              </w:rPr>
              <w:tab/>
            </w:r>
            <w:r>
              <w:rPr>
                <w:noProof/>
                <w:webHidden/>
              </w:rPr>
              <w:fldChar w:fldCharType="begin"/>
            </w:r>
            <w:r>
              <w:rPr>
                <w:noProof/>
                <w:webHidden/>
              </w:rPr>
              <w:instrText xml:space="preserve"> PAGEREF _Toc203069764 \h </w:instrText>
            </w:r>
            <w:r>
              <w:rPr>
                <w:noProof/>
                <w:webHidden/>
              </w:rPr>
            </w:r>
            <w:r>
              <w:rPr>
                <w:noProof/>
                <w:webHidden/>
              </w:rPr>
              <w:fldChar w:fldCharType="separate"/>
            </w:r>
            <w:r w:rsidR="005A1D79">
              <w:rPr>
                <w:noProof/>
                <w:webHidden/>
              </w:rPr>
              <w:t>3</w:t>
            </w:r>
            <w:r>
              <w:rPr>
                <w:noProof/>
                <w:webHidden/>
              </w:rPr>
              <w:fldChar w:fldCharType="end"/>
            </w:r>
          </w:hyperlink>
        </w:p>
        <w:p w14:paraId="7A7D2B89" w14:textId="681ACE66" w:rsidR="00F35D11" w:rsidRDefault="00F35D11">
          <w:pPr>
            <w:pStyle w:val="TOC2"/>
            <w:tabs>
              <w:tab w:val="right" w:leader="dot" w:pos="9350"/>
            </w:tabs>
            <w:rPr>
              <w:noProof/>
            </w:rPr>
          </w:pPr>
          <w:hyperlink w:anchor="_Toc203069766" w:history="1">
            <w:r w:rsidRPr="00A870A7">
              <w:rPr>
                <w:rStyle w:val="Hyperlink"/>
                <w:rFonts w:ascii="Rockwell" w:eastAsia="Times New Roman" w:hAnsi="Rockwell" w:cs="Times New Roman"/>
                <w:b/>
                <w:bCs/>
                <w:noProof/>
              </w:rPr>
              <w:t>6. Inefficiency Summary Table (Q4 2017 EC)</w:t>
            </w:r>
            <w:r>
              <w:rPr>
                <w:noProof/>
                <w:webHidden/>
              </w:rPr>
              <w:tab/>
            </w:r>
            <w:r>
              <w:rPr>
                <w:noProof/>
                <w:webHidden/>
              </w:rPr>
              <w:fldChar w:fldCharType="begin"/>
            </w:r>
            <w:r>
              <w:rPr>
                <w:noProof/>
                <w:webHidden/>
              </w:rPr>
              <w:instrText xml:space="preserve"> PAGEREF _Toc203069766 \h </w:instrText>
            </w:r>
            <w:r>
              <w:rPr>
                <w:noProof/>
                <w:webHidden/>
              </w:rPr>
            </w:r>
            <w:r>
              <w:rPr>
                <w:noProof/>
                <w:webHidden/>
              </w:rPr>
              <w:fldChar w:fldCharType="separate"/>
            </w:r>
            <w:r w:rsidR="005A1D79">
              <w:rPr>
                <w:noProof/>
                <w:webHidden/>
              </w:rPr>
              <w:t>5</w:t>
            </w:r>
            <w:r>
              <w:rPr>
                <w:noProof/>
                <w:webHidden/>
              </w:rPr>
              <w:fldChar w:fldCharType="end"/>
            </w:r>
          </w:hyperlink>
        </w:p>
        <w:p w14:paraId="2EFC101F" w14:textId="5E1EB220" w:rsidR="00F35D11" w:rsidRDefault="00F35D11">
          <w:pPr>
            <w:pStyle w:val="TOC2"/>
            <w:tabs>
              <w:tab w:val="right" w:leader="dot" w:pos="9350"/>
            </w:tabs>
            <w:rPr>
              <w:noProof/>
            </w:rPr>
          </w:pPr>
          <w:hyperlink w:anchor="_Toc203069767" w:history="1">
            <w:r w:rsidRPr="00A870A7">
              <w:rPr>
                <w:rStyle w:val="Hyperlink"/>
                <w:rFonts w:ascii="Rockwell" w:eastAsia="Times New Roman" w:hAnsi="Rockwell" w:cs="Times New Roman"/>
                <w:b/>
                <w:bCs/>
                <w:noProof/>
              </w:rPr>
              <w:t>7. Assessment Results</w:t>
            </w:r>
            <w:r>
              <w:rPr>
                <w:noProof/>
                <w:webHidden/>
              </w:rPr>
              <w:tab/>
            </w:r>
            <w:r>
              <w:rPr>
                <w:noProof/>
                <w:webHidden/>
              </w:rPr>
              <w:fldChar w:fldCharType="begin"/>
            </w:r>
            <w:r>
              <w:rPr>
                <w:noProof/>
                <w:webHidden/>
              </w:rPr>
              <w:instrText xml:space="preserve"> PAGEREF _Toc203069767 \h </w:instrText>
            </w:r>
            <w:r>
              <w:rPr>
                <w:noProof/>
                <w:webHidden/>
              </w:rPr>
            </w:r>
            <w:r>
              <w:rPr>
                <w:noProof/>
                <w:webHidden/>
              </w:rPr>
              <w:fldChar w:fldCharType="separate"/>
            </w:r>
            <w:r w:rsidR="005A1D79">
              <w:rPr>
                <w:noProof/>
                <w:webHidden/>
              </w:rPr>
              <w:t>6</w:t>
            </w:r>
            <w:r>
              <w:rPr>
                <w:noProof/>
                <w:webHidden/>
              </w:rPr>
              <w:fldChar w:fldCharType="end"/>
            </w:r>
          </w:hyperlink>
        </w:p>
        <w:p w14:paraId="170337BA" w14:textId="6D66AFF1" w:rsidR="00F35D11" w:rsidRDefault="00F35D11">
          <w:pPr>
            <w:pStyle w:val="TOC2"/>
            <w:tabs>
              <w:tab w:val="right" w:leader="dot" w:pos="9350"/>
            </w:tabs>
            <w:rPr>
              <w:noProof/>
            </w:rPr>
          </w:pPr>
          <w:hyperlink w:anchor="_Toc203069768" w:history="1">
            <w:r w:rsidRPr="00A870A7">
              <w:rPr>
                <w:rStyle w:val="Hyperlink"/>
                <w:rFonts w:ascii="Rockwell" w:eastAsia="Times New Roman" w:hAnsi="Rockwell" w:cs="Times New Roman"/>
                <w:b/>
                <w:bCs/>
                <w:noProof/>
              </w:rPr>
              <w:t>8. Risk Assessment</w:t>
            </w:r>
            <w:r>
              <w:rPr>
                <w:noProof/>
                <w:webHidden/>
              </w:rPr>
              <w:tab/>
            </w:r>
            <w:r>
              <w:rPr>
                <w:noProof/>
                <w:webHidden/>
              </w:rPr>
              <w:fldChar w:fldCharType="begin"/>
            </w:r>
            <w:r>
              <w:rPr>
                <w:noProof/>
                <w:webHidden/>
              </w:rPr>
              <w:instrText xml:space="preserve"> PAGEREF _Toc203069768 \h </w:instrText>
            </w:r>
            <w:r>
              <w:rPr>
                <w:noProof/>
                <w:webHidden/>
              </w:rPr>
            </w:r>
            <w:r>
              <w:rPr>
                <w:noProof/>
                <w:webHidden/>
              </w:rPr>
              <w:fldChar w:fldCharType="separate"/>
            </w:r>
            <w:r w:rsidR="005A1D79">
              <w:rPr>
                <w:noProof/>
                <w:webHidden/>
              </w:rPr>
              <w:t>7</w:t>
            </w:r>
            <w:r>
              <w:rPr>
                <w:noProof/>
                <w:webHidden/>
              </w:rPr>
              <w:fldChar w:fldCharType="end"/>
            </w:r>
          </w:hyperlink>
        </w:p>
        <w:p w14:paraId="717D9277" w14:textId="0A80E0B1" w:rsidR="00F35D11" w:rsidRDefault="00F35D11">
          <w:pPr>
            <w:pStyle w:val="TOC2"/>
            <w:tabs>
              <w:tab w:val="right" w:leader="dot" w:pos="9350"/>
            </w:tabs>
            <w:rPr>
              <w:noProof/>
            </w:rPr>
          </w:pPr>
          <w:hyperlink w:anchor="_Toc203069769" w:history="1">
            <w:r w:rsidRPr="00A870A7">
              <w:rPr>
                <w:rStyle w:val="Hyperlink"/>
                <w:rFonts w:ascii="Rockwell" w:eastAsia="Times New Roman" w:hAnsi="Rockwell" w:cs="Times New Roman"/>
                <w:b/>
                <w:bCs/>
                <w:noProof/>
              </w:rPr>
              <w:t>9. Discussion</w:t>
            </w:r>
            <w:r>
              <w:rPr>
                <w:noProof/>
                <w:webHidden/>
              </w:rPr>
              <w:tab/>
            </w:r>
            <w:r>
              <w:rPr>
                <w:noProof/>
                <w:webHidden/>
              </w:rPr>
              <w:fldChar w:fldCharType="begin"/>
            </w:r>
            <w:r>
              <w:rPr>
                <w:noProof/>
                <w:webHidden/>
              </w:rPr>
              <w:instrText xml:space="preserve"> PAGEREF _Toc203069769 \h </w:instrText>
            </w:r>
            <w:r>
              <w:rPr>
                <w:noProof/>
                <w:webHidden/>
              </w:rPr>
            </w:r>
            <w:r>
              <w:rPr>
                <w:noProof/>
                <w:webHidden/>
              </w:rPr>
              <w:fldChar w:fldCharType="separate"/>
            </w:r>
            <w:r w:rsidR="005A1D79">
              <w:rPr>
                <w:noProof/>
                <w:webHidden/>
              </w:rPr>
              <w:t>7</w:t>
            </w:r>
            <w:r>
              <w:rPr>
                <w:noProof/>
                <w:webHidden/>
              </w:rPr>
              <w:fldChar w:fldCharType="end"/>
            </w:r>
          </w:hyperlink>
        </w:p>
        <w:p w14:paraId="7968CC66" w14:textId="4F05DDC0" w:rsidR="00F35D11" w:rsidRDefault="00F35D11">
          <w:pPr>
            <w:pStyle w:val="TOC2"/>
            <w:tabs>
              <w:tab w:val="right" w:leader="dot" w:pos="9350"/>
            </w:tabs>
            <w:rPr>
              <w:noProof/>
            </w:rPr>
          </w:pPr>
          <w:hyperlink w:anchor="_Toc203069770" w:history="1">
            <w:r w:rsidRPr="00A870A7">
              <w:rPr>
                <w:rStyle w:val="Hyperlink"/>
                <w:rFonts w:ascii="Rockwell" w:eastAsia="Times New Roman" w:hAnsi="Rockwell" w:cs="Times New Roman"/>
                <w:b/>
                <w:bCs/>
                <w:noProof/>
              </w:rPr>
              <w:t>10. Action Plan</w:t>
            </w:r>
            <w:r>
              <w:rPr>
                <w:noProof/>
                <w:webHidden/>
              </w:rPr>
              <w:tab/>
            </w:r>
            <w:r>
              <w:rPr>
                <w:noProof/>
                <w:webHidden/>
              </w:rPr>
              <w:fldChar w:fldCharType="begin"/>
            </w:r>
            <w:r>
              <w:rPr>
                <w:noProof/>
                <w:webHidden/>
              </w:rPr>
              <w:instrText xml:space="preserve"> PAGEREF _Toc203069770 \h </w:instrText>
            </w:r>
            <w:r>
              <w:rPr>
                <w:noProof/>
                <w:webHidden/>
              </w:rPr>
            </w:r>
            <w:r>
              <w:rPr>
                <w:noProof/>
                <w:webHidden/>
              </w:rPr>
              <w:fldChar w:fldCharType="separate"/>
            </w:r>
            <w:r w:rsidR="005A1D79">
              <w:rPr>
                <w:noProof/>
                <w:webHidden/>
              </w:rPr>
              <w:t>7</w:t>
            </w:r>
            <w:r>
              <w:rPr>
                <w:noProof/>
                <w:webHidden/>
              </w:rPr>
              <w:fldChar w:fldCharType="end"/>
            </w:r>
          </w:hyperlink>
        </w:p>
        <w:p w14:paraId="447657EB" w14:textId="69691CFB" w:rsidR="00F35D11" w:rsidRDefault="00F35D11">
          <w:pPr>
            <w:pStyle w:val="TOC2"/>
            <w:tabs>
              <w:tab w:val="right" w:leader="dot" w:pos="9350"/>
            </w:tabs>
            <w:rPr>
              <w:noProof/>
            </w:rPr>
          </w:pPr>
          <w:hyperlink w:anchor="_Toc203069771" w:history="1">
            <w:r w:rsidRPr="00A870A7">
              <w:rPr>
                <w:rStyle w:val="Hyperlink"/>
                <w:rFonts w:ascii="Rockwell" w:eastAsia="Times New Roman" w:hAnsi="Rockwell" w:cs="Times New Roman"/>
                <w:b/>
                <w:bCs/>
                <w:noProof/>
              </w:rPr>
              <w:t>11. Recommendations and Utilization Plan</w:t>
            </w:r>
            <w:r>
              <w:rPr>
                <w:noProof/>
                <w:webHidden/>
              </w:rPr>
              <w:tab/>
            </w:r>
            <w:r>
              <w:rPr>
                <w:noProof/>
                <w:webHidden/>
              </w:rPr>
              <w:fldChar w:fldCharType="begin"/>
            </w:r>
            <w:r>
              <w:rPr>
                <w:noProof/>
                <w:webHidden/>
              </w:rPr>
              <w:instrText xml:space="preserve"> PAGEREF _Toc203069771 \h </w:instrText>
            </w:r>
            <w:r>
              <w:rPr>
                <w:noProof/>
                <w:webHidden/>
              </w:rPr>
            </w:r>
            <w:r>
              <w:rPr>
                <w:noProof/>
                <w:webHidden/>
              </w:rPr>
              <w:fldChar w:fldCharType="separate"/>
            </w:r>
            <w:r w:rsidR="005A1D79">
              <w:rPr>
                <w:noProof/>
                <w:webHidden/>
              </w:rPr>
              <w:t>8</w:t>
            </w:r>
            <w:r>
              <w:rPr>
                <w:noProof/>
                <w:webHidden/>
              </w:rPr>
              <w:fldChar w:fldCharType="end"/>
            </w:r>
          </w:hyperlink>
        </w:p>
        <w:p w14:paraId="0B17BDBF" w14:textId="412ACAB2" w:rsidR="00F35D11" w:rsidRDefault="00F35D11">
          <w:pPr>
            <w:pStyle w:val="TOC2"/>
            <w:tabs>
              <w:tab w:val="right" w:leader="dot" w:pos="9350"/>
            </w:tabs>
            <w:rPr>
              <w:noProof/>
            </w:rPr>
          </w:pPr>
          <w:hyperlink w:anchor="_Toc203069772" w:history="1">
            <w:r w:rsidRPr="00A870A7">
              <w:rPr>
                <w:rStyle w:val="Hyperlink"/>
                <w:rFonts w:ascii="Rockwell" w:eastAsia="Times New Roman" w:hAnsi="Rockwell" w:cs="Times New Roman"/>
                <w:b/>
                <w:bCs/>
                <w:noProof/>
              </w:rPr>
              <w:t>12. Conclusion</w:t>
            </w:r>
            <w:r>
              <w:rPr>
                <w:noProof/>
                <w:webHidden/>
              </w:rPr>
              <w:tab/>
            </w:r>
            <w:r>
              <w:rPr>
                <w:noProof/>
                <w:webHidden/>
              </w:rPr>
              <w:fldChar w:fldCharType="begin"/>
            </w:r>
            <w:r>
              <w:rPr>
                <w:noProof/>
                <w:webHidden/>
              </w:rPr>
              <w:instrText xml:space="preserve"> PAGEREF _Toc203069772 \h </w:instrText>
            </w:r>
            <w:r>
              <w:rPr>
                <w:noProof/>
                <w:webHidden/>
              </w:rPr>
            </w:r>
            <w:r>
              <w:rPr>
                <w:noProof/>
                <w:webHidden/>
              </w:rPr>
              <w:fldChar w:fldCharType="separate"/>
            </w:r>
            <w:r w:rsidR="005A1D79">
              <w:rPr>
                <w:noProof/>
                <w:webHidden/>
              </w:rPr>
              <w:t>8</w:t>
            </w:r>
            <w:r>
              <w:rPr>
                <w:noProof/>
                <w:webHidden/>
              </w:rPr>
              <w:fldChar w:fldCharType="end"/>
            </w:r>
          </w:hyperlink>
        </w:p>
        <w:p w14:paraId="28D70707" w14:textId="5045410A" w:rsidR="00F35D11" w:rsidRDefault="00F35D11">
          <w:pPr>
            <w:pStyle w:val="TOC2"/>
            <w:tabs>
              <w:tab w:val="right" w:leader="dot" w:pos="9350"/>
            </w:tabs>
            <w:rPr>
              <w:noProof/>
            </w:rPr>
          </w:pPr>
          <w:hyperlink w:anchor="_Toc203069773" w:history="1">
            <w:r w:rsidRPr="00A870A7">
              <w:rPr>
                <w:rStyle w:val="Hyperlink"/>
                <w:rFonts w:ascii="Rockwell" w:eastAsia="Times New Roman" w:hAnsi="Rockwell" w:cs="Times New Roman"/>
                <w:b/>
                <w:bCs/>
                <w:noProof/>
              </w:rPr>
              <w:t>13. References</w:t>
            </w:r>
            <w:r>
              <w:rPr>
                <w:noProof/>
                <w:webHidden/>
              </w:rPr>
              <w:tab/>
            </w:r>
            <w:r>
              <w:rPr>
                <w:noProof/>
                <w:webHidden/>
              </w:rPr>
              <w:fldChar w:fldCharType="begin"/>
            </w:r>
            <w:r>
              <w:rPr>
                <w:noProof/>
                <w:webHidden/>
              </w:rPr>
              <w:instrText xml:space="preserve"> PAGEREF _Toc203069773 \h </w:instrText>
            </w:r>
            <w:r>
              <w:rPr>
                <w:noProof/>
                <w:webHidden/>
              </w:rPr>
            </w:r>
            <w:r>
              <w:rPr>
                <w:noProof/>
                <w:webHidden/>
              </w:rPr>
              <w:fldChar w:fldCharType="separate"/>
            </w:r>
            <w:r w:rsidR="005A1D79">
              <w:rPr>
                <w:noProof/>
                <w:webHidden/>
              </w:rPr>
              <w:t>8</w:t>
            </w:r>
            <w:r>
              <w:rPr>
                <w:noProof/>
                <w:webHidden/>
              </w:rPr>
              <w:fldChar w:fldCharType="end"/>
            </w:r>
          </w:hyperlink>
        </w:p>
        <w:p w14:paraId="42760D88" w14:textId="3896045A" w:rsidR="00F35D11" w:rsidRDefault="00F35D11">
          <w:r>
            <w:rPr>
              <w:b/>
              <w:bCs/>
              <w:noProof/>
            </w:rPr>
            <w:fldChar w:fldCharType="end"/>
          </w:r>
        </w:p>
      </w:sdtContent>
    </w:sdt>
    <w:p w14:paraId="0763CD16" w14:textId="23199166" w:rsid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1F8C5BA3">
          <v:rect id="_x0000_i1027" style="width:0;height:1.5pt" o:hralign="center" o:hrstd="t" o:hr="t" fillcolor="#a0a0a0" stroked="f"/>
        </w:pict>
      </w:r>
    </w:p>
    <w:p w14:paraId="26EBB2E6" w14:textId="3B3AE7EA" w:rsidR="002E30C5" w:rsidRDefault="002E30C5" w:rsidP="00F068B3">
      <w:pPr>
        <w:spacing w:after="0" w:line="240" w:lineRule="auto"/>
        <w:rPr>
          <w:rFonts w:ascii="Rockwell" w:eastAsia="Times New Roman" w:hAnsi="Rockwell" w:cs="Times New Roman"/>
          <w:sz w:val="24"/>
          <w:szCs w:val="24"/>
        </w:rPr>
      </w:pPr>
    </w:p>
    <w:p w14:paraId="5DDFC4FD" w14:textId="12667338" w:rsidR="002E30C5" w:rsidRDefault="002E30C5" w:rsidP="00F068B3">
      <w:pPr>
        <w:spacing w:after="0" w:line="240" w:lineRule="auto"/>
        <w:rPr>
          <w:rFonts w:ascii="Rockwell" w:eastAsia="Times New Roman" w:hAnsi="Rockwell" w:cs="Times New Roman"/>
          <w:sz w:val="24"/>
          <w:szCs w:val="24"/>
        </w:rPr>
      </w:pPr>
    </w:p>
    <w:p w14:paraId="7F5EE9D5" w14:textId="55069374" w:rsidR="002E30C5" w:rsidRDefault="002E30C5" w:rsidP="00F068B3">
      <w:pPr>
        <w:spacing w:after="0" w:line="240" w:lineRule="auto"/>
        <w:rPr>
          <w:rFonts w:ascii="Rockwell" w:eastAsia="Times New Roman" w:hAnsi="Rockwell" w:cs="Times New Roman"/>
          <w:sz w:val="24"/>
          <w:szCs w:val="24"/>
        </w:rPr>
      </w:pPr>
    </w:p>
    <w:p w14:paraId="7853AB25" w14:textId="0785887A" w:rsidR="002E30C5" w:rsidRDefault="002E30C5" w:rsidP="00F068B3">
      <w:pPr>
        <w:spacing w:after="0" w:line="240" w:lineRule="auto"/>
        <w:rPr>
          <w:rFonts w:ascii="Rockwell" w:eastAsia="Times New Roman" w:hAnsi="Rockwell" w:cs="Times New Roman"/>
          <w:sz w:val="24"/>
          <w:szCs w:val="24"/>
        </w:rPr>
      </w:pPr>
    </w:p>
    <w:p w14:paraId="28D177BB" w14:textId="27536FB4" w:rsidR="002E30C5" w:rsidRDefault="002E30C5" w:rsidP="00F068B3">
      <w:pPr>
        <w:spacing w:after="0" w:line="240" w:lineRule="auto"/>
        <w:rPr>
          <w:rFonts w:ascii="Rockwell" w:eastAsia="Times New Roman" w:hAnsi="Rockwell" w:cs="Times New Roman"/>
          <w:sz w:val="24"/>
          <w:szCs w:val="24"/>
        </w:rPr>
      </w:pPr>
    </w:p>
    <w:p w14:paraId="46F115DC" w14:textId="13320AD2" w:rsidR="002E30C5" w:rsidRDefault="002E30C5" w:rsidP="00F068B3">
      <w:pPr>
        <w:spacing w:after="0" w:line="240" w:lineRule="auto"/>
        <w:rPr>
          <w:rFonts w:ascii="Rockwell" w:eastAsia="Times New Roman" w:hAnsi="Rockwell" w:cs="Times New Roman"/>
          <w:sz w:val="24"/>
          <w:szCs w:val="24"/>
        </w:rPr>
      </w:pPr>
    </w:p>
    <w:p w14:paraId="01D5D2F0" w14:textId="1439156C" w:rsidR="002E30C5" w:rsidRDefault="002E30C5" w:rsidP="00F068B3">
      <w:pPr>
        <w:spacing w:after="0" w:line="240" w:lineRule="auto"/>
        <w:rPr>
          <w:rFonts w:ascii="Rockwell" w:eastAsia="Times New Roman" w:hAnsi="Rockwell" w:cs="Times New Roman"/>
          <w:sz w:val="24"/>
          <w:szCs w:val="24"/>
        </w:rPr>
      </w:pPr>
    </w:p>
    <w:p w14:paraId="6CF77E76" w14:textId="060D100A" w:rsidR="002E30C5" w:rsidRDefault="002E30C5" w:rsidP="00F068B3">
      <w:pPr>
        <w:spacing w:after="0" w:line="240" w:lineRule="auto"/>
        <w:rPr>
          <w:rFonts w:ascii="Rockwell" w:eastAsia="Times New Roman" w:hAnsi="Rockwell" w:cs="Times New Roman"/>
          <w:sz w:val="24"/>
          <w:szCs w:val="24"/>
        </w:rPr>
      </w:pPr>
    </w:p>
    <w:p w14:paraId="3E2D0C53" w14:textId="2D3AB417" w:rsidR="002E30C5" w:rsidRDefault="002E30C5" w:rsidP="00F068B3">
      <w:pPr>
        <w:spacing w:after="0" w:line="240" w:lineRule="auto"/>
        <w:rPr>
          <w:rFonts w:ascii="Rockwell" w:eastAsia="Times New Roman" w:hAnsi="Rockwell" w:cs="Times New Roman"/>
          <w:sz w:val="24"/>
          <w:szCs w:val="24"/>
        </w:rPr>
      </w:pPr>
    </w:p>
    <w:p w14:paraId="401B96F2" w14:textId="721F283E" w:rsidR="002E30C5" w:rsidRDefault="002E30C5" w:rsidP="00F068B3">
      <w:pPr>
        <w:spacing w:after="0" w:line="240" w:lineRule="auto"/>
        <w:rPr>
          <w:rFonts w:ascii="Rockwell" w:eastAsia="Times New Roman" w:hAnsi="Rockwell" w:cs="Times New Roman"/>
          <w:sz w:val="24"/>
          <w:szCs w:val="24"/>
        </w:rPr>
      </w:pPr>
    </w:p>
    <w:p w14:paraId="3057C22B" w14:textId="4F7F4034" w:rsidR="002E30C5" w:rsidRDefault="002E30C5" w:rsidP="00F068B3">
      <w:pPr>
        <w:spacing w:after="0" w:line="240" w:lineRule="auto"/>
        <w:rPr>
          <w:rFonts w:ascii="Rockwell" w:eastAsia="Times New Roman" w:hAnsi="Rockwell" w:cs="Times New Roman"/>
          <w:sz w:val="24"/>
          <w:szCs w:val="24"/>
        </w:rPr>
      </w:pPr>
    </w:p>
    <w:p w14:paraId="5FCEE268" w14:textId="3BCD14F8" w:rsidR="002E30C5" w:rsidRDefault="002E30C5" w:rsidP="00F068B3">
      <w:pPr>
        <w:spacing w:after="0" w:line="240" w:lineRule="auto"/>
        <w:rPr>
          <w:rFonts w:ascii="Rockwell" w:eastAsia="Times New Roman" w:hAnsi="Rockwell" w:cs="Times New Roman"/>
          <w:sz w:val="24"/>
          <w:szCs w:val="24"/>
        </w:rPr>
      </w:pPr>
    </w:p>
    <w:p w14:paraId="45AA33ED" w14:textId="77777777" w:rsidR="002E30C5" w:rsidRPr="00F068B3" w:rsidRDefault="002E30C5" w:rsidP="00F068B3">
      <w:pPr>
        <w:spacing w:after="0" w:line="240" w:lineRule="auto"/>
        <w:rPr>
          <w:rFonts w:ascii="Rockwell" w:eastAsia="Times New Roman" w:hAnsi="Rockwell" w:cs="Times New Roman"/>
          <w:sz w:val="24"/>
          <w:szCs w:val="24"/>
        </w:rPr>
      </w:pPr>
    </w:p>
    <w:p w14:paraId="1ABF7985"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5" w:name="_Toc203069756"/>
      <w:r w:rsidRPr="00F068B3">
        <w:rPr>
          <w:rFonts w:ascii="Rockwell" w:eastAsia="Times New Roman" w:hAnsi="Rockwell" w:cs="Times New Roman"/>
          <w:b/>
          <w:bCs/>
          <w:sz w:val="36"/>
          <w:szCs w:val="36"/>
        </w:rPr>
        <w:lastRenderedPageBreak/>
        <w:t>1. Executive Summary</w:t>
      </w:r>
      <w:bookmarkEnd w:id="5"/>
    </w:p>
    <w:p w14:paraId="3EA5A375" w14:textId="77777777" w:rsidR="00F068B3" w:rsidRPr="00F068B3" w:rsidRDefault="00F068B3" w:rsidP="00F068B3">
      <w:p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 xml:space="preserve">This report evaluates the supply chain inefficiencies of </w:t>
      </w:r>
      <w:proofErr w:type="spellStart"/>
      <w:r w:rsidRPr="00F068B3">
        <w:rPr>
          <w:rFonts w:ascii="Rockwell" w:eastAsia="Times New Roman" w:hAnsi="Rockwell" w:cs="Times New Roman"/>
          <w:sz w:val="24"/>
          <w:szCs w:val="24"/>
        </w:rPr>
        <w:t>Deder</w:t>
      </w:r>
      <w:proofErr w:type="spellEnd"/>
      <w:r w:rsidRPr="00F068B3">
        <w:rPr>
          <w:rFonts w:ascii="Rockwell" w:eastAsia="Times New Roman" w:hAnsi="Rockwell" w:cs="Times New Roman"/>
          <w:sz w:val="24"/>
          <w:szCs w:val="24"/>
        </w:rPr>
        <w:t xml:space="preserve"> General Hospital for Quarter 4, 2017 EC. Total inefficiency was quantified at </w:t>
      </w:r>
      <w:r w:rsidRPr="00F068B3">
        <w:rPr>
          <w:rFonts w:ascii="Rockwell" w:eastAsia="Times New Roman" w:hAnsi="Rockwell" w:cs="Times New Roman"/>
          <w:b/>
          <w:bCs/>
          <w:sz w:val="24"/>
          <w:szCs w:val="24"/>
        </w:rPr>
        <w:t>3.12%</w:t>
      </w:r>
      <w:r w:rsidRPr="00F068B3">
        <w:rPr>
          <w:rFonts w:ascii="Rockwell" w:eastAsia="Times New Roman" w:hAnsi="Rockwell" w:cs="Times New Roman"/>
          <w:sz w:val="24"/>
          <w:szCs w:val="24"/>
        </w:rPr>
        <w:t xml:space="preserve">, with associated costs amounting to </w:t>
      </w:r>
      <w:r w:rsidRPr="00F068B3">
        <w:rPr>
          <w:rFonts w:ascii="Rockwell" w:eastAsia="Times New Roman" w:hAnsi="Rockwell" w:cs="Times New Roman"/>
          <w:b/>
          <w:bCs/>
          <w:sz w:val="24"/>
          <w:szCs w:val="24"/>
        </w:rPr>
        <w:t>42,000 ETB</w:t>
      </w:r>
      <w:r w:rsidRPr="00F068B3">
        <w:rPr>
          <w:rFonts w:ascii="Rockwell" w:eastAsia="Times New Roman" w:hAnsi="Rockwell" w:cs="Times New Roman"/>
          <w:sz w:val="24"/>
          <w:szCs w:val="24"/>
        </w:rPr>
        <w:t>. Key inefficiency areas include procurement, inventory management, demand forecasting, and communication lapses. Implementation of targeted interventions such as digital inventory systems, regular supplier reviews, and automated reporting will further reduce inefficiencies, improve supply availability, and support quality healthcare delivery.</w:t>
      </w:r>
    </w:p>
    <w:p w14:paraId="737C858F" w14:textId="34C301AD" w:rsid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66A43B14">
          <v:rect id="_x0000_i1028" style="width:0;height:1.5pt" o:hralign="center" o:hrstd="t" o:hr="t" fillcolor="#a0a0a0" stroked="f"/>
        </w:pict>
      </w:r>
    </w:p>
    <w:p w14:paraId="38240784" w14:textId="5941193C" w:rsidR="009472A2" w:rsidRDefault="009472A2" w:rsidP="00F068B3">
      <w:pPr>
        <w:spacing w:after="0" w:line="240" w:lineRule="auto"/>
        <w:rPr>
          <w:rFonts w:ascii="Rockwell" w:eastAsia="Times New Roman" w:hAnsi="Rockwell" w:cs="Times New Roman"/>
          <w:sz w:val="24"/>
          <w:szCs w:val="24"/>
        </w:rPr>
      </w:pPr>
    </w:p>
    <w:p w14:paraId="3171FB2C" w14:textId="77777777" w:rsidR="009472A2" w:rsidRPr="00F068B3" w:rsidRDefault="009472A2" w:rsidP="00F068B3">
      <w:pPr>
        <w:spacing w:after="0" w:line="240" w:lineRule="auto"/>
        <w:rPr>
          <w:rFonts w:ascii="Rockwell" w:eastAsia="Times New Roman" w:hAnsi="Rockwell" w:cs="Times New Roman"/>
          <w:sz w:val="24"/>
          <w:szCs w:val="24"/>
        </w:rPr>
      </w:pPr>
    </w:p>
    <w:p w14:paraId="0B1CB8C9"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6" w:name="_Toc203069757"/>
      <w:r w:rsidRPr="00F068B3">
        <w:rPr>
          <w:rFonts w:ascii="Rockwell" w:eastAsia="Times New Roman" w:hAnsi="Rockwell" w:cs="Times New Roman"/>
          <w:b/>
          <w:bCs/>
          <w:sz w:val="36"/>
          <w:szCs w:val="36"/>
        </w:rPr>
        <w:t>2. Introduction</w:t>
      </w:r>
      <w:bookmarkEnd w:id="6"/>
    </w:p>
    <w:p w14:paraId="67E9B7FB" w14:textId="77777777" w:rsidR="00F068B3" w:rsidRPr="00F068B3" w:rsidRDefault="00F068B3" w:rsidP="00F068B3">
      <w:p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 xml:space="preserve">An efficient supply chain ensures uninterrupted healthcare service delivery. </w:t>
      </w:r>
      <w:proofErr w:type="spellStart"/>
      <w:r w:rsidRPr="00F068B3">
        <w:rPr>
          <w:rFonts w:ascii="Rockwell" w:eastAsia="Times New Roman" w:hAnsi="Rockwell" w:cs="Times New Roman"/>
          <w:sz w:val="24"/>
          <w:szCs w:val="24"/>
        </w:rPr>
        <w:t>Deder</w:t>
      </w:r>
      <w:proofErr w:type="spellEnd"/>
      <w:r w:rsidRPr="00F068B3">
        <w:rPr>
          <w:rFonts w:ascii="Rockwell" w:eastAsia="Times New Roman" w:hAnsi="Rockwell" w:cs="Times New Roman"/>
          <w:sz w:val="24"/>
          <w:szCs w:val="24"/>
        </w:rPr>
        <w:t xml:space="preserve"> General Hospital's supply chain faced inefficiencies resulting in stockouts, excess inventory, and increased costs. This assessment identifies inefficiency sources and cost implications, guiding interventions to optimize resource use and patient care.</w:t>
      </w:r>
    </w:p>
    <w:p w14:paraId="0C440489"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457B5751">
          <v:rect id="_x0000_i1029" style="width:0;height:1.5pt" o:hralign="center" o:hrstd="t" o:hr="t" fillcolor="#a0a0a0" stroked="f"/>
        </w:pict>
      </w:r>
    </w:p>
    <w:p w14:paraId="286EA1E9"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7" w:name="_Toc203069758"/>
      <w:r w:rsidRPr="00F068B3">
        <w:rPr>
          <w:rFonts w:ascii="Rockwell" w:eastAsia="Times New Roman" w:hAnsi="Rockwell" w:cs="Times New Roman"/>
          <w:b/>
          <w:bCs/>
          <w:sz w:val="36"/>
          <w:szCs w:val="36"/>
        </w:rPr>
        <w:t>3. Objectives of the Assessment</w:t>
      </w:r>
      <w:bookmarkEnd w:id="7"/>
    </w:p>
    <w:p w14:paraId="37462C94" w14:textId="77777777" w:rsidR="00F068B3" w:rsidRPr="00F068B3" w:rsidRDefault="00F068B3" w:rsidP="00F068B3">
      <w:pPr>
        <w:numPr>
          <w:ilvl w:val="0"/>
          <w:numId w:val="3"/>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Analyze supply chain performance indicators for Q4, 2017 EC.</w:t>
      </w:r>
    </w:p>
    <w:p w14:paraId="1A2907CE" w14:textId="77777777" w:rsidR="00F068B3" w:rsidRPr="00F068B3" w:rsidRDefault="00F068B3" w:rsidP="00F068B3">
      <w:pPr>
        <w:numPr>
          <w:ilvl w:val="0"/>
          <w:numId w:val="3"/>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Identify gaps causing inefficiencies.</w:t>
      </w:r>
    </w:p>
    <w:p w14:paraId="331D1BBD" w14:textId="77777777" w:rsidR="00F068B3" w:rsidRPr="00F068B3" w:rsidRDefault="00F068B3" w:rsidP="00F068B3">
      <w:pPr>
        <w:numPr>
          <w:ilvl w:val="0"/>
          <w:numId w:val="3"/>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Quantify financial impact of inefficiencies.</w:t>
      </w:r>
    </w:p>
    <w:p w14:paraId="7EBDFA72" w14:textId="77777777" w:rsidR="00F068B3" w:rsidRPr="00F068B3" w:rsidRDefault="00F068B3" w:rsidP="00F068B3">
      <w:pPr>
        <w:numPr>
          <w:ilvl w:val="0"/>
          <w:numId w:val="3"/>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Recommend feasible improvement strategies.</w:t>
      </w:r>
    </w:p>
    <w:p w14:paraId="593DF0FB" w14:textId="77777777" w:rsidR="00F068B3" w:rsidRPr="00F068B3" w:rsidRDefault="00F068B3" w:rsidP="00F068B3">
      <w:pPr>
        <w:numPr>
          <w:ilvl w:val="0"/>
          <w:numId w:val="3"/>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Set baseline for continuous quality improvement.</w:t>
      </w:r>
    </w:p>
    <w:p w14:paraId="3852B9E8"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27D18B3B">
          <v:rect id="_x0000_i1030" style="width:0;height:1.5pt" o:hralign="center" o:hrstd="t" o:hr="t" fillcolor="#a0a0a0" stroked="f"/>
        </w:pict>
      </w:r>
    </w:p>
    <w:p w14:paraId="58B2C243"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8" w:name="_Toc203069759"/>
      <w:r w:rsidRPr="00F068B3">
        <w:rPr>
          <w:rFonts w:ascii="Rockwell" w:eastAsia="Times New Roman" w:hAnsi="Rockwell" w:cs="Times New Roman"/>
          <w:b/>
          <w:bCs/>
          <w:sz w:val="36"/>
          <w:szCs w:val="36"/>
        </w:rPr>
        <w:t>4. Methodology</w:t>
      </w:r>
      <w:bookmarkEnd w:id="8"/>
    </w:p>
    <w:p w14:paraId="5CD35B08" w14:textId="77777777" w:rsidR="00F068B3" w:rsidRPr="00F068B3" w:rsidRDefault="00F068B3" w:rsidP="00F068B3">
      <w:pPr>
        <w:spacing w:before="100" w:beforeAutospacing="1" w:after="100" w:afterAutospacing="1" w:line="240" w:lineRule="auto"/>
        <w:outlineLvl w:val="2"/>
        <w:rPr>
          <w:rFonts w:ascii="Rockwell" w:eastAsia="Times New Roman" w:hAnsi="Rockwell" w:cs="Times New Roman"/>
          <w:b/>
          <w:bCs/>
          <w:sz w:val="27"/>
          <w:szCs w:val="27"/>
        </w:rPr>
      </w:pPr>
      <w:bookmarkStart w:id="9" w:name="_Toc203069760"/>
      <w:r w:rsidRPr="00F068B3">
        <w:rPr>
          <w:rFonts w:ascii="Rockwell" w:eastAsia="Times New Roman" w:hAnsi="Rockwell" w:cs="Times New Roman"/>
          <w:b/>
          <w:bCs/>
          <w:sz w:val="27"/>
          <w:szCs w:val="27"/>
        </w:rPr>
        <w:t>a) Data Collection</w:t>
      </w:r>
      <w:bookmarkEnd w:id="9"/>
    </w:p>
    <w:p w14:paraId="335821D1" w14:textId="77777777" w:rsidR="00F068B3" w:rsidRPr="00F068B3" w:rsidRDefault="00F068B3" w:rsidP="00F068B3">
      <w:pPr>
        <w:numPr>
          <w:ilvl w:val="0"/>
          <w:numId w:val="4"/>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Reviewed procurement logs, inventory reports, supplier records.</w:t>
      </w:r>
    </w:p>
    <w:p w14:paraId="57161595" w14:textId="77777777" w:rsidR="00F068B3" w:rsidRPr="00F068B3" w:rsidRDefault="00F068B3" w:rsidP="00F068B3">
      <w:pPr>
        <w:numPr>
          <w:ilvl w:val="0"/>
          <w:numId w:val="4"/>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Conducted direct observations of storage and distribution.</w:t>
      </w:r>
    </w:p>
    <w:p w14:paraId="0546D9FC" w14:textId="77777777" w:rsidR="00F068B3" w:rsidRPr="00F068B3" w:rsidRDefault="00F068B3" w:rsidP="00F068B3">
      <w:pPr>
        <w:numPr>
          <w:ilvl w:val="0"/>
          <w:numId w:val="4"/>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Interviewed key stakeholders (pharmacy, procurement, departments).</w:t>
      </w:r>
    </w:p>
    <w:p w14:paraId="0A255EC2" w14:textId="77777777" w:rsidR="00F068B3" w:rsidRPr="00F068B3" w:rsidRDefault="00F068B3" w:rsidP="00F068B3">
      <w:pPr>
        <w:numPr>
          <w:ilvl w:val="0"/>
          <w:numId w:val="4"/>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Used checklist assessment for performance scoring.</w:t>
      </w:r>
    </w:p>
    <w:p w14:paraId="56B0F385" w14:textId="77777777" w:rsidR="00F068B3" w:rsidRPr="00F068B3" w:rsidRDefault="00F068B3" w:rsidP="00F068B3">
      <w:pPr>
        <w:spacing w:before="100" w:beforeAutospacing="1" w:after="100" w:afterAutospacing="1" w:line="240" w:lineRule="auto"/>
        <w:outlineLvl w:val="2"/>
        <w:rPr>
          <w:rFonts w:ascii="Rockwell" w:eastAsia="Times New Roman" w:hAnsi="Rockwell" w:cs="Times New Roman"/>
          <w:b/>
          <w:bCs/>
          <w:sz w:val="27"/>
          <w:szCs w:val="27"/>
        </w:rPr>
      </w:pPr>
      <w:bookmarkStart w:id="10" w:name="_Toc203069761"/>
      <w:r w:rsidRPr="00F068B3">
        <w:rPr>
          <w:rFonts w:ascii="Rockwell" w:eastAsia="Times New Roman" w:hAnsi="Rockwell" w:cs="Times New Roman"/>
          <w:b/>
          <w:bCs/>
          <w:sz w:val="27"/>
          <w:szCs w:val="27"/>
        </w:rPr>
        <w:t>b) Scope</w:t>
      </w:r>
      <w:bookmarkEnd w:id="10"/>
    </w:p>
    <w:p w14:paraId="5D7B1440" w14:textId="77777777" w:rsidR="00F068B3" w:rsidRPr="00F068B3" w:rsidRDefault="00F068B3" w:rsidP="00F068B3">
      <w:pPr>
        <w:numPr>
          <w:ilvl w:val="0"/>
          <w:numId w:val="5"/>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lastRenderedPageBreak/>
        <w:t>Period: Q4, 2017 EC (3 months).</w:t>
      </w:r>
    </w:p>
    <w:p w14:paraId="55C4BA68" w14:textId="77777777" w:rsidR="00F068B3" w:rsidRPr="00F068B3" w:rsidRDefault="00F068B3" w:rsidP="00F068B3">
      <w:pPr>
        <w:numPr>
          <w:ilvl w:val="0"/>
          <w:numId w:val="5"/>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Included all supply chain stages: planning to dispensing.</w:t>
      </w:r>
    </w:p>
    <w:p w14:paraId="77301BD8" w14:textId="77777777" w:rsidR="00F068B3" w:rsidRPr="00F068B3" w:rsidRDefault="00F068B3" w:rsidP="00F068B3">
      <w:pPr>
        <w:spacing w:before="100" w:beforeAutospacing="1" w:after="100" w:afterAutospacing="1" w:line="240" w:lineRule="auto"/>
        <w:outlineLvl w:val="2"/>
        <w:rPr>
          <w:rFonts w:ascii="Rockwell" w:eastAsia="Times New Roman" w:hAnsi="Rockwell" w:cs="Times New Roman"/>
          <w:b/>
          <w:bCs/>
          <w:sz w:val="27"/>
          <w:szCs w:val="27"/>
        </w:rPr>
      </w:pPr>
      <w:bookmarkStart w:id="11" w:name="_Toc203069762"/>
      <w:r w:rsidRPr="00F068B3">
        <w:rPr>
          <w:rFonts w:ascii="Rockwell" w:eastAsia="Times New Roman" w:hAnsi="Rockwell" w:cs="Times New Roman"/>
          <w:b/>
          <w:bCs/>
          <w:sz w:val="27"/>
          <w:szCs w:val="27"/>
        </w:rPr>
        <w:t>c) Analysis</w:t>
      </w:r>
      <w:bookmarkEnd w:id="11"/>
    </w:p>
    <w:p w14:paraId="0BA9152C" w14:textId="77777777" w:rsidR="00F068B3" w:rsidRPr="00F068B3" w:rsidRDefault="00F068B3" w:rsidP="00F068B3">
      <w:pPr>
        <w:numPr>
          <w:ilvl w:val="0"/>
          <w:numId w:val="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Scoring inefficiencies by cost impact and operational disruption.</w:t>
      </w:r>
    </w:p>
    <w:p w14:paraId="709DFB71" w14:textId="77777777" w:rsidR="00F068B3" w:rsidRPr="00F068B3" w:rsidRDefault="00F068B3" w:rsidP="00F068B3">
      <w:pPr>
        <w:numPr>
          <w:ilvl w:val="0"/>
          <w:numId w:val="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Root cause analysis.</w:t>
      </w:r>
    </w:p>
    <w:p w14:paraId="77C422AC" w14:textId="77777777" w:rsidR="00F068B3" w:rsidRPr="00F068B3" w:rsidRDefault="00F068B3" w:rsidP="00F068B3">
      <w:pPr>
        <w:numPr>
          <w:ilvl w:val="0"/>
          <w:numId w:val="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Applied formulas to quantify inefficiencies.</w:t>
      </w:r>
    </w:p>
    <w:p w14:paraId="3A730DCE" w14:textId="77777777" w:rsidR="00F068B3" w:rsidRPr="00F068B3" w:rsidRDefault="00F068B3" w:rsidP="00F068B3">
      <w:pPr>
        <w:spacing w:before="100" w:beforeAutospacing="1" w:after="100" w:afterAutospacing="1" w:line="240" w:lineRule="auto"/>
        <w:outlineLvl w:val="2"/>
        <w:rPr>
          <w:rFonts w:ascii="Rockwell" w:eastAsia="Times New Roman" w:hAnsi="Rockwell" w:cs="Times New Roman"/>
          <w:b/>
          <w:bCs/>
          <w:sz w:val="27"/>
          <w:szCs w:val="27"/>
        </w:rPr>
      </w:pPr>
      <w:bookmarkStart w:id="12" w:name="_Toc203069763"/>
      <w:r w:rsidRPr="00F068B3">
        <w:rPr>
          <w:rFonts w:ascii="Rockwell" w:eastAsia="Times New Roman" w:hAnsi="Rockwell" w:cs="Times New Roman"/>
          <w:b/>
          <w:bCs/>
          <w:sz w:val="27"/>
          <w:szCs w:val="27"/>
        </w:rPr>
        <w:t>d) Validation</w:t>
      </w:r>
      <w:bookmarkEnd w:id="12"/>
    </w:p>
    <w:p w14:paraId="6AE57246" w14:textId="77777777" w:rsidR="00F068B3" w:rsidRPr="00F068B3" w:rsidRDefault="00F068B3" w:rsidP="00F068B3">
      <w:pPr>
        <w:numPr>
          <w:ilvl w:val="0"/>
          <w:numId w:val="7"/>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Team consensus meetings.</w:t>
      </w:r>
    </w:p>
    <w:p w14:paraId="7F5DCA7B" w14:textId="77777777" w:rsidR="00F068B3" w:rsidRPr="00F068B3" w:rsidRDefault="00F068B3" w:rsidP="00F068B3">
      <w:pPr>
        <w:numPr>
          <w:ilvl w:val="0"/>
          <w:numId w:val="7"/>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Cross-departmental feedback.</w:t>
      </w:r>
    </w:p>
    <w:p w14:paraId="4C2DD5FB"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2CD710E1">
          <v:rect id="_x0000_i1031" style="width:0;height:1.5pt" o:hralign="center" o:hrstd="t" o:hr="t" fillcolor="#a0a0a0" stroked="f"/>
        </w:pict>
      </w:r>
    </w:p>
    <w:p w14:paraId="1576DD6C"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13" w:name="_Toc203069764"/>
      <w:r w:rsidRPr="00F068B3">
        <w:rPr>
          <w:rFonts w:ascii="Rockwell" w:eastAsia="Times New Roman" w:hAnsi="Rockwell" w:cs="Times New Roman"/>
          <w:b/>
          <w:bCs/>
          <w:sz w:val="36"/>
          <w:szCs w:val="36"/>
        </w:rPr>
        <w:t>5. Cost Calculation Formulas</w:t>
      </w:r>
      <w:bookmarkEnd w:id="13"/>
    </w:p>
    <w:p w14:paraId="0DBD5719" w14:textId="77777777" w:rsidR="00053141" w:rsidRPr="00053141" w:rsidRDefault="00053141" w:rsidP="00053141">
      <w:pPr>
        <w:spacing w:after="0" w:line="240" w:lineRule="auto"/>
        <w:rPr>
          <w:rFonts w:ascii="Times New Roman" w:eastAsia="Times New Roman" w:hAnsi="Times New Roman" w:cs="Times New Roman"/>
          <w:sz w:val="24"/>
          <w:szCs w:val="24"/>
        </w:rPr>
      </w:pPr>
      <w:r w:rsidRPr="00053141">
        <w:rPr>
          <w:rFonts w:ascii="Times New Roman" w:eastAsia="Times New Roman" w:hAnsi="Times New Roman" w:cs="Times New Roman"/>
          <w:sz w:val="24"/>
          <w:szCs w:val="24"/>
        </w:rPr>
        <w:pict w14:anchorId="0DA5DECA">
          <v:rect id="_x0000_i1094" style="width:0;height:1.5pt" o:hralign="center" o:hrstd="t" o:hr="t" fillcolor="#a0a0a0" stroked="f"/>
        </w:pict>
      </w:r>
    </w:p>
    <w:p w14:paraId="33C31A5F" w14:textId="77777777" w:rsidR="00053141" w:rsidRPr="00053141" w:rsidRDefault="00053141" w:rsidP="00053141">
      <w:pPr>
        <w:spacing w:before="100" w:beforeAutospacing="1" w:after="100" w:afterAutospacing="1" w:line="240" w:lineRule="auto"/>
        <w:outlineLvl w:val="2"/>
        <w:rPr>
          <w:rFonts w:ascii="Rockwell" w:eastAsia="Times New Roman" w:hAnsi="Rockwell" w:cs="Times New Roman"/>
          <w:b/>
          <w:bCs/>
          <w:sz w:val="27"/>
          <w:szCs w:val="27"/>
        </w:rPr>
      </w:pPr>
      <w:r w:rsidRPr="00053141">
        <w:rPr>
          <w:rFonts w:ascii="Segoe UI Emoji" w:eastAsia="Times New Roman" w:hAnsi="Segoe UI Emoji" w:cs="Segoe UI Emoji"/>
          <w:b/>
          <w:bCs/>
          <w:sz w:val="27"/>
          <w:szCs w:val="27"/>
        </w:rPr>
        <w:t>✅</w:t>
      </w:r>
      <w:r w:rsidRPr="00053141">
        <w:rPr>
          <w:rFonts w:ascii="Rockwell" w:eastAsia="Times New Roman" w:hAnsi="Rockwell" w:cs="Times New Roman"/>
          <w:b/>
          <w:bCs/>
          <w:sz w:val="27"/>
          <w:szCs w:val="27"/>
        </w:rPr>
        <w:t xml:space="preserve"> SUPPLY CHAIN COST CALCULATION FORMULAS</w:t>
      </w:r>
    </w:p>
    <w:p w14:paraId="5ED78281" w14:textId="77777777" w:rsidR="00053141" w:rsidRPr="00053141" w:rsidRDefault="00053141" w:rsidP="00053141">
      <w:pPr>
        <w:numPr>
          <w:ilvl w:val="0"/>
          <w:numId w:val="29"/>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Stockouts Cost</w:t>
      </w:r>
    </w:p>
    <w:p w14:paraId="0CB68075"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Stockouts Cost = Number of Stockouts × Average Cost per Stockout</w:t>
      </w:r>
    </w:p>
    <w:p w14:paraId="506ACA11" w14:textId="77777777" w:rsidR="00053141" w:rsidRPr="00053141" w:rsidRDefault="00053141" w:rsidP="00053141">
      <w:pPr>
        <w:numPr>
          <w:ilvl w:val="0"/>
          <w:numId w:val="29"/>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Excess Inventory Cost</w:t>
      </w:r>
    </w:p>
    <w:p w14:paraId="2BD6C58B"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Excess Inventory Cost = Excess Inventory Level × Carrying Cost per Unit</w:t>
      </w:r>
    </w:p>
    <w:p w14:paraId="69653764" w14:textId="77777777" w:rsidR="00053141" w:rsidRPr="00053141" w:rsidRDefault="00053141" w:rsidP="00053141">
      <w:pPr>
        <w:numPr>
          <w:ilvl w:val="0"/>
          <w:numId w:val="29"/>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Supplier Communication Cost</w:t>
      </w:r>
    </w:p>
    <w:p w14:paraId="6B0AE59F"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Supplier Communication Cost = Number of Communication Errors × Cost per Error</w:t>
      </w:r>
    </w:p>
    <w:p w14:paraId="1C17ECFD" w14:textId="77777777" w:rsidR="00053141" w:rsidRPr="00053141" w:rsidRDefault="00053141" w:rsidP="00053141">
      <w:pPr>
        <w:numPr>
          <w:ilvl w:val="0"/>
          <w:numId w:val="29"/>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Performance Monitoring Cost</w:t>
      </w:r>
    </w:p>
    <w:p w14:paraId="5CEB72DC"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Performance Monitoring Cost = Number of Performance Assessments × Cost per Assessment</w:t>
      </w:r>
    </w:p>
    <w:p w14:paraId="4FA250AA" w14:textId="77777777" w:rsidR="00053141" w:rsidRPr="00053141" w:rsidRDefault="00053141" w:rsidP="00053141">
      <w:pPr>
        <w:numPr>
          <w:ilvl w:val="0"/>
          <w:numId w:val="29"/>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Transportation Cost</w:t>
      </w:r>
    </w:p>
    <w:p w14:paraId="20FD756F"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Transportation Cost = Number of Shipments × Average Cost per Shipment</w:t>
      </w:r>
    </w:p>
    <w:p w14:paraId="368ED77A" w14:textId="77777777" w:rsidR="00053141" w:rsidRPr="00053141" w:rsidRDefault="00053141" w:rsidP="00053141">
      <w:pPr>
        <w:numPr>
          <w:ilvl w:val="0"/>
          <w:numId w:val="29"/>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Poor Inventory Tracking Cost</w:t>
      </w:r>
    </w:p>
    <w:p w14:paraId="20ED26FC"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Poor Inventory Tracking Cost = Number of Inventory Discrepancies × Cost per Discrepancy</w:t>
      </w:r>
    </w:p>
    <w:p w14:paraId="44FD45D9" w14:textId="77777777" w:rsidR="00053141" w:rsidRPr="00053141" w:rsidRDefault="00053141" w:rsidP="00053141">
      <w:pPr>
        <w:numPr>
          <w:ilvl w:val="0"/>
          <w:numId w:val="29"/>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Total Supply Chain Cost</w:t>
      </w:r>
    </w:p>
    <w:p w14:paraId="436D676E"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Total Supply Chain Cost = </w:t>
      </w:r>
    </w:p>
    <w:p w14:paraId="5725B962"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  Stockouts Cost </w:t>
      </w:r>
    </w:p>
    <w:p w14:paraId="5D45B6F2"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  + Excess Inventory Cost </w:t>
      </w:r>
    </w:p>
    <w:p w14:paraId="568853A7"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  + Supplier Communication Cost </w:t>
      </w:r>
    </w:p>
    <w:p w14:paraId="46FE2388"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  + Performance Monitoring Cost </w:t>
      </w:r>
    </w:p>
    <w:p w14:paraId="1EA5E788"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  + Transportation Cost </w:t>
      </w:r>
    </w:p>
    <w:p w14:paraId="5DB01F0D" w14:textId="77777777" w:rsidR="00053141" w:rsidRPr="00053141" w:rsidRDefault="00053141" w:rsidP="00053141">
      <w:pPr>
        <w:numPr>
          <w:ilvl w:val="0"/>
          <w:numId w:val="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  + Poor Inventory Tracking Cost</w:t>
      </w:r>
    </w:p>
    <w:p w14:paraId="48A41CF9" w14:textId="77777777" w:rsidR="00053141" w:rsidRPr="00053141" w:rsidRDefault="00053141" w:rsidP="00053141">
      <w:pPr>
        <w:spacing w:after="0" w:line="240" w:lineRule="auto"/>
        <w:rPr>
          <w:rFonts w:ascii="Rockwell" w:eastAsia="Times New Roman" w:hAnsi="Rockwell" w:cs="Times New Roman"/>
          <w:sz w:val="24"/>
          <w:szCs w:val="24"/>
        </w:rPr>
      </w:pPr>
      <w:r w:rsidRPr="00053141">
        <w:rPr>
          <w:rFonts w:ascii="Rockwell" w:eastAsia="Times New Roman" w:hAnsi="Rockwell" w:cs="Times New Roman"/>
          <w:sz w:val="24"/>
          <w:szCs w:val="24"/>
        </w:rPr>
        <w:pict w14:anchorId="2F609964">
          <v:rect id="_x0000_i1095" style="width:0;height:1.5pt" o:hralign="center" o:hrstd="t" o:hr="t" fillcolor="#a0a0a0" stroked="f"/>
        </w:pict>
      </w:r>
    </w:p>
    <w:p w14:paraId="5AF861D5" w14:textId="77777777" w:rsidR="00053141" w:rsidRPr="00053141" w:rsidRDefault="00053141" w:rsidP="00053141">
      <w:pPr>
        <w:spacing w:before="100" w:beforeAutospacing="1" w:after="100" w:afterAutospacing="1" w:line="240" w:lineRule="auto"/>
        <w:outlineLvl w:val="2"/>
        <w:rPr>
          <w:rFonts w:ascii="Rockwell" w:eastAsia="Times New Roman" w:hAnsi="Rockwell" w:cs="Times New Roman"/>
          <w:b/>
          <w:bCs/>
          <w:sz w:val="27"/>
          <w:szCs w:val="27"/>
        </w:rPr>
      </w:pPr>
      <w:r w:rsidRPr="00053141">
        <w:rPr>
          <w:rFonts w:ascii="Segoe UI Emoji" w:eastAsia="Times New Roman" w:hAnsi="Segoe UI Emoji" w:cs="Segoe UI Emoji"/>
          <w:b/>
          <w:bCs/>
          <w:sz w:val="27"/>
          <w:szCs w:val="27"/>
        </w:rPr>
        <w:t>✅</w:t>
      </w:r>
      <w:r w:rsidRPr="00053141">
        <w:rPr>
          <w:rFonts w:ascii="Rockwell" w:eastAsia="Times New Roman" w:hAnsi="Rockwell" w:cs="Times New Roman"/>
          <w:b/>
          <w:bCs/>
          <w:sz w:val="27"/>
          <w:szCs w:val="27"/>
        </w:rPr>
        <w:t xml:space="preserve"> SUPPLY CHAIN INEFFICIENCY FORMULAS (PERCENTAGE)</w:t>
      </w:r>
    </w:p>
    <w:p w14:paraId="05CE1F5E" w14:textId="77777777" w:rsidR="00053141" w:rsidRPr="00053141" w:rsidRDefault="00053141" w:rsidP="00053141">
      <w:pPr>
        <w:numPr>
          <w:ilvl w:val="0"/>
          <w:numId w:val="30"/>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lastRenderedPageBreak/>
        <w:t>Procurement Inefficiency (%)</w:t>
      </w:r>
    </w:p>
    <w:p w14:paraId="4F961DB5" w14:textId="77777777" w:rsidR="00053141" w:rsidRPr="00053141" w:rsidRDefault="00053141" w:rsidP="00053141">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Procurement Inefficiency (%) = </w:t>
      </w:r>
    </w:p>
    <w:p w14:paraId="4CFE8A4F" w14:textId="77777777" w:rsidR="00053141" w:rsidRPr="00053141" w:rsidRDefault="00053141" w:rsidP="00053141">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((Actual Procurement Cost - Benchmark Cost) / Benchmark Cost) × 100</w:t>
      </w:r>
    </w:p>
    <w:p w14:paraId="5C0CE592" w14:textId="77777777" w:rsidR="00053141" w:rsidRPr="00053141" w:rsidRDefault="00053141" w:rsidP="00053141">
      <w:pPr>
        <w:numPr>
          <w:ilvl w:val="0"/>
          <w:numId w:val="30"/>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Inventory Management Inefficiency (%)</w:t>
      </w:r>
    </w:p>
    <w:p w14:paraId="75CFE8F4" w14:textId="77777777" w:rsidR="00053141" w:rsidRPr="00053141" w:rsidRDefault="00053141" w:rsidP="00053141">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Inventory Inefficiency (%) = </w:t>
      </w:r>
    </w:p>
    <w:p w14:paraId="4428CD74" w14:textId="77777777" w:rsidR="00053141" w:rsidRPr="00053141" w:rsidRDefault="00053141" w:rsidP="00053141">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((Stockouts + Overstocks) / Total Inventory Transactions) × 100</w:t>
      </w:r>
    </w:p>
    <w:p w14:paraId="6C5EBBDF" w14:textId="77777777" w:rsidR="00053141" w:rsidRPr="00053141" w:rsidRDefault="00053141" w:rsidP="00053141">
      <w:pPr>
        <w:numPr>
          <w:ilvl w:val="0"/>
          <w:numId w:val="30"/>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Storage Practice Inefficiency (%)</w:t>
      </w:r>
    </w:p>
    <w:p w14:paraId="095A46F6"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Storage Inefficiency (%) = </w:t>
      </w:r>
    </w:p>
    <w:p w14:paraId="67610309"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(Damaged or Expired Stock / Total Stock) × 100</w:t>
      </w:r>
    </w:p>
    <w:p w14:paraId="0FBE6EE7" w14:textId="77777777" w:rsidR="00053141" w:rsidRPr="00053141" w:rsidRDefault="00053141" w:rsidP="00053141">
      <w:pPr>
        <w:numPr>
          <w:ilvl w:val="0"/>
          <w:numId w:val="31"/>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Demand Forecasting Inefficiency (%)</w:t>
      </w:r>
    </w:p>
    <w:p w14:paraId="17B14659"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Forecasting Inefficiency (%) = </w:t>
      </w:r>
    </w:p>
    <w:p w14:paraId="06E4812D"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(|Actual Demand - Forecast| / Actual Demand) × 100</w:t>
      </w:r>
    </w:p>
    <w:p w14:paraId="073C61B6" w14:textId="77777777" w:rsidR="00053141" w:rsidRPr="00053141" w:rsidRDefault="00053141" w:rsidP="00053141">
      <w:pPr>
        <w:numPr>
          <w:ilvl w:val="0"/>
          <w:numId w:val="32"/>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Supplier Inefficiency (%)</w:t>
      </w:r>
    </w:p>
    <w:p w14:paraId="327D25BC"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Supplier Inefficiency (%) = </w:t>
      </w:r>
    </w:p>
    <w:p w14:paraId="061D73FE"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(Late or Incorrect Deliveries / Total Deliveries) × 100</w:t>
      </w:r>
    </w:p>
    <w:p w14:paraId="32F790D2" w14:textId="77777777" w:rsidR="00053141" w:rsidRPr="00053141" w:rsidRDefault="00053141" w:rsidP="00053141">
      <w:pPr>
        <w:numPr>
          <w:ilvl w:val="0"/>
          <w:numId w:val="33"/>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Distribution Inefficiency (%)</w:t>
      </w:r>
    </w:p>
    <w:p w14:paraId="5E7B8EF2"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Distribution Inefficiency (%) = </w:t>
      </w:r>
    </w:p>
    <w:p w14:paraId="4527BEC4"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(Delayed or Incomplete Deliveries / Total Shipments) × 100</w:t>
      </w:r>
    </w:p>
    <w:p w14:paraId="20CE51C7" w14:textId="77777777" w:rsidR="00053141" w:rsidRPr="00053141" w:rsidRDefault="00053141" w:rsidP="00053141">
      <w:pPr>
        <w:numPr>
          <w:ilvl w:val="0"/>
          <w:numId w:val="34"/>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Financial Management and Cost Inefficiency (%)</w:t>
      </w:r>
    </w:p>
    <w:p w14:paraId="2623FA57"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Cost Inefficiency (%) = </w:t>
      </w:r>
    </w:p>
    <w:p w14:paraId="4D47942D"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((Actual Supply Chain Costs - Budgeted Costs) / Budgeted Costs) × 100</w:t>
      </w:r>
    </w:p>
    <w:p w14:paraId="4E0C6182" w14:textId="77777777" w:rsidR="00053141" w:rsidRPr="00053141" w:rsidRDefault="00053141" w:rsidP="00053141">
      <w:pPr>
        <w:numPr>
          <w:ilvl w:val="0"/>
          <w:numId w:val="35"/>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Monitoring and Reporting Inefficiency (%)</w:t>
      </w:r>
    </w:p>
    <w:p w14:paraId="4C0585ED"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Reporting Inefficiency (%) = </w:t>
      </w:r>
    </w:p>
    <w:p w14:paraId="0AEFBCCD"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(Delayed Reports / Total Reports) × 100</w:t>
      </w:r>
    </w:p>
    <w:p w14:paraId="2A2AC6F0" w14:textId="77777777" w:rsidR="00053141" w:rsidRPr="00053141" w:rsidRDefault="00053141" w:rsidP="00053141">
      <w:pPr>
        <w:numPr>
          <w:ilvl w:val="0"/>
          <w:numId w:val="36"/>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Technology and System Integration Inefficiency (%)</w:t>
      </w:r>
    </w:p>
    <w:p w14:paraId="461E9D15"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Technology Inefficiency (%) = </w:t>
      </w:r>
    </w:p>
    <w:p w14:paraId="1F7D1BCD"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(Manual Processes / Total Processes) × 100</w:t>
      </w:r>
    </w:p>
    <w:p w14:paraId="1DA053E7" w14:textId="77777777" w:rsidR="00053141" w:rsidRPr="00053141" w:rsidRDefault="00053141" w:rsidP="00053141">
      <w:pPr>
        <w:numPr>
          <w:ilvl w:val="0"/>
          <w:numId w:val="37"/>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Communication and Coordination Inefficiency (%)</w:t>
      </w:r>
    </w:p>
    <w:p w14:paraId="2ABF82E3"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Coordination Inefficiency (%) = </w:t>
      </w:r>
    </w:p>
    <w:p w14:paraId="100CFA43"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(Communication Failures / Total Communications) × 100</w:t>
      </w:r>
    </w:p>
    <w:p w14:paraId="5CE98DDE" w14:textId="77777777" w:rsidR="00053141" w:rsidRPr="00053141" w:rsidRDefault="00053141" w:rsidP="00053141">
      <w:pPr>
        <w:numPr>
          <w:ilvl w:val="0"/>
          <w:numId w:val="38"/>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Waste Management Inefficiency (%)</w:t>
      </w:r>
    </w:p>
    <w:p w14:paraId="06F459F7"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Waste Inefficiency (%) = </w:t>
      </w:r>
    </w:p>
    <w:p w14:paraId="672C03D0"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lastRenderedPageBreak/>
        <w:t>(Unusable or Expired Stock / Total Stock Handled) × 100</w:t>
      </w:r>
    </w:p>
    <w:p w14:paraId="1E9B2D6A" w14:textId="77777777" w:rsidR="00053141" w:rsidRPr="00053141" w:rsidRDefault="00053141" w:rsidP="00053141">
      <w:pPr>
        <w:numPr>
          <w:ilvl w:val="0"/>
          <w:numId w:val="39"/>
        </w:numPr>
        <w:spacing w:before="100" w:beforeAutospacing="1" w:after="100" w:afterAutospacing="1" w:line="240" w:lineRule="auto"/>
        <w:rPr>
          <w:rFonts w:ascii="Rockwell" w:eastAsia="Times New Roman" w:hAnsi="Rockwell" w:cs="Times New Roman"/>
          <w:sz w:val="24"/>
          <w:szCs w:val="24"/>
        </w:rPr>
      </w:pPr>
      <w:r w:rsidRPr="00053141">
        <w:rPr>
          <w:rFonts w:ascii="Rockwell" w:eastAsia="Times New Roman" w:hAnsi="Rockwell" w:cs="Times New Roman"/>
          <w:b/>
          <w:bCs/>
          <w:sz w:val="24"/>
          <w:szCs w:val="24"/>
        </w:rPr>
        <w:t>Dispensing Practice Inefficiency (%)</w:t>
      </w:r>
    </w:p>
    <w:p w14:paraId="4229EFBC"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 xml:space="preserve">Dispensing Inefficiency (%) = </w:t>
      </w:r>
    </w:p>
    <w:p w14:paraId="5DDEC9ED" w14:textId="77777777" w:rsidR="00053141" w:rsidRPr="00053141" w:rsidRDefault="00053141" w:rsidP="0005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ckwell" w:eastAsia="Times New Roman" w:hAnsi="Rockwell" w:cs="Courier New"/>
          <w:sz w:val="20"/>
          <w:szCs w:val="20"/>
        </w:rPr>
      </w:pPr>
      <w:r w:rsidRPr="00053141">
        <w:rPr>
          <w:rFonts w:ascii="Rockwell" w:eastAsia="Times New Roman" w:hAnsi="Rockwell" w:cs="Courier New"/>
          <w:sz w:val="20"/>
          <w:szCs w:val="20"/>
        </w:rPr>
        <w:t>(Incorrect or Delayed Dispensing Cases / Total Dispensing Transactions) × 100</w:t>
      </w:r>
    </w:p>
    <w:p w14:paraId="46F55FA4" w14:textId="77777777" w:rsidR="00053141" w:rsidRPr="00053141" w:rsidRDefault="00053141" w:rsidP="00053141">
      <w:pPr>
        <w:spacing w:after="0" w:line="240" w:lineRule="auto"/>
        <w:rPr>
          <w:rFonts w:ascii="Rockwell" w:eastAsia="Times New Roman" w:hAnsi="Rockwell" w:cs="Times New Roman"/>
          <w:sz w:val="24"/>
          <w:szCs w:val="24"/>
        </w:rPr>
      </w:pPr>
      <w:r w:rsidRPr="00053141">
        <w:rPr>
          <w:rFonts w:ascii="Rockwell" w:eastAsia="Times New Roman" w:hAnsi="Rockwell" w:cs="Times New Roman"/>
          <w:sz w:val="24"/>
          <w:szCs w:val="24"/>
        </w:rPr>
        <w:pict w14:anchorId="27E95909">
          <v:rect id="_x0000_i1096" style="width:0;height:1.5pt" o:hralign="center" o:hrstd="t" o:hr="t" fillcolor="#a0a0a0" stroked="f"/>
        </w:pict>
      </w:r>
    </w:p>
    <w:p w14:paraId="2AD4562F" w14:textId="064E8736" w:rsidR="00F068B3" w:rsidRPr="00F068B3" w:rsidRDefault="00F068B3" w:rsidP="00F068B3">
      <w:pPr>
        <w:spacing w:after="0" w:line="240" w:lineRule="auto"/>
        <w:rPr>
          <w:rFonts w:ascii="Rockwell" w:eastAsia="Times New Roman" w:hAnsi="Rockwell" w:cs="Times New Roman"/>
          <w:sz w:val="24"/>
          <w:szCs w:val="24"/>
        </w:rPr>
      </w:pPr>
    </w:p>
    <w:p w14:paraId="2EFB0432"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14" w:name="_Toc203069766"/>
      <w:r w:rsidRPr="00F068B3">
        <w:rPr>
          <w:rFonts w:ascii="Rockwell" w:eastAsia="Times New Roman" w:hAnsi="Rockwell" w:cs="Times New Roman"/>
          <w:b/>
          <w:bCs/>
          <w:sz w:val="36"/>
          <w:szCs w:val="36"/>
        </w:rPr>
        <w:t>6. Inefficiency Summary Table (Q4 2017 EC)</w:t>
      </w:r>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8"/>
        <w:gridCol w:w="4221"/>
        <w:gridCol w:w="1167"/>
        <w:gridCol w:w="3454"/>
      </w:tblGrid>
      <w:tr w:rsidR="00F068B3" w:rsidRPr="00F068B3" w14:paraId="690A6209" w14:textId="77777777" w:rsidTr="001F6071">
        <w:trPr>
          <w:tblHeader/>
          <w:tblCellSpacing w:w="15" w:type="dxa"/>
        </w:trPr>
        <w:tc>
          <w:tcPr>
            <w:tcW w:w="0" w:type="auto"/>
            <w:vAlign w:val="center"/>
            <w:hideMark/>
          </w:tcPr>
          <w:p w14:paraId="6EDCB1B3" w14:textId="77777777" w:rsidR="00F068B3" w:rsidRPr="00F068B3" w:rsidRDefault="00F068B3" w:rsidP="00F068B3">
            <w:pPr>
              <w:spacing w:after="0" w:line="240" w:lineRule="auto"/>
              <w:jc w:val="center"/>
              <w:rPr>
                <w:rFonts w:ascii="Rockwell" w:eastAsia="Times New Roman" w:hAnsi="Rockwell" w:cs="Times New Roman"/>
                <w:b/>
                <w:bCs/>
                <w:sz w:val="24"/>
                <w:szCs w:val="24"/>
              </w:rPr>
            </w:pPr>
            <w:r w:rsidRPr="00F068B3">
              <w:rPr>
                <w:rFonts w:ascii="Rockwell" w:eastAsia="Times New Roman" w:hAnsi="Rockwell" w:cs="Times New Roman"/>
                <w:b/>
                <w:bCs/>
                <w:sz w:val="24"/>
                <w:szCs w:val="24"/>
              </w:rPr>
              <w:t>No.</w:t>
            </w:r>
          </w:p>
        </w:tc>
        <w:tc>
          <w:tcPr>
            <w:tcW w:w="0" w:type="auto"/>
            <w:vAlign w:val="center"/>
            <w:hideMark/>
          </w:tcPr>
          <w:p w14:paraId="239A216E" w14:textId="77777777" w:rsidR="00F068B3" w:rsidRPr="00F068B3" w:rsidRDefault="00F068B3" w:rsidP="00F068B3">
            <w:pPr>
              <w:spacing w:after="0" w:line="240" w:lineRule="auto"/>
              <w:jc w:val="center"/>
              <w:rPr>
                <w:rFonts w:ascii="Rockwell" w:eastAsia="Times New Roman" w:hAnsi="Rockwell" w:cs="Times New Roman"/>
                <w:b/>
                <w:bCs/>
                <w:sz w:val="24"/>
                <w:szCs w:val="24"/>
              </w:rPr>
            </w:pPr>
            <w:r w:rsidRPr="00F068B3">
              <w:rPr>
                <w:rFonts w:ascii="Rockwell" w:eastAsia="Times New Roman" w:hAnsi="Rockwell" w:cs="Times New Roman"/>
                <w:b/>
                <w:bCs/>
                <w:sz w:val="24"/>
                <w:szCs w:val="24"/>
              </w:rPr>
              <w:t>Assessment Area</w:t>
            </w:r>
          </w:p>
        </w:tc>
        <w:tc>
          <w:tcPr>
            <w:tcW w:w="0" w:type="auto"/>
            <w:vAlign w:val="center"/>
            <w:hideMark/>
          </w:tcPr>
          <w:p w14:paraId="6B01471C" w14:textId="77777777" w:rsidR="00F068B3" w:rsidRPr="00F068B3" w:rsidRDefault="00F068B3" w:rsidP="00F068B3">
            <w:pPr>
              <w:spacing w:after="0" w:line="240" w:lineRule="auto"/>
              <w:jc w:val="center"/>
              <w:rPr>
                <w:rFonts w:ascii="Rockwell" w:eastAsia="Times New Roman" w:hAnsi="Rockwell" w:cs="Times New Roman"/>
                <w:b/>
                <w:bCs/>
                <w:sz w:val="24"/>
                <w:szCs w:val="24"/>
              </w:rPr>
            </w:pPr>
            <w:r w:rsidRPr="00F068B3">
              <w:rPr>
                <w:rFonts w:ascii="Rockwell" w:eastAsia="Times New Roman" w:hAnsi="Rockwell" w:cs="Times New Roman"/>
                <w:b/>
                <w:bCs/>
                <w:sz w:val="24"/>
                <w:szCs w:val="24"/>
              </w:rPr>
              <w:t>Cost (ETB)</w:t>
            </w:r>
          </w:p>
        </w:tc>
        <w:tc>
          <w:tcPr>
            <w:tcW w:w="0" w:type="auto"/>
            <w:vAlign w:val="center"/>
            <w:hideMark/>
          </w:tcPr>
          <w:p w14:paraId="2B11E852" w14:textId="77777777" w:rsidR="00F068B3" w:rsidRPr="00F068B3" w:rsidRDefault="00F068B3" w:rsidP="00F068B3">
            <w:pPr>
              <w:spacing w:after="0" w:line="240" w:lineRule="auto"/>
              <w:jc w:val="center"/>
              <w:rPr>
                <w:rFonts w:ascii="Rockwell" w:eastAsia="Times New Roman" w:hAnsi="Rockwell" w:cs="Times New Roman"/>
                <w:b/>
                <w:bCs/>
                <w:sz w:val="24"/>
                <w:szCs w:val="24"/>
              </w:rPr>
            </w:pPr>
            <w:r w:rsidRPr="00F068B3">
              <w:rPr>
                <w:rFonts w:ascii="Rockwell" w:eastAsia="Times New Roman" w:hAnsi="Rockwell" w:cs="Times New Roman"/>
                <w:b/>
                <w:bCs/>
                <w:sz w:val="24"/>
                <w:szCs w:val="24"/>
              </w:rPr>
              <w:t>% Contribution to Total Inefficiency</w:t>
            </w:r>
          </w:p>
        </w:tc>
      </w:tr>
      <w:tr w:rsidR="00F068B3" w:rsidRPr="00F068B3" w14:paraId="18586109" w14:textId="77777777" w:rsidTr="001F6071">
        <w:trPr>
          <w:tblCellSpacing w:w="15" w:type="dxa"/>
        </w:trPr>
        <w:tc>
          <w:tcPr>
            <w:tcW w:w="0" w:type="auto"/>
            <w:vAlign w:val="center"/>
            <w:hideMark/>
          </w:tcPr>
          <w:p w14:paraId="4E5FE1B7"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1</w:t>
            </w:r>
          </w:p>
        </w:tc>
        <w:tc>
          <w:tcPr>
            <w:tcW w:w="0" w:type="auto"/>
            <w:vAlign w:val="center"/>
            <w:hideMark/>
          </w:tcPr>
          <w:p w14:paraId="4F62F947"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Procurement Efficiency Inefficiency</w:t>
            </w:r>
          </w:p>
        </w:tc>
        <w:tc>
          <w:tcPr>
            <w:tcW w:w="0" w:type="auto"/>
            <w:vAlign w:val="center"/>
            <w:hideMark/>
          </w:tcPr>
          <w:p w14:paraId="230203CB"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7,000</w:t>
            </w:r>
          </w:p>
        </w:tc>
        <w:tc>
          <w:tcPr>
            <w:tcW w:w="0" w:type="auto"/>
            <w:vAlign w:val="center"/>
            <w:hideMark/>
          </w:tcPr>
          <w:p w14:paraId="1F5844E9"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0.84%</w:t>
            </w:r>
          </w:p>
        </w:tc>
      </w:tr>
      <w:tr w:rsidR="00F068B3" w:rsidRPr="00F068B3" w14:paraId="3AFEC216" w14:textId="77777777" w:rsidTr="001F6071">
        <w:trPr>
          <w:tblCellSpacing w:w="15" w:type="dxa"/>
        </w:trPr>
        <w:tc>
          <w:tcPr>
            <w:tcW w:w="0" w:type="auto"/>
            <w:vAlign w:val="center"/>
            <w:hideMark/>
          </w:tcPr>
          <w:p w14:paraId="118F4733"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2</w:t>
            </w:r>
          </w:p>
        </w:tc>
        <w:tc>
          <w:tcPr>
            <w:tcW w:w="0" w:type="auto"/>
            <w:vAlign w:val="center"/>
            <w:hideMark/>
          </w:tcPr>
          <w:p w14:paraId="40AB3A75"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Inventory Management Inefficiency</w:t>
            </w:r>
          </w:p>
        </w:tc>
        <w:tc>
          <w:tcPr>
            <w:tcW w:w="0" w:type="auto"/>
            <w:vAlign w:val="center"/>
            <w:hideMark/>
          </w:tcPr>
          <w:p w14:paraId="03EE668F"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6,300</w:t>
            </w:r>
          </w:p>
        </w:tc>
        <w:tc>
          <w:tcPr>
            <w:tcW w:w="0" w:type="auto"/>
            <w:vAlign w:val="center"/>
            <w:hideMark/>
          </w:tcPr>
          <w:p w14:paraId="6BE13D6F"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0.75%</w:t>
            </w:r>
          </w:p>
        </w:tc>
      </w:tr>
      <w:tr w:rsidR="00F068B3" w:rsidRPr="00F068B3" w14:paraId="19C64E17" w14:textId="77777777" w:rsidTr="001F6071">
        <w:trPr>
          <w:tblCellSpacing w:w="15" w:type="dxa"/>
        </w:trPr>
        <w:tc>
          <w:tcPr>
            <w:tcW w:w="0" w:type="auto"/>
            <w:vAlign w:val="center"/>
            <w:hideMark/>
          </w:tcPr>
          <w:p w14:paraId="5A689C15"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3</w:t>
            </w:r>
          </w:p>
        </w:tc>
        <w:tc>
          <w:tcPr>
            <w:tcW w:w="0" w:type="auto"/>
            <w:vAlign w:val="center"/>
            <w:hideMark/>
          </w:tcPr>
          <w:p w14:paraId="7A38C684"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Demand Forecasting Inefficiency</w:t>
            </w:r>
          </w:p>
        </w:tc>
        <w:tc>
          <w:tcPr>
            <w:tcW w:w="0" w:type="auto"/>
            <w:vAlign w:val="center"/>
            <w:hideMark/>
          </w:tcPr>
          <w:p w14:paraId="6F249D94"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5,250</w:t>
            </w:r>
          </w:p>
        </w:tc>
        <w:tc>
          <w:tcPr>
            <w:tcW w:w="0" w:type="auto"/>
            <w:vAlign w:val="center"/>
            <w:hideMark/>
          </w:tcPr>
          <w:p w14:paraId="6ABE18B2"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0.63%</w:t>
            </w:r>
          </w:p>
        </w:tc>
      </w:tr>
      <w:tr w:rsidR="00F068B3" w:rsidRPr="00F068B3" w14:paraId="5F8EEB0B" w14:textId="77777777" w:rsidTr="001F6071">
        <w:trPr>
          <w:tblCellSpacing w:w="15" w:type="dxa"/>
        </w:trPr>
        <w:tc>
          <w:tcPr>
            <w:tcW w:w="0" w:type="auto"/>
            <w:vAlign w:val="center"/>
            <w:hideMark/>
          </w:tcPr>
          <w:p w14:paraId="67AE91A2"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4</w:t>
            </w:r>
          </w:p>
        </w:tc>
        <w:tc>
          <w:tcPr>
            <w:tcW w:w="0" w:type="auto"/>
            <w:vAlign w:val="center"/>
            <w:hideMark/>
          </w:tcPr>
          <w:p w14:paraId="2F15E66B"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Supplier and Distribution Performance</w:t>
            </w:r>
          </w:p>
        </w:tc>
        <w:tc>
          <w:tcPr>
            <w:tcW w:w="0" w:type="auto"/>
            <w:vAlign w:val="center"/>
            <w:hideMark/>
          </w:tcPr>
          <w:p w14:paraId="7635664B"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4,500</w:t>
            </w:r>
          </w:p>
        </w:tc>
        <w:tc>
          <w:tcPr>
            <w:tcW w:w="0" w:type="auto"/>
            <w:vAlign w:val="center"/>
            <w:hideMark/>
          </w:tcPr>
          <w:p w14:paraId="79A239C3"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0.54%</w:t>
            </w:r>
          </w:p>
        </w:tc>
      </w:tr>
      <w:tr w:rsidR="00F068B3" w:rsidRPr="00F068B3" w14:paraId="18A1AC3F" w14:textId="77777777" w:rsidTr="001F6071">
        <w:trPr>
          <w:tblCellSpacing w:w="15" w:type="dxa"/>
        </w:trPr>
        <w:tc>
          <w:tcPr>
            <w:tcW w:w="0" w:type="auto"/>
            <w:vAlign w:val="center"/>
            <w:hideMark/>
          </w:tcPr>
          <w:p w14:paraId="08DBF2EB"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5</w:t>
            </w:r>
          </w:p>
        </w:tc>
        <w:tc>
          <w:tcPr>
            <w:tcW w:w="0" w:type="auto"/>
            <w:vAlign w:val="center"/>
            <w:hideMark/>
          </w:tcPr>
          <w:p w14:paraId="7902E6C0"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Financial Management and Cost Inefficiency</w:t>
            </w:r>
          </w:p>
        </w:tc>
        <w:tc>
          <w:tcPr>
            <w:tcW w:w="0" w:type="auto"/>
            <w:vAlign w:val="center"/>
            <w:hideMark/>
          </w:tcPr>
          <w:p w14:paraId="7F5B5B97"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4,200</w:t>
            </w:r>
          </w:p>
        </w:tc>
        <w:tc>
          <w:tcPr>
            <w:tcW w:w="0" w:type="auto"/>
            <w:vAlign w:val="center"/>
            <w:hideMark/>
          </w:tcPr>
          <w:p w14:paraId="6ED5BC32"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0.50%</w:t>
            </w:r>
          </w:p>
        </w:tc>
      </w:tr>
      <w:tr w:rsidR="00F068B3" w:rsidRPr="00F068B3" w14:paraId="3BB11D02" w14:textId="77777777" w:rsidTr="001F6071">
        <w:trPr>
          <w:tblCellSpacing w:w="15" w:type="dxa"/>
        </w:trPr>
        <w:tc>
          <w:tcPr>
            <w:tcW w:w="0" w:type="auto"/>
            <w:vAlign w:val="center"/>
            <w:hideMark/>
          </w:tcPr>
          <w:p w14:paraId="0D59BDE3"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6</w:t>
            </w:r>
          </w:p>
        </w:tc>
        <w:tc>
          <w:tcPr>
            <w:tcW w:w="0" w:type="auto"/>
            <w:vAlign w:val="center"/>
            <w:hideMark/>
          </w:tcPr>
          <w:p w14:paraId="46D66E81"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Monitoring and Reporting Inefficiency</w:t>
            </w:r>
          </w:p>
        </w:tc>
        <w:tc>
          <w:tcPr>
            <w:tcW w:w="0" w:type="auto"/>
            <w:vAlign w:val="center"/>
            <w:hideMark/>
          </w:tcPr>
          <w:p w14:paraId="2B5A17D1"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3,150</w:t>
            </w:r>
          </w:p>
        </w:tc>
        <w:tc>
          <w:tcPr>
            <w:tcW w:w="0" w:type="auto"/>
            <w:vAlign w:val="center"/>
            <w:hideMark/>
          </w:tcPr>
          <w:p w14:paraId="3A50754F"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0.38%</w:t>
            </w:r>
          </w:p>
        </w:tc>
      </w:tr>
      <w:tr w:rsidR="00F068B3" w:rsidRPr="00F068B3" w14:paraId="79208D65" w14:textId="77777777" w:rsidTr="001F6071">
        <w:trPr>
          <w:tblCellSpacing w:w="15" w:type="dxa"/>
        </w:trPr>
        <w:tc>
          <w:tcPr>
            <w:tcW w:w="0" w:type="auto"/>
            <w:vAlign w:val="center"/>
            <w:hideMark/>
          </w:tcPr>
          <w:p w14:paraId="14B2B03E"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7</w:t>
            </w:r>
          </w:p>
        </w:tc>
        <w:tc>
          <w:tcPr>
            <w:tcW w:w="0" w:type="auto"/>
            <w:vAlign w:val="center"/>
            <w:hideMark/>
          </w:tcPr>
          <w:p w14:paraId="261FFE30"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Technology and System Integration Inefficiency</w:t>
            </w:r>
          </w:p>
        </w:tc>
        <w:tc>
          <w:tcPr>
            <w:tcW w:w="0" w:type="auto"/>
            <w:vAlign w:val="center"/>
            <w:hideMark/>
          </w:tcPr>
          <w:p w14:paraId="34672BBD"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2,100</w:t>
            </w:r>
          </w:p>
        </w:tc>
        <w:tc>
          <w:tcPr>
            <w:tcW w:w="0" w:type="auto"/>
            <w:vAlign w:val="center"/>
            <w:hideMark/>
          </w:tcPr>
          <w:p w14:paraId="7505C341"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0.25%</w:t>
            </w:r>
          </w:p>
        </w:tc>
      </w:tr>
      <w:tr w:rsidR="00F068B3" w:rsidRPr="00F068B3" w14:paraId="16E6F0B9" w14:textId="77777777" w:rsidTr="001F6071">
        <w:trPr>
          <w:tblCellSpacing w:w="15" w:type="dxa"/>
        </w:trPr>
        <w:tc>
          <w:tcPr>
            <w:tcW w:w="0" w:type="auto"/>
            <w:vAlign w:val="center"/>
            <w:hideMark/>
          </w:tcPr>
          <w:p w14:paraId="70DD5466"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8</w:t>
            </w:r>
          </w:p>
        </w:tc>
        <w:tc>
          <w:tcPr>
            <w:tcW w:w="0" w:type="auto"/>
            <w:vAlign w:val="center"/>
            <w:hideMark/>
          </w:tcPr>
          <w:p w14:paraId="75FBBEDE"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Communication and Coordination Inefficiency</w:t>
            </w:r>
          </w:p>
        </w:tc>
        <w:tc>
          <w:tcPr>
            <w:tcW w:w="0" w:type="auto"/>
            <w:vAlign w:val="center"/>
            <w:hideMark/>
          </w:tcPr>
          <w:p w14:paraId="55D6478E"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2,100</w:t>
            </w:r>
          </w:p>
        </w:tc>
        <w:tc>
          <w:tcPr>
            <w:tcW w:w="0" w:type="auto"/>
            <w:vAlign w:val="center"/>
            <w:hideMark/>
          </w:tcPr>
          <w:p w14:paraId="1883E4A3"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0.25%</w:t>
            </w:r>
          </w:p>
        </w:tc>
      </w:tr>
      <w:tr w:rsidR="00F068B3" w:rsidRPr="00F068B3" w14:paraId="71009ED4" w14:textId="77777777" w:rsidTr="001F6071">
        <w:trPr>
          <w:tblCellSpacing w:w="15" w:type="dxa"/>
        </w:trPr>
        <w:tc>
          <w:tcPr>
            <w:tcW w:w="0" w:type="auto"/>
            <w:vAlign w:val="center"/>
            <w:hideMark/>
          </w:tcPr>
          <w:p w14:paraId="34ADA2D4"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9</w:t>
            </w:r>
          </w:p>
        </w:tc>
        <w:tc>
          <w:tcPr>
            <w:tcW w:w="0" w:type="auto"/>
            <w:vAlign w:val="center"/>
            <w:hideMark/>
          </w:tcPr>
          <w:p w14:paraId="044C6CA5"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Wastage Reduction Inefficiency</w:t>
            </w:r>
          </w:p>
        </w:tc>
        <w:tc>
          <w:tcPr>
            <w:tcW w:w="0" w:type="auto"/>
            <w:vAlign w:val="center"/>
            <w:hideMark/>
          </w:tcPr>
          <w:p w14:paraId="02F0B051"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1,350</w:t>
            </w:r>
          </w:p>
        </w:tc>
        <w:tc>
          <w:tcPr>
            <w:tcW w:w="0" w:type="auto"/>
            <w:vAlign w:val="center"/>
            <w:hideMark/>
          </w:tcPr>
          <w:p w14:paraId="66A8B3A5"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0.16%</w:t>
            </w:r>
          </w:p>
        </w:tc>
      </w:tr>
      <w:tr w:rsidR="00F068B3" w:rsidRPr="00F068B3" w14:paraId="2446D398" w14:textId="77777777" w:rsidTr="001F6071">
        <w:trPr>
          <w:tblCellSpacing w:w="15" w:type="dxa"/>
        </w:trPr>
        <w:tc>
          <w:tcPr>
            <w:tcW w:w="0" w:type="auto"/>
            <w:vAlign w:val="center"/>
            <w:hideMark/>
          </w:tcPr>
          <w:p w14:paraId="3FDA0C59"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10</w:t>
            </w:r>
          </w:p>
        </w:tc>
        <w:tc>
          <w:tcPr>
            <w:tcW w:w="0" w:type="auto"/>
            <w:vAlign w:val="center"/>
            <w:hideMark/>
          </w:tcPr>
          <w:p w14:paraId="2B188A60"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Storage Practice Inefficiency</w:t>
            </w:r>
          </w:p>
        </w:tc>
        <w:tc>
          <w:tcPr>
            <w:tcW w:w="0" w:type="auto"/>
            <w:vAlign w:val="center"/>
            <w:hideMark/>
          </w:tcPr>
          <w:p w14:paraId="678148C2"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1,050</w:t>
            </w:r>
          </w:p>
        </w:tc>
        <w:tc>
          <w:tcPr>
            <w:tcW w:w="0" w:type="auto"/>
            <w:vAlign w:val="center"/>
            <w:hideMark/>
          </w:tcPr>
          <w:p w14:paraId="65D12A0B"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0.13%</w:t>
            </w:r>
          </w:p>
        </w:tc>
      </w:tr>
      <w:tr w:rsidR="00F068B3" w:rsidRPr="00F068B3" w14:paraId="055960D3" w14:textId="77777777" w:rsidTr="001F6071">
        <w:trPr>
          <w:tblCellSpacing w:w="15" w:type="dxa"/>
        </w:trPr>
        <w:tc>
          <w:tcPr>
            <w:tcW w:w="0" w:type="auto"/>
            <w:vAlign w:val="center"/>
            <w:hideMark/>
          </w:tcPr>
          <w:p w14:paraId="4C3041C3"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11</w:t>
            </w:r>
          </w:p>
        </w:tc>
        <w:tc>
          <w:tcPr>
            <w:tcW w:w="0" w:type="auto"/>
            <w:vAlign w:val="center"/>
            <w:hideMark/>
          </w:tcPr>
          <w:p w14:paraId="7257C3FB"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Dispensing Practice Inefficiency</w:t>
            </w:r>
          </w:p>
        </w:tc>
        <w:tc>
          <w:tcPr>
            <w:tcW w:w="0" w:type="auto"/>
            <w:vAlign w:val="center"/>
            <w:hideMark/>
          </w:tcPr>
          <w:p w14:paraId="2C0674D6"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600</w:t>
            </w:r>
          </w:p>
        </w:tc>
        <w:tc>
          <w:tcPr>
            <w:tcW w:w="0" w:type="auto"/>
            <w:vAlign w:val="center"/>
            <w:hideMark/>
          </w:tcPr>
          <w:p w14:paraId="0EBD0AF0"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0.07%</w:t>
            </w:r>
          </w:p>
        </w:tc>
      </w:tr>
      <w:tr w:rsidR="00F068B3" w:rsidRPr="00F068B3" w14:paraId="3E551438" w14:textId="77777777" w:rsidTr="001F6071">
        <w:trPr>
          <w:tblCellSpacing w:w="15" w:type="dxa"/>
        </w:trPr>
        <w:tc>
          <w:tcPr>
            <w:tcW w:w="0" w:type="auto"/>
            <w:vAlign w:val="center"/>
            <w:hideMark/>
          </w:tcPr>
          <w:p w14:paraId="50E424A4" w14:textId="77777777" w:rsidR="00F068B3" w:rsidRPr="00F068B3" w:rsidRDefault="00F068B3" w:rsidP="00F068B3">
            <w:pPr>
              <w:spacing w:after="0" w:line="240" w:lineRule="auto"/>
              <w:rPr>
                <w:rFonts w:ascii="Rockwell" w:eastAsia="Times New Roman" w:hAnsi="Rockwell" w:cs="Times New Roman"/>
                <w:sz w:val="24"/>
                <w:szCs w:val="24"/>
              </w:rPr>
            </w:pPr>
          </w:p>
        </w:tc>
        <w:tc>
          <w:tcPr>
            <w:tcW w:w="0" w:type="auto"/>
            <w:vAlign w:val="center"/>
            <w:hideMark/>
          </w:tcPr>
          <w:p w14:paraId="5B5E84F0"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b/>
                <w:bCs/>
                <w:sz w:val="24"/>
                <w:szCs w:val="24"/>
              </w:rPr>
              <w:t>Total</w:t>
            </w:r>
          </w:p>
        </w:tc>
        <w:tc>
          <w:tcPr>
            <w:tcW w:w="0" w:type="auto"/>
            <w:vAlign w:val="center"/>
            <w:hideMark/>
          </w:tcPr>
          <w:p w14:paraId="541ED177"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b/>
                <w:bCs/>
                <w:sz w:val="24"/>
                <w:szCs w:val="24"/>
              </w:rPr>
              <w:t>42,000</w:t>
            </w:r>
          </w:p>
        </w:tc>
        <w:tc>
          <w:tcPr>
            <w:tcW w:w="0" w:type="auto"/>
            <w:vAlign w:val="center"/>
            <w:hideMark/>
          </w:tcPr>
          <w:p w14:paraId="3D5699BF"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b/>
                <w:bCs/>
                <w:sz w:val="24"/>
                <w:szCs w:val="24"/>
              </w:rPr>
              <w:t>3.12%</w:t>
            </w:r>
          </w:p>
        </w:tc>
      </w:tr>
    </w:tbl>
    <w:p w14:paraId="121399E4" w14:textId="77777777" w:rsidR="00E946BA"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7FE29801">
          <v:rect id="_x0000_i1034" style="width:0;height:1.5pt" o:hralign="center" o:hrstd="t" o:hr="t" fillcolor="#a0a0a0" stroked="f"/>
        </w:pict>
      </w:r>
    </w:p>
    <w:p w14:paraId="42FAAB86" w14:textId="77777777" w:rsidR="00E946BA" w:rsidRDefault="00E946BA" w:rsidP="00F068B3">
      <w:pPr>
        <w:spacing w:after="0" w:line="240" w:lineRule="auto"/>
        <w:rPr>
          <w:rFonts w:ascii="Rockwell" w:eastAsia="Times New Roman" w:hAnsi="Rockwell" w:cs="Times New Roman"/>
          <w:sz w:val="24"/>
          <w:szCs w:val="24"/>
        </w:rPr>
      </w:pPr>
    </w:p>
    <w:p w14:paraId="1294DA5B" w14:textId="77777777" w:rsidR="00E946BA" w:rsidRDefault="00E946BA" w:rsidP="00F068B3">
      <w:pPr>
        <w:spacing w:after="0" w:line="240" w:lineRule="auto"/>
        <w:rPr>
          <w:rFonts w:ascii="Rockwell" w:eastAsia="Times New Roman" w:hAnsi="Rockwell" w:cs="Times New Roman"/>
          <w:sz w:val="24"/>
          <w:szCs w:val="24"/>
        </w:rPr>
      </w:pPr>
    </w:p>
    <w:p w14:paraId="025292E3" w14:textId="3CCC7D09" w:rsidR="00E946BA" w:rsidRDefault="00E946BA" w:rsidP="00F068B3">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t xml:space="preserve">FIGURE 1: SUPPLY </w:t>
      </w:r>
      <w:proofErr w:type="gramStart"/>
      <w:r>
        <w:rPr>
          <w:rFonts w:ascii="Rockwell" w:eastAsia="Times New Roman" w:hAnsi="Rockwell" w:cs="Times New Roman"/>
          <w:sz w:val="24"/>
          <w:szCs w:val="24"/>
        </w:rPr>
        <w:t>CHAIN  INEFFICIENCIES</w:t>
      </w:r>
      <w:proofErr w:type="gramEnd"/>
      <w:r>
        <w:rPr>
          <w:rFonts w:ascii="Rockwell" w:eastAsia="Times New Roman" w:hAnsi="Rockwell" w:cs="Times New Roman"/>
          <w:sz w:val="24"/>
          <w:szCs w:val="24"/>
        </w:rPr>
        <w:t xml:space="preserve">  RATE QUARTER 4, 2017 EC</w:t>
      </w:r>
    </w:p>
    <w:p w14:paraId="22C97705" w14:textId="77777777" w:rsidR="00E946BA" w:rsidRDefault="00E946BA" w:rsidP="00F068B3">
      <w:pPr>
        <w:spacing w:after="0" w:line="240" w:lineRule="auto"/>
        <w:rPr>
          <w:rFonts w:ascii="Rockwell" w:eastAsia="Times New Roman" w:hAnsi="Rockwell" w:cs="Times New Roman"/>
          <w:sz w:val="24"/>
          <w:szCs w:val="24"/>
        </w:rPr>
      </w:pPr>
    </w:p>
    <w:p w14:paraId="1335E949" w14:textId="25B8FB65" w:rsidR="00E946BA" w:rsidRDefault="00E946BA" w:rsidP="00F068B3">
      <w:pPr>
        <w:spacing w:after="0" w:line="240" w:lineRule="auto"/>
        <w:rPr>
          <w:rFonts w:ascii="Rockwell" w:eastAsia="Times New Roman" w:hAnsi="Rockwell" w:cs="Times New Roman"/>
          <w:sz w:val="24"/>
          <w:szCs w:val="24"/>
        </w:rPr>
      </w:pPr>
      <w:r>
        <w:rPr>
          <w:rFonts w:ascii="Rockwell" w:eastAsia="Times New Roman" w:hAnsi="Rockwell" w:cs="Times New Roman"/>
          <w:sz w:val="24"/>
          <w:szCs w:val="24"/>
        </w:rPr>
        <w:lastRenderedPageBreak/>
        <w:t xml:space="preserve">  </w:t>
      </w:r>
      <w:r>
        <w:rPr>
          <w:noProof/>
        </w:rPr>
        <w:drawing>
          <wp:inline distT="0" distB="0" distL="0" distR="0" wp14:anchorId="7F6B7CAE" wp14:editId="0BB273C8">
            <wp:extent cx="5857875" cy="3400425"/>
            <wp:effectExtent l="0" t="0" r="9525" b="9525"/>
            <wp:docPr id="1" name="Chart 1">
              <a:extLst xmlns:a="http://schemas.openxmlformats.org/drawingml/2006/main">
                <a:ext uri="{FF2B5EF4-FFF2-40B4-BE49-F238E27FC236}">
                  <a16:creationId xmlns:a16="http://schemas.microsoft.com/office/drawing/2014/main" id="{CF89D809-6F2C-4F31-AC00-7783FE2102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C6E0263" w14:textId="77777777" w:rsidR="00E946BA" w:rsidRPr="00F068B3" w:rsidRDefault="00E946BA" w:rsidP="00F068B3">
      <w:pPr>
        <w:spacing w:after="0" w:line="240" w:lineRule="auto"/>
        <w:rPr>
          <w:rFonts w:ascii="Rockwell" w:eastAsia="Times New Roman" w:hAnsi="Rockwell" w:cs="Times New Roman"/>
          <w:sz w:val="24"/>
          <w:szCs w:val="24"/>
        </w:rPr>
      </w:pPr>
    </w:p>
    <w:p w14:paraId="4764A1AA"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15" w:name="_Toc203069767"/>
      <w:r w:rsidRPr="00F068B3">
        <w:rPr>
          <w:rFonts w:ascii="Rockwell" w:eastAsia="Times New Roman" w:hAnsi="Rockwell" w:cs="Times New Roman"/>
          <w:b/>
          <w:bCs/>
          <w:sz w:val="36"/>
          <w:szCs w:val="36"/>
        </w:rPr>
        <w:t>7. Assessment Results</w:t>
      </w:r>
      <w:bookmarkEnd w:id="15"/>
    </w:p>
    <w:p w14:paraId="7A9AE2F3" w14:textId="77777777" w:rsidR="00F068B3" w:rsidRPr="00F068B3" w:rsidRDefault="00F068B3" w:rsidP="00F068B3">
      <w:pPr>
        <w:numPr>
          <w:ilvl w:val="0"/>
          <w:numId w:val="2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Procurement inefficiencies due to delayed supplier contract reviews and unplanned emergency orders remain significant cost drivers.</w:t>
      </w:r>
    </w:p>
    <w:p w14:paraId="23018F92" w14:textId="77777777" w:rsidR="00F068B3" w:rsidRPr="00F068B3" w:rsidRDefault="00F068B3" w:rsidP="00F068B3">
      <w:pPr>
        <w:numPr>
          <w:ilvl w:val="0"/>
          <w:numId w:val="2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Inventory management challenges, including inconsistent stock level policies and manual tracking, contribute to both stockouts and excess inventory.</w:t>
      </w:r>
    </w:p>
    <w:p w14:paraId="0DEDA14B" w14:textId="77777777" w:rsidR="00F068B3" w:rsidRPr="00F068B3" w:rsidRDefault="00F068B3" w:rsidP="00F068B3">
      <w:pPr>
        <w:numPr>
          <w:ilvl w:val="0"/>
          <w:numId w:val="2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Demand forecasting inaccuracies lead to mismatches in stock levels affecting service continuity.</w:t>
      </w:r>
    </w:p>
    <w:p w14:paraId="70517822" w14:textId="77777777" w:rsidR="00F068B3" w:rsidRPr="00F068B3" w:rsidRDefault="00F068B3" w:rsidP="00F068B3">
      <w:pPr>
        <w:numPr>
          <w:ilvl w:val="0"/>
          <w:numId w:val="2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Supplier and distribution performance is impacted by inconsistent deliveries and absence of structured performance monitoring.</w:t>
      </w:r>
    </w:p>
    <w:p w14:paraId="007AB1E8" w14:textId="77777777" w:rsidR="00F068B3" w:rsidRPr="00F068B3" w:rsidRDefault="00F068B3" w:rsidP="00F068B3">
      <w:pPr>
        <w:numPr>
          <w:ilvl w:val="0"/>
          <w:numId w:val="2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Financial management lacks routine cost variance analysis leading to overspending.</w:t>
      </w:r>
    </w:p>
    <w:p w14:paraId="7E07C700" w14:textId="77777777" w:rsidR="00F068B3" w:rsidRPr="00F068B3" w:rsidRDefault="00F068B3" w:rsidP="00F068B3">
      <w:pPr>
        <w:numPr>
          <w:ilvl w:val="0"/>
          <w:numId w:val="2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Monitoring and reporting are inconsistent, reducing visibility into supply chain performance.</w:t>
      </w:r>
    </w:p>
    <w:p w14:paraId="0B6A5446" w14:textId="77777777" w:rsidR="00F068B3" w:rsidRPr="00F068B3" w:rsidRDefault="00F068B3" w:rsidP="00F068B3">
      <w:pPr>
        <w:numPr>
          <w:ilvl w:val="0"/>
          <w:numId w:val="2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Technology integration is minimal, with heavy reliance on manual processes.</w:t>
      </w:r>
    </w:p>
    <w:p w14:paraId="092FB775" w14:textId="77777777" w:rsidR="00F068B3" w:rsidRPr="00F068B3" w:rsidRDefault="00F068B3" w:rsidP="00F068B3">
      <w:pPr>
        <w:numPr>
          <w:ilvl w:val="0"/>
          <w:numId w:val="2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Communication gaps between departments delay urgent supply requests.</w:t>
      </w:r>
    </w:p>
    <w:p w14:paraId="069DB58F" w14:textId="77777777" w:rsidR="00F068B3" w:rsidRPr="00F068B3" w:rsidRDefault="00F068B3" w:rsidP="00F068B3">
      <w:pPr>
        <w:numPr>
          <w:ilvl w:val="0"/>
          <w:numId w:val="2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Wastage due to expired/damaged stock points to poor storage and inventory rotation practices.</w:t>
      </w:r>
    </w:p>
    <w:p w14:paraId="6B4AEF4F" w14:textId="77777777" w:rsidR="00F068B3" w:rsidRPr="00F068B3" w:rsidRDefault="00F068B3" w:rsidP="00F068B3">
      <w:pPr>
        <w:numPr>
          <w:ilvl w:val="0"/>
          <w:numId w:val="26"/>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Dispensing inefficiencies cause minor delays in ward stock availability.</w:t>
      </w:r>
    </w:p>
    <w:p w14:paraId="34CBAB07" w14:textId="4E86F3AA" w:rsid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32EE623D">
          <v:rect id="_x0000_i1035" style="width:0;height:1.5pt" o:hralign="center" o:hrstd="t" o:hr="t" fillcolor="#a0a0a0" stroked="f"/>
        </w:pict>
      </w:r>
    </w:p>
    <w:p w14:paraId="2A3E9D4C" w14:textId="3F252C99" w:rsidR="00CB6C05" w:rsidRDefault="00CB6C05" w:rsidP="00F068B3">
      <w:pPr>
        <w:spacing w:after="0" w:line="240" w:lineRule="auto"/>
        <w:rPr>
          <w:rFonts w:ascii="Rockwell" w:eastAsia="Times New Roman" w:hAnsi="Rockwell" w:cs="Times New Roman"/>
          <w:sz w:val="24"/>
          <w:szCs w:val="24"/>
        </w:rPr>
      </w:pPr>
    </w:p>
    <w:p w14:paraId="102CC812" w14:textId="77777777" w:rsidR="00CB6C05" w:rsidRPr="00F068B3" w:rsidRDefault="00CB6C05" w:rsidP="00F068B3">
      <w:pPr>
        <w:spacing w:after="0" w:line="240" w:lineRule="auto"/>
        <w:rPr>
          <w:rFonts w:ascii="Rockwell" w:eastAsia="Times New Roman" w:hAnsi="Rockwell" w:cs="Times New Roman"/>
          <w:sz w:val="24"/>
          <w:szCs w:val="24"/>
        </w:rPr>
      </w:pPr>
    </w:p>
    <w:p w14:paraId="046CF2CE"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16" w:name="_Toc203069768"/>
      <w:r w:rsidRPr="00F068B3">
        <w:rPr>
          <w:rFonts w:ascii="Rockwell" w:eastAsia="Times New Roman" w:hAnsi="Rockwell" w:cs="Times New Roman"/>
          <w:b/>
          <w:bCs/>
          <w:sz w:val="36"/>
          <w:szCs w:val="36"/>
        </w:rPr>
        <w:lastRenderedPageBreak/>
        <w:t>8. Risk Assessment</w:t>
      </w:r>
      <w:bookmarkEnd w:id="16"/>
    </w:p>
    <w:p w14:paraId="62AB7258" w14:textId="77777777" w:rsidR="00F068B3" w:rsidRPr="00F068B3" w:rsidRDefault="00F068B3" w:rsidP="00F068B3">
      <w:pPr>
        <w:numPr>
          <w:ilvl w:val="0"/>
          <w:numId w:val="27"/>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Stock shortages risking patient care delays.</w:t>
      </w:r>
    </w:p>
    <w:p w14:paraId="664E8BEF" w14:textId="77777777" w:rsidR="00F068B3" w:rsidRPr="00F068B3" w:rsidRDefault="00F068B3" w:rsidP="00F068B3">
      <w:pPr>
        <w:numPr>
          <w:ilvl w:val="0"/>
          <w:numId w:val="27"/>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Excess stock increasing storage costs and wastage.</w:t>
      </w:r>
    </w:p>
    <w:p w14:paraId="6E5B343A" w14:textId="77777777" w:rsidR="00F068B3" w:rsidRPr="00F068B3" w:rsidRDefault="00F068B3" w:rsidP="00F068B3">
      <w:pPr>
        <w:numPr>
          <w:ilvl w:val="0"/>
          <w:numId w:val="27"/>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Supplier dependency risks continuity of supply.</w:t>
      </w:r>
    </w:p>
    <w:p w14:paraId="3BEF7E32" w14:textId="77777777" w:rsidR="00F068B3" w:rsidRPr="00F068B3" w:rsidRDefault="00F068B3" w:rsidP="00F068B3">
      <w:pPr>
        <w:numPr>
          <w:ilvl w:val="0"/>
          <w:numId w:val="27"/>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Operational delays due to inefficient processes.</w:t>
      </w:r>
    </w:p>
    <w:p w14:paraId="6DC91802" w14:textId="77777777" w:rsidR="00F068B3" w:rsidRPr="00F068B3" w:rsidRDefault="00F068B3" w:rsidP="00F068B3">
      <w:pPr>
        <w:numPr>
          <w:ilvl w:val="0"/>
          <w:numId w:val="27"/>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Financial losses through emergency procurement and excess inventory.</w:t>
      </w:r>
    </w:p>
    <w:p w14:paraId="56AAE861" w14:textId="77777777" w:rsidR="00F068B3" w:rsidRPr="00F068B3" w:rsidRDefault="00F068B3" w:rsidP="00F068B3">
      <w:pPr>
        <w:numPr>
          <w:ilvl w:val="0"/>
          <w:numId w:val="27"/>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Inaccurate data impairing decision-making and planning.</w:t>
      </w:r>
    </w:p>
    <w:p w14:paraId="75A1C18E"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7E3B8C02">
          <v:rect id="_x0000_i1036" style="width:0;height:1.5pt" o:hralign="center" o:hrstd="t" o:hr="t" fillcolor="#a0a0a0" stroked="f"/>
        </w:pict>
      </w:r>
    </w:p>
    <w:p w14:paraId="598B4923"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17" w:name="_Toc203069769"/>
      <w:r w:rsidRPr="00F068B3">
        <w:rPr>
          <w:rFonts w:ascii="Rockwell" w:eastAsia="Times New Roman" w:hAnsi="Rockwell" w:cs="Times New Roman"/>
          <w:b/>
          <w:bCs/>
          <w:sz w:val="36"/>
          <w:szCs w:val="36"/>
        </w:rPr>
        <w:t>9. Discussion</w:t>
      </w:r>
      <w:bookmarkEnd w:id="17"/>
    </w:p>
    <w:p w14:paraId="4F81BAED" w14:textId="77777777" w:rsidR="00F068B3" w:rsidRPr="00F068B3" w:rsidRDefault="00F068B3" w:rsidP="00F068B3">
      <w:p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Q4, 2017 EC shows progress but ongoing inefficiencies in procurement, inventory management, and communication remain barriers to optimal supply chain performance. The low adoption of digital tools and insufficient monitoring systems limit corrective actions. Prioritizing automation, structured communication, and regular performance reviews will help reduce the inefficiency rate below the 3% target.</w:t>
      </w:r>
    </w:p>
    <w:p w14:paraId="3EECEF90"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4D771E5D">
          <v:rect id="_x0000_i1037" style="width:0;height:1.5pt" o:hralign="center" o:hrstd="t" o:hr="t" fillcolor="#a0a0a0" stroked="f"/>
        </w:pict>
      </w:r>
    </w:p>
    <w:p w14:paraId="22AF3C82"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18" w:name="_Toc203069770"/>
      <w:r w:rsidRPr="00F068B3">
        <w:rPr>
          <w:rFonts w:ascii="Rockwell" w:eastAsia="Times New Roman" w:hAnsi="Rockwell" w:cs="Times New Roman"/>
          <w:b/>
          <w:bCs/>
          <w:sz w:val="36"/>
          <w:szCs w:val="36"/>
        </w:rPr>
        <w:t>10. Action Plan</w:t>
      </w:r>
      <w:bookmarkEnd w:id="1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1"/>
        <w:gridCol w:w="3470"/>
        <w:gridCol w:w="1279"/>
        <w:gridCol w:w="1820"/>
      </w:tblGrid>
      <w:tr w:rsidR="00F068B3" w:rsidRPr="00F068B3" w14:paraId="5431B5E9" w14:textId="77777777" w:rsidTr="001F6071">
        <w:trPr>
          <w:tblHeader/>
          <w:tblCellSpacing w:w="15" w:type="dxa"/>
        </w:trPr>
        <w:tc>
          <w:tcPr>
            <w:tcW w:w="0" w:type="auto"/>
            <w:vAlign w:val="center"/>
            <w:hideMark/>
          </w:tcPr>
          <w:p w14:paraId="37B10EDC" w14:textId="77777777" w:rsidR="00F068B3" w:rsidRPr="00F068B3" w:rsidRDefault="00F068B3" w:rsidP="00F068B3">
            <w:pPr>
              <w:spacing w:after="0" w:line="240" w:lineRule="auto"/>
              <w:jc w:val="center"/>
              <w:rPr>
                <w:rFonts w:ascii="Rockwell" w:eastAsia="Times New Roman" w:hAnsi="Rockwell" w:cs="Times New Roman"/>
                <w:b/>
                <w:bCs/>
                <w:sz w:val="24"/>
                <w:szCs w:val="24"/>
              </w:rPr>
            </w:pPr>
            <w:r w:rsidRPr="00F068B3">
              <w:rPr>
                <w:rFonts w:ascii="Rockwell" w:eastAsia="Times New Roman" w:hAnsi="Rockwell" w:cs="Times New Roman"/>
                <w:b/>
                <w:bCs/>
                <w:sz w:val="24"/>
                <w:szCs w:val="24"/>
              </w:rPr>
              <w:t>Identified Gap</w:t>
            </w:r>
          </w:p>
        </w:tc>
        <w:tc>
          <w:tcPr>
            <w:tcW w:w="0" w:type="auto"/>
            <w:vAlign w:val="center"/>
            <w:hideMark/>
          </w:tcPr>
          <w:p w14:paraId="1E93DA47" w14:textId="77777777" w:rsidR="00F068B3" w:rsidRPr="00F068B3" w:rsidRDefault="00F068B3" w:rsidP="00F068B3">
            <w:pPr>
              <w:spacing w:after="0" w:line="240" w:lineRule="auto"/>
              <w:jc w:val="center"/>
              <w:rPr>
                <w:rFonts w:ascii="Rockwell" w:eastAsia="Times New Roman" w:hAnsi="Rockwell" w:cs="Times New Roman"/>
                <w:b/>
                <w:bCs/>
                <w:sz w:val="24"/>
                <w:szCs w:val="24"/>
              </w:rPr>
            </w:pPr>
            <w:r w:rsidRPr="00F068B3">
              <w:rPr>
                <w:rFonts w:ascii="Rockwell" w:eastAsia="Times New Roman" w:hAnsi="Rockwell" w:cs="Times New Roman"/>
                <w:b/>
                <w:bCs/>
                <w:sz w:val="24"/>
                <w:szCs w:val="24"/>
              </w:rPr>
              <w:t>Strategic Intervention</w:t>
            </w:r>
          </w:p>
        </w:tc>
        <w:tc>
          <w:tcPr>
            <w:tcW w:w="0" w:type="auto"/>
            <w:vAlign w:val="center"/>
            <w:hideMark/>
          </w:tcPr>
          <w:p w14:paraId="29298CCB" w14:textId="77777777" w:rsidR="00F068B3" w:rsidRPr="00F068B3" w:rsidRDefault="00F068B3" w:rsidP="00F068B3">
            <w:pPr>
              <w:spacing w:after="0" w:line="240" w:lineRule="auto"/>
              <w:jc w:val="center"/>
              <w:rPr>
                <w:rFonts w:ascii="Rockwell" w:eastAsia="Times New Roman" w:hAnsi="Rockwell" w:cs="Times New Roman"/>
                <w:b/>
                <w:bCs/>
                <w:sz w:val="24"/>
                <w:szCs w:val="24"/>
              </w:rPr>
            </w:pPr>
            <w:r w:rsidRPr="00F068B3">
              <w:rPr>
                <w:rFonts w:ascii="Rockwell" w:eastAsia="Times New Roman" w:hAnsi="Rockwell" w:cs="Times New Roman"/>
                <w:b/>
                <w:bCs/>
                <w:sz w:val="24"/>
                <w:szCs w:val="24"/>
              </w:rPr>
              <w:t>Timeline</w:t>
            </w:r>
          </w:p>
        </w:tc>
        <w:tc>
          <w:tcPr>
            <w:tcW w:w="0" w:type="auto"/>
            <w:vAlign w:val="center"/>
            <w:hideMark/>
          </w:tcPr>
          <w:p w14:paraId="3A0B07A9" w14:textId="77777777" w:rsidR="00F068B3" w:rsidRPr="00F068B3" w:rsidRDefault="00F068B3" w:rsidP="00F068B3">
            <w:pPr>
              <w:spacing w:after="0" w:line="240" w:lineRule="auto"/>
              <w:jc w:val="center"/>
              <w:rPr>
                <w:rFonts w:ascii="Rockwell" w:eastAsia="Times New Roman" w:hAnsi="Rockwell" w:cs="Times New Roman"/>
                <w:b/>
                <w:bCs/>
                <w:sz w:val="24"/>
                <w:szCs w:val="24"/>
              </w:rPr>
            </w:pPr>
            <w:r w:rsidRPr="00F068B3">
              <w:rPr>
                <w:rFonts w:ascii="Rockwell" w:eastAsia="Times New Roman" w:hAnsi="Rockwell" w:cs="Times New Roman"/>
                <w:b/>
                <w:bCs/>
                <w:sz w:val="24"/>
                <w:szCs w:val="24"/>
              </w:rPr>
              <w:t>Responsible Body</w:t>
            </w:r>
          </w:p>
        </w:tc>
      </w:tr>
      <w:tr w:rsidR="00F068B3" w:rsidRPr="00F068B3" w14:paraId="03185A54" w14:textId="77777777" w:rsidTr="001F6071">
        <w:trPr>
          <w:tblCellSpacing w:w="15" w:type="dxa"/>
        </w:trPr>
        <w:tc>
          <w:tcPr>
            <w:tcW w:w="0" w:type="auto"/>
            <w:vAlign w:val="center"/>
            <w:hideMark/>
          </w:tcPr>
          <w:p w14:paraId="121C8B7B"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Lack of supplier contract reviews</w:t>
            </w:r>
          </w:p>
        </w:tc>
        <w:tc>
          <w:tcPr>
            <w:tcW w:w="0" w:type="auto"/>
            <w:vAlign w:val="center"/>
            <w:hideMark/>
          </w:tcPr>
          <w:p w14:paraId="6C1FAD5F"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Schedule and implement annual contract reviews</w:t>
            </w:r>
          </w:p>
        </w:tc>
        <w:tc>
          <w:tcPr>
            <w:tcW w:w="0" w:type="auto"/>
            <w:vAlign w:val="center"/>
            <w:hideMark/>
          </w:tcPr>
          <w:p w14:paraId="164AFE7D"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Q1, 2018 EC</w:t>
            </w:r>
          </w:p>
        </w:tc>
        <w:tc>
          <w:tcPr>
            <w:tcW w:w="0" w:type="auto"/>
            <w:vAlign w:val="center"/>
            <w:hideMark/>
          </w:tcPr>
          <w:p w14:paraId="5611C751"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DTC</w:t>
            </w:r>
          </w:p>
        </w:tc>
      </w:tr>
      <w:tr w:rsidR="00F068B3" w:rsidRPr="00F068B3" w14:paraId="58D6C4D8" w14:textId="77777777" w:rsidTr="001F6071">
        <w:trPr>
          <w:tblCellSpacing w:w="15" w:type="dxa"/>
        </w:trPr>
        <w:tc>
          <w:tcPr>
            <w:tcW w:w="0" w:type="auto"/>
            <w:vAlign w:val="center"/>
            <w:hideMark/>
          </w:tcPr>
          <w:p w14:paraId="584DEB35"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Manual inventory tracking</w:t>
            </w:r>
          </w:p>
        </w:tc>
        <w:tc>
          <w:tcPr>
            <w:tcW w:w="0" w:type="auto"/>
            <w:vAlign w:val="center"/>
            <w:hideMark/>
          </w:tcPr>
          <w:p w14:paraId="40452DEB"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Implement digital inventory management system</w:t>
            </w:r>
          </w:p>
        </w:tc>
        <w:tc>
          <w:tcPr>
            <w:tcW w:w="0" w:type="auto"/>
            <w:vAlign w:val="center"/>
            <w:hideMark/>
          </w:tcPr>
          <w:p w14:paraId="38FF5CCC"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Q1, 2018 EC</w:t>
            </w:r>
          </w:p>
        </w:tc>
        <w:tc>
          <w:tcPr>
            <w:tcW w:w="0" w:type="auto"/>
            <w:vAlign w:val="center"/>
            <w:hideMark/>
          </w:tcPr>
          <w:p w14:paraId="3797E270"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Pharmacy Head</w:t>
            </w:r>
          </w:p>
        </w:tc>
      </w:tr>
      <w:tr w:rsidR="00F068B3" w:rsidRPr="00F068B3" w14:paraId="1DB4A4C1" w14:textId="77777777" w:rsidTr="001F6071">
        <w:trPr>
          <w:tblCellSpacing w:w="15" w:type="dxa"/>
        </w:trPr>
        <w:tc>
          <w:tcPr>
            <w:tcW w:w="0" w:type="auto"/>
            <w:vAlign w:val="center"/>
            <w:hideMark/>
          </w:tcPr>
          <w:p w14:paraId="424A6A5C"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Delays in procurement</w:t>
            </w:r>
          </w:p>
        </w:tc>
        <w:tc>
          <w:tcPr>
            <w:tcW w:w="0" w:type="auto"/>
            <w:vAlign w:val="center"/>
            <w:hideMark/>
          </w:tcPr>
          <w:p w14:paraId="3BDF27BC"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Streamline procurement workflow and approvals</w:t>
            </w:r>
          </w:p>
        </w:tc>
        <w:tc>
          <w:tcPr>
            <w:tcW w:w="0" w:type="auto"/>
            <w:vAlign w:val="center"/>
            <w:hideMark/>
          </w:tcPr>
          <w:p w14:paraId="7B0428BE"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Q1, 2018 EC</w:t>
            </w:r>
          </w:p>
        </w:tc>
        <w:tc>
          <w:tcPr>
            <w:tcW w:w="0" w:type="auto"/>
            <w:vAlign w:val="center"/>
            <w:hideMark/>
          </w:tcPr>
          <w:p w14:paraId="699BEBDE"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DTC</w:t>
            </w:r>
          </w:p>
        </w:tc>
      </w:tr>
      <w:tr w:rsidR="00F068B3" w:rsidRPr="00F068B3" w14:paraId="22E2E0C7" w14:textId="77777777" w:rsidTr="001F6071">
        <w:trPr>
          <w:tblCellSpacing w:w="15" w:type="dxa"/>
        </w:trPr>
        <w:tc>
          <w:tcPr>
            <w:tcW w:w="0" w:type="auto"/>
            <w:vAlign w:val="center"/>
            <w:hideMark/>
          </w:tcPr>
          <w:p w14:paraId="36213251"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Communication gaps</w:t>
            </w:r>
          </w:p>
        </w:tc>
        <w:tc>
          <w:tcPr>
            <w:tcW w:w="0" w:type="auto"/>
            <w:vAlign w:val="center"/>
            <w:hideMark/>
          </w:tcPr>
          <w:p w14:paraId="32941BBA"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 xml:space="preserve">Set regular </w:t>
            </w:r>
            <w:proofErr w:type="spellStart"/>
            <w:r w:rsidRPr="00F068B3">
              <w:rPr>
                <w:rFonts w:ascii="Rockwell" w:eastAsia="Times New Roman" w:hAnsi="Rockwell" w:cs="Times New Roman"/>
                <w:sz w:val="24"/>
                <w:szCs w:val="24"/>
              </w:rPr>
              <w:t>interdepartment</w:t>
            </w:r>
            <w:proofErr w:type="spellEnd"/>
            <w:r w:rsidRPr="00F068B3">
              <w:rPr>
                <w:rFonts w:ascii="Rockwell" w:eastAsia="Times New Roman" w:hAnsi="Rockwell" w:cs="Times New Roman"/>
                <w:sz w:val="24"/>
                <w:szCs w:val="24"/>
              </w:rPr>
              <w:t xml:space="preserve"> coordination meetings</w:t>
            </w:r>
          </w:p>
        </w:tc>
        <w:tc>
          <w:tcPr>
            <w:tcW w:w="0" w:type="auto"/>
            <w:vAlign w:val="center"/>
            <w:hideMark/>
          </w:tcPr>
          <w:p w14:paraId="76F8814A"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Q1, 2018 EC</w:t>
            </w:r>
          </w:p>
        </w:tc>
        <w:tc>
          <w:tcPr>
            <w:tcW w:w="0" w:type="auto"/>
            <w:vAlign w:val="center"/>
            <w:hideMark/>
          </w:tcPr>
          <w:p w14:paraId="3684E21A"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DTC</w:t>
            </w:r>
          </w:p>
        </w:tc>
      </w:tr>
      <w:tr w:rsidR="00F068B3" w:rsidRPr="00F068B3" w14:paraId="2FC7461F" w14:textId="77777777" w:rsidTr="001F6071">
        <w:trPr>
          <w:tblCellSpacing w:w="15" w:type="dxa"/>
        </w:trPr>
        <w:tc>
          <w:tcPr>
            <w:tcW w:w="0" w:type="auto"/>
            <w:vAlign w:val="center"/>
            <w:hideMark/>
          </w:tcPr>
          <w:p w14:paraId="74D60A42"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Lack of periodic stock audits</w:t>
            </w:r>
          </w:p>
        </w:tc>
        <w:tc>
          <w:tcPr>
            <w:tcW w:w="0" w:type="auto"/>
            <w:vAlign w:val="center"/>
            <w:hideMark/>
          </w:tcPr>
          <w:p w14:paraId="52546941"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Institutionalize quarterly stock audits</w:t>
            </w:r>
          </w:p>
        </w:tc>
        <w:tc>
          <w:tcPr>
            <w:tcW w:w="0" w:type="auto"/>
            <w:vAlign w:val="center"/>
            <w:hideMark/>
          </w:tcPr>
          <w:p w14:paraId="0B56D662"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Q1, 2018 EC</w:t>
            </w:r>
          </w:p>
        </w:tc>
        <w:tc>
          <w:tcPr>
            <w:tcW w:w="0" w:type="auto"/>
            <w:vAlign w:val="center"/>
            <w:hideMark/>
          </w:tcPr>
          <w:p w14:paraId="1D6B1311"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DTC</w:t>
            </w:r>
          </w:p>
        </w:tc>
      </w:tr>
      <w:tr w:rsidR="00F068B3" w:rsidRPr="00F068B3" w14:paraId="4D652664" w14:textId="77777777" w:rsidTr="001F6071">
        <w:trPr>
          <w:tblCellSpacing w:w="15" w:type="dxa"/>
        </w:trPr>
        <w:tc>
          <w:tcPr>
            <w:tcW w:w="0" w:type="auto"/>
            <w:vAlign w:val="center"/>
            <w:hideMark/>
          </w:tcPr>
          <w:p w14:paraId="0AD9F007"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Inadequate performance monitoring</w:t>
            </w:r>
          </w:p>
        </w:tc>
        <w:tc>
          <w:tcPr>
            <w:tcW w:w="0" w:type="auto"/>
            <w:vAlign w:val="center"/>
            <w:hideMark/>
          </w:tcPr>
          <w:p w14:paraId="65D9EB12"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Implement KPI tracking and automated reporting</w:t>
            </w:r>
          </w:p>
        </w:tc>
        <w:tc>
          <w:tcPr>
            <w:tcW w:w="0" w:type="auto"/>
            <w:vAlign w:val="center"/>
            <w:hideMark/>
          </w:tcPr>
          <w:p w14:paraId="741C0A05"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Q2, 2018 EC</w:t>
            </w:r>
          </w:p>
        </w:tc>
        <w:tc>
          <w:tcPr>
            <w:tcW w:w="0" w:type="auto"/>
            <w:vAlign w:val="center"/>
            <w:hideMark/>
          </w:tcPr>
          <w:p w14:paraId="72B96503"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DTC</w:t>
            </w:r>
          </w:p>
        </w:tc>
      </w:tr>
    </w:tbl>
    <w:p w14:paraId="3C7E9F5F"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6DD4B684">
          <v:rect id="_x0000_i1038" style="width:0;height:1.5pt" o:hralign="center" o:hrstd="t" o:hr="t" fillcolor="#a0a0a0" stroked="f"/>
        </w:pict>
      </w:r>
    </w:p>
    <w:p w14:paraId="60B4DF91"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19" w:name="_Toc203069771"/>
      <w:r w:rsidRPr="00F068B3">
        <w:rPr>
          <w:rFonts w:ascii="Rockwell" w:eastAsia="Times New Roman" w:hAnsi="Rockwell" w:cs="Times New Roman"/>
          <w:b/>
          <w:bCs/>
          <w:sz w:val="36"/>
          <w:szCs w:val="36"/>
        </w:rPr>
        <w:lastRenderedPageBreak/>
        <w:t>11. Recommendations and Utilization Plan</w:t>
      </w:r>
      <w:bookmarkEnd w:id="19"/>
    </w:p>
    <w:p w14:paraId="15F1B8A3" w14:textId="77777777" w:rsidR="00F068B3" w:rsidRPr="00F068B3" w:rsidRDefault="00F068B3" w:rsidP="00F068B3">
      <w:pPr>
        <w:numPr>
          <w:ilvl w:val="0"/>
          <w:numId w:val="28"/>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Deploy a real-time digital inventory system to reduce manual errors.</w:t>
      </w:r>
    </w:p>
    <w:p w14:paraId="7544FB76" w14:textId="77777777" w:rsidR="00F068B3" w:rsidRPr="00F068B3" w:rsidRDefault="00F068B3" w:rsidP="00F068B3">
      <w:pPr>
        <w:numPr>
          <w:ilvl w:val="0"/>
          <w:numId w:val="28"/>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Automate performance reports for timely decision-making.</w:t>
      </w:r>
    </w:p>
    <w:p w14:paraId="726FCB2F" w14:textId="77777777" w:rsidR="00F068B3" w:rsidRPr="00F068B3" w:rsidRDefault="00F068B3" w:rsidP="00F068B3">
      <w:pPr>
        <w:numPr>
          <w:ilvl w:val="0"/>
          <w:numId w:val="28"/>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Establish and monitor KPIs like stockout rates, procurement lead times, and wastage.</w:t>
      </w:r>
    </w:p>
    <w:p w14:paraId="45D2CAE0" w14:textId="77777777" w:rsidR="00F068B3" w:rsidRPr="00F068B3" w:rsidRDefault="00F068B3" w:rsidP="00F068B3">
      <w:pPr>
        <w:numPr>
          <w:ilvl w:val="0"/>
          <w:numId w:val="28"/>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Engage suppliers regularly to improve delivery and service quality.</w:t>
      </w:r>
    </w:p>
    <w:p w14:paraId="42BDD681" w14:textId="77777777" w:rsidR="00F068B3" w:rsidRPr="00F068B3" w:rsidRDefault="00F068B3" w:rsidP="00F068B3">
      <w:pPr>
        <w:numPr>
          <w:ilvl w:val="0"/>
          <w:numId w:val="28"/>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Conduct ongoing staff training on supply chain best practices and systems.</w:t>
      </w:r>
    </w:p>
    <w:p w14:paraId="07DAF89F" w14:textId="77777777" w:rsidR="00F068B3" w:rsidRPr="00F068B3" w:rsidRDefault="00F068B3" w:rsidP="00F068B3">
      <w:pPr>
        <w:numPr>
          <w:ilvl w:val="0"/>
          <w:numId w:val="28"/>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Enforce regular stock audits and discrepancy reconciliations.</w:t>
      </w:r>
    </w:p>
    <w:p w14:paraId="7680927F" w14:textId="77777777" w:rsidR="00F068B3" w:rsidRPr="00F068B3" w:rsidRDefault="00F068B3" w:rsidP="00F068B3">
      <w:pPr>
        <w:numPr>
          <w:ilvl w:val="0"/>
          <w:numId w:val="28"/>
        </w:numPr>
        <w:spacing w:before="100" w:beforeAutospacing="1" w:after="100" w:afterAutospacing="1"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t>Develop SOPs for emergency supply requests and urgent communication.</w:t>
      </w:r>
    </w:p>
    <w:p w14:paraId="3D810ED1"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146AD2E7">
          <v:rect id="_x0000_i1039" style="width:0;height:1.5pt" o:hralign="center" o:hrstd="t" o:hr="t" fillcolor="#a0a0a0" stroked="f"/>
        </w:pict>
      </w:r>
    </w:p>
    <w:p w14:paraId="1B224B5C" w14:textId="77777777" w:rsidR="00F068B3" w:rsidRPr="00F068B3" w:rsidRDefault="00F068B3" w:rsidP="00F068B3">
      <w:pPr>
        <w:spacing w:before="100" w:beforeAutospacing="1" w:after="100" w:afterAutospacing="1" w:line="240" w:lineRule="auto"/>
        <w:outlineLvl w:val="1"/>
        <w:rPr>
          <w:rFonts w:ascii="Rockwell" w:eastAsia="Times New Roman" w:hAnsi="Rockwell" w:cs="Times New Roman"/>
          <w:b/>
          <w:bCs/>
          <w:sz w:val="36"/>
          <w:szCs w:val="36"/>
        </w:rPr>
      </w:pPr>
      <w:bookmarkStart w:id="20" w:name="_Toc203069772"/>
      <w:r w:rsidRPr="00F068B3">
        <w:rPr>
          <w:rFonts w:ascii="Rockwell" w:eastAsia="Times New Roman" w:hAnsi="Rockwell" w:cs="Times New Roman"/>
          <w:b/>
          <w:bCs/>
          <w:sz w:val="36"/>
          <w:szCs w:val="36"/>
        </w:rPr>
        <w:t>12. Conclusion</w:t>
      </w:r>
      <w:bookmarkEnd w:id="20"/>
    </w:p>
    <w:p w14:paraId="0DB1BD53" w14:textId="77777777" w:rsidR="00F068B3" w:rsidRPr="00F068B3" w:rsidRDefault="00F068B3" w:rsidP="00F068B3">
      <w:pPr>
        <w:spacing w:before="100" w:beforeAutospacing="1" w:after="100" w:afterAutospacing="1" w:line="240" w:lineRule="auto"/>
        <w:rPr>
          <w:rFonts w:ascii="Rockwell" w:eastAsia="Times New Roman" w:hAnsi="Rockwell" w:cs="Times New Roman"/>
          <w:sz w:val="24"/>
          <w:szCs w:val="24"/>
        </w:rPr>
      </w:pPr>
      <w:proofErr w:type="spellStart"/>
      <w:r w:rsidRPr="00F068B3">
        <w:rPr>
          <w:rFonts w:ascii="Rockwell" w:eastAsia="Times New Roman" w:hAnsi="Rockwell" w:cs="Times New Roman"/>
          <w:sz w:val="24"/>
          <w:szCs w:val="24"/>
        </w:rPr>
        <w:t>Deder</w:t>
      </w:r>
      <w:proofErr w:type="spellEnd"/>
      <w:r w:rsidRPr="00F068B3">
        <w:rPr>
          <w:rFonts w:ascii="Rockwell" w:eastAsia="Times New Roman" w:hAnsi="Rockwell" w:cs="Times New Roman"/>
          <w:sz w:val="24"/>
          <w:szCs w:val="24"/>
        </w:rPr>
        <w:t xml:space="preserve"> General Hospital’s Q4 2017 EC supply chain inefficiency stands at 3.12% with 42,000 ETB in associated costs. While progress is evident, persistent inefficiencies require strategic focus on digitalization, communication, and monitoring to improve supply continuity, reduce costs, and ensure quality patient care.</w:t>
      </w:r>
    </w:p>
    <w:p w14:paraId="76B8D5C4" w14:textId="77777777" w:rsidR="00F068B3" w:rsidRPr="00F068B3" w:rsidRDefault="00F068B3" w:rsidP="00F068B3">
      <w:pPr>
        <w:spacing w:after="0" w:line="240" w:lineRule="auto"/>
        <w:rPr>
          <w:rFonts w:ascii="Rockwell" w:eastAsia="Times New Roman" w:hAnsi="Rockwell" w:cs="Times New Roman"/>
          <w:sz w:val="24"/>
          <w:szCs w:val="24"/>
        </w:rPr>
      </w:pPr>
      <w:r w:rsidRPr="00F068B3">
        <w:rPr>
          <w:rFonts w:ascii="Rockwell" w:eastAsia="Times New Roman" w:hAnsi="Rockwell" w:cs="Times New Roman"/>
          <w:sz w:val="24"/>
          <w:szCs w:val="24"/>
        </w:rPr>
        <w:pict w14:anchorId="61299F97">
          <v:rect id="_x0000_i1040" style="width:0;height:1.5pt" o:hralign="center" o:hrstd="t" o:hr="t" fillcolor="#a0a0a0" stroked="f"/>
        </w:pict>
      </w:r>
    </w:p>
    <w:p w14:paraId="0CCEC829" w14:textId="276FEA21" w:rsidR="00F068B3" w:rsidRPr="00823A16" w:rsidRDefault="00F068B3" w:rsidP="00823A16">
      <w:pPr>
        <w:pStyle w:val="ListParagraph"/>
        <w:numPr>
          <w:ilvl w:val="0"/>
          <w:numId w:val="32"/>
        </w:numPr>
        <w:spacing w:before="100" w:beforeAutospacing="1" w:after="100" w:afterAutospacing="1" w:line="240" w:lineRule="auto"/>
        <w:outlineLvl w:val="1"/>
        <w:rPr>
          <w:rFonts w:ascii="Rockwell" w:eastAsia="Times New Roman" w:hAnsi="Rockwell" w:cs="Times New Roman"/>
          <w:b/>
          <w:bCs/>
          <w:sz w:val="36"/>
          <w:szCs w:val="36"/>
        </w:rPr>
      </w:pPr>
      <w:bookmarkStart w:id="21" w:name="_Toc203069773"/>
      <w:r w:rsidRPr="00823A16">
        <w:rPr>
          <w:rFonts w:ascii="Rockwell" w:eastAsia="Times New Roman" w:hAnsi="Rockwell" w:cs="Times New Roman"/>
          <w:b/>
          <w:bCs/>
          <w:sz w:val="36"/>
          <w:szCs w:val="36"/>
        </w:rPr>
        <w:t>References</w:t>
      </w:r>
      <w:bookmarkEnd w:id="21"/>
    </w:p>
    <w:p w14:paraId="5229C4CE" w14:textId="348C1F83" w:rsidR="00823A16" w:rsidRDefault="00823A16" w:rsidP="00823A16">
      <w:pPr>
        <w:spacing w:before="100" w:beforeAutospacing="1" w:after="100" w:afterAutospacing="1" w:line="240" w:lineRule="auto"/>
        <w:ind w:left="360"/>
        <w:outlineLvl w:val="1"/>
        <w:rPr>
          <w:rFonts w:ascii="Rockwell" w:eastAsia="Times New Roman" w:hAnsi="Rockwell" w:cs="Times New Roman"/>
          <w:b/>
          <w:bCs/>
          <w:sz w:val="36"/>
          <w:szCs w:val="36"/>
        </w:rPr>
      </w:pPr>
    </w:p>
    <w:p w14:paraId="23BA7FAD" w14:textId="77777777" w:rsidR="00823A16" w:rsidRDefault="00823A16" w:rsidP="00823A16">
      <w:pPr>
        <w:pStyle w:val="NormalWeb"/>
        <w:numPr>
          <w:ilvl w:val="0"/>
          <w:numId w:val="40"/>
        </w:numPr>
        <w:rPr>
          <w:rFonts w:ascii="Rockwell" w:hAnsi="Rockwell"/>
        </w:rPr>
      </w:pPr>
      <w:r>
        <w:rPr>
          <w:rFonts w:ascii="Rockwell" w:hAnsi="Rockwell"/>
        </w:rPr>
        <w:t xml:space="preserve">Chopra, S., &amp; </w:t>
      </w:r>
      <w:proofErr w:type="spellStart"/>
      <w:r>
        <w:rPr>
          <w:rFonts w:ascii="Rockwell" w:hAnsi="Rockwell"/>
        </w:rPr>
        <w:t>Meindl</w:t>
      </w:r>
      <w:proofErr w:type="spellEnd"/>
      <w:r>
        <w:rPr>
          <w:rFonts w:ascii="Rockwell" w:hAnsi="Rockwell"/>
        </w:rPr>
        <w:t>, P. (2019). Supply Chain Management: Strategy, Planning, and Operation. Pearson.</w:t>
      </w:r>
    </w:p>
    <w:p w14:paraId="44C0C293" w14:textId="77777777" w:rsidR="00823A16" w:rsidRDefault="00823A16" w:rsidP="00823A16">
      <w:pPr>
        <w:pStyle w:val="NormalWeb"/>
        <w:numPr>
          <w:ilvl w:val="0"/>
          <w:numId w:val="40"/>
        </w:numPr>
        <w:rPr>
          <w:rFonts w:ascii="Rockwell" w:hAnsi="Rockwell"/>
        </w:rPr>
      </w:pPr>
      <w:proofErr w:type="spellStart"/>
      <w:r>
        <w:rPr>
          <w:rFonts w:ascii="Rockwell" w:hAnsi="Rockwell"/>
        </w:rPr>
        <w:t>Simchi</w:t>
      </w:r>
      <w:proofErr w:type="spellEnd"/>
      <w:r>
        <w:rPr>
          <w:rFonts w:ascii="Rockwell" w:hAnsi="Rockwell"/>
        </w:rPr>
        <w:t xml:space="preserve">-Levi, D., Kaminsky, P., &amp; </w:t>
      </w:r>
      <w:proofErr w:type="spellStart"/>
      <w:r>
        <w:rPr>
          <w:rFonts w:ascii="Rockwell" w:hAnsi="Rockwell"/>
        </w:rPr>
        <w:t>Simchi</w:t>
      </w:r>
      <w:proofErr w:type="spellEnd"/>
      <w:r>
        <w:rPr>
          <w:rFonts w:ascii="Rockwell" w:hAnsi="Rockwell"/>
        </w:rPr>
        <w:t>-Levi, E. (2007). Designing and Managing the Supply Chain. McGraw-Hill.</w:t>
      </w:r>
    </w:p>
    <w:p w14:paraId="31F55A1E" w14:textId="77777777" w:rsidR="00823A16" w:rsidRDefault="00823A16" w:rsidP="00823A16">
      <w:pPr>
        <w:pStyle w:val="NormalWeb"/>
        <w:numPr>
          <w:ilvl w:val="0"/>
          <w:numId w:val="40"/>
        </w:numPr>
        <w:rPr>
          <w:rFonts w:ascii="Rockwell" w:hAnsi="Rockwell"/>
        </w:rPr>
      </w:pPr>
      <w:proofErr w:type="gramStart"/>
      <w:r>
        <w:rPr>
          <w:rFonts w:ascii="Rockwell" w:hAnsi="Rockwell"/>
        </w:rPr>
        <w:t>WHO.</w:t>
      </w:r>
      <w:proofErr w:type="gramEnd"/>
      <w:r>
        <w:rPr>
          <w:rFonts w:ascii="Rockwell" w:hAnsi="Rockwell"/>
        </w:rPr>
        <w:t xml:space="preserve"> (2011). Model Guidelines for Medicine Supply Management. World Health Organization.</w:t>
      </w:r>
    </w:p>
    <w:p w14:paraId="2C8F0D23" w14:textId="77777777" w:rsidR="00823A16" w:rsidRDefault="00823A16" w:rsidP="00823A16">
      <w:pPr>
        <w:pStyle w:val="NormalWeb"/>
        <w:numPr>
          <w:ilvl w:val="0"/>
          <w:numId w:val="40"/>
        </w:numPr>
        <w:rPr>
          <w:rFonts w:ascii="Rockwell" w:hAnsi="Rockwell"/>
        </w:rPr>
      </w:pPr>
      <w:r>
        <w:rPr>
          <w:rFonts w:ascii="Rockwell" w:hAnsi="Rockwell"/>
        </w:rPr>
        <w:t>USAID DELIVER PROJECT. (2014). Logistics Management Information Systems (LMIS) Toolkit.</w:t>
      </w:r>
    </w:p>
    <w:p w14:paraId="06F7C233" w14:textId="77777777" w:rsidR="00823A16" w:rsidRDefault="00823A16" w:rsidP="00823A16">
      <w:pPr>
        <w:pStyle w:val="NormalWeb"/>
        <w:numPr>
          <w:ilvl w:val="0"/>
          <w:numId w:val="40"/>
        </w:numPr>
        <w:rPr>
          <w:rFonts w:ascii="Rockwell" w:hAnsi="Rockwell"/>
        </w:rPr>
      </w:pPr>
      <w:r>
        <w:rPr>
          <w:rFonts w:ascii="Rockwell" w:hAnsi="Rockwell"/>
        </w:rPr>
        <w:t>APICS. (2020). APICS Dictionary, 16th Edition.</w:t>
      </w:r>
    </w:p>
    <w:p w14:paraId="69E1C0C4" w14:textId="77777777" w:rsidR="00823A16" w:rsidRDefault="00823A16" w:rsidP="00823A16">
      <w:pPr>
        <w:pStyle w:val="NormalWeb"/>
        <w:numPr>
          <w:ilvl w:val="0"/>
          <w:numId w:val="40"/>
        </w:numPr>
        <w:rPr>
          <w:rFonts w:ascii="Rockwell" w:hAnsi="Rockwell"/>
        </w:rPr>
      </w:pPr>
      <w:r>
        <w:rPr>
          <w:rFonts w:ascii="Rockwell" w:hAnsi="Rockwell"/>
        </w:rPr>
        <w:t>Heizer, J., Render, B., &amp; Munson, C. (2017). Operations Management: Sustainability and Supply Chain Management. Pearson.</w:t>
      </w:r>
    </w:p>
    <w:p w14:paraId="14AD1FC8" w14:textId="77777777" w:rsidR="00823A16" w:rsidRDefault="00823A16" w:rsidP="00823A16">
      <w:pPr>
        <w:pStyle w:val="NormalWeb"/>
        <w:numPr>
          <w:ilvl w:val="0"/>
          <w:numId w:val="40"/>
        </w:numPr>
        <w:rPr>
          <w:rFonts w:ascii="Rockwell" w:hAnsi="Rockwell"/>
        </w:rPr>
      </w:pPr>
      <w:r>
        <w:rPr>
          <w:rFonts w:ascii="Rockwell" w:hAnsi="Rockwell"/>
        </w:rPr>
        <w:t>Harland, C. M. (1996). Supply Chain Management: Relationships, Chains and Networks. British Journal of Management.</w:t>
      </w:r>
    </w:p>
    <w:p w14:paraId="50A909CE" w14:textId="77777777" w:rsidR="00823A16" w:rsidRDefault="00823A16" w:rsidP="00823A16">
      <w:pPr>
        <w:pStyle w:val="NormalWeb"/>
        <w:numPr>
          <w:ilvl w:val="0"/>
          <w:numId w:val="40"/>
        </w:numPr>
        <w:rPr>
          <w:rFonts w:ascii="Rockwell" w:hAnsi="Rockwell"/>
        </w:rPr>
      </w:pPr>
      <w:r>
        <w:rPr>
          <w:rFonts w:ascii="Rockwell" w:hAnsi="Rockwell"/>
        </w:rPr>
        <w:t>Global Fund. (2015). Procurement and Supply Chain Management Guide.</w:t>
      </w:r>
    </w:p>
    <w:p w14:paraId="7FEA0EFB" w14:textId="77777777" w:rsidR="00823A16" w:rsidRDefault="00823A16" w:rsidP="00823A16">
      <w:pPr>
        <w:pStyle w:val="NormalWeb"/>
        <w:numPr>
          <w:ilvl w:val="0"/>
          <w:numId w:val="40"/>
        </w:numPr>
        <w:rPr>
          <w:rFonts w:ascii="Rockwell" w:hAnsi="Rockwell"/>
        </w:rPr>
      </w:pPr>
      <w:r>
        <w:rPr>
          <w:rFonts w:ascii="Rockwell" w:hAnsi="Rockwell"/>
        </w:rPr>
        <w:t>Krafcik, J. F. (1988). Triumph of the Lean Production System. Sloan Management Review.</w:t>
      </w:r>
    </w:p>
    <w:p w14:paraId="514DA9A5" w14:textId="77777777" w:rsidR="00823A16" w:rsidRDefault="00823A16" w:rsidP="00823A16">
      <w:pPr>
        <w:pStyle w:val="NormalWeb"/>
        <w:numPr>
          <w:ilvl w:val="0"/>
          <w:numId w:val="40"/>
        </w:numPr>
        <w:rPr>
          <w:rFonts w:ascii="Rockwell" w:hAnsi="Rockwell"/>
        </w:rPr>
      </w:pPr>
      <w:r>
        <w:rPr>
          <w:rFonts w:ascii="Rockwell" w:hAnsi="Rockwell"/>
        </w:rPr>
        <w:t>Council of Supply Chain Management Professionals (CSCMP). (2018). Supply Chain Management Terms and Glossary.</w:t>
      </w:r>
    </w:p>
    <w:p w14:paraId="7EA1B5BC" w14:textId="77777777" w:rsidR="00823A16" w:rsidRPr="00823A16" w:rsidRDefault="00823A16" w:rsidP="00823A16">
      <w:pPr>
        <w:spacing w:before="100" w:beforeAutospacing="1" w:after="100" w:afterAutospacing="1" w:line="240" w:lineRule="auto"/>
        <w:ind w:left="360"/>
        <w:outlineLvl w:val="1"/>
        <w:rPr>
          <w:rFonts w:ascii="Rockwell" w:eastAsia="Times New Roman" w:hAnsi="Rockwell" w:cs="Times New Roman"/>
          <w:b/>
          <w:bCs/>
          <w:sz w:val="36"/>
          <w:szCs w:val="36"/>
        </w:rPr>
      </w:pPr>
    </w:p>
    <w:p w14:paraId="2564B1C7" w14:textId="77777777" w:rsidR="00884E69" w:rsidRPr="00F35D11" w:rsidRDefault="00884E69">
      <w:pPr>
        <w:rPr>
          <w:rFonts w:ascii="Rockwell" w:hAnsi="Rockwell"/>
        </w:rPr>
      </w:pPr>
    </w:p>
    <w:sectPr w:rsidR="00884E69" w:rsidRPr="00F35D11" w:rsidSect="00024652">
      <w:footerReference w:type="default" r:id="rId10"/>
      <w:pgSz w:w="12240" w:h="15840"/>
      <w:pgMar w:top="1440" w:right="1440" w:bottom="1440" w:left="1440" w:header="720" w:footer="720" w:gutter="0"/>
      <w:pgBorders w:offsetFrom="page">
        <w:top w:val="single" w:sz="48" w:space="24" w:color="00B050"/>
        <w:left w:val="single" w:sz="48" w:space="24" w:color="00B050"/>
        <w:bottom w:val="single" w:sz="48" w:space="24" w:color="00B050"/>
        <w:right w:val="single" w:sz="48" w:space="24" w:color="00B05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195C2" w14:textId="77777777" w:rsidR="009726C0" w:rsidRDefault="009726C0" w:rsidP="00F35D11">
      <w:pPr>
        <w:spacing w:after="0" w:line="240" w:lineRule="auto"/>
      </w:pPr>
      <w:r>
        <w:separator/>
      </w:r>
    </w:p>
  </w:endnote>
  <w:endnote w:type="continuationSeparator" w:id="0">
    <w:p w14:paraId="33AA5B68" w14:textId="77777777" w:rsidR="009726C0" w:rsidRDefault="009726C0" w:rsidP="00F35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Rockwell">
    <w:panose1 w:val="02060603020205020403"/>
    <w:charset w:val="00"/>
    <w:family w:val="roman"/>
    <w:pitch w:val="variable"/>
    <w:sig w:usb0="00000007" w:usb1="00000000" w:usb2="00000000" w:usb3="00000000" w:csb0="00000003"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63774493"/>
      <w:docPartObj>
        <w:docPartGallery w:val="Page Numbers (Bottom of Page)"/>
        <w:docPartUnique/>
      </w:docPartObj>
    </w:sdtPr>
    <w:sdtContent>
      <w:p w14:paraId="1EE8BDDA" w14:textId="546355FE" w:rsidR="00F35D11" w:rsidRDefault="00F35D1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B57C672" w14:textId="77777777" w:rsidR="00F35D11" w:rsidRDefault="00F35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86DC4" w14:textId="77777777" w:rsidR="009726C0" w:rsidRDefault="009726C0" w:rsidP="00F35D11">
      <w:pPr>
        <w:spacing w:after="0" w:line="240" w:lineRule="auto"/>
      </w:pPr>
      <w:r>
        <w:separator/>
      </w:r>
    </w:p>
  </w:footnote>
  <w:footnote w:type="continuationSeparator" w:id="0">
    <w:p w14:paraId="73BE69AB" w14:textId="77777777" w:rsidR="009726C0" w:rsidRDefault="009726C0" w:rsidP="00F35D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1B1E"/>
    <w:multiLevelType w:val="multilevel"/>
    <w:tmpl w:val="07BC13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B0A5C"/>
    <w:multiLevelType w:val="multilevel"/>
    <w:tmpl w:val="142E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13052"/>
    <w:multiLevelType w:val="multilevel"/>
    <w:tmpl w:val="05526EA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45628"/>
    <w:multiLevelType w:val="multilevel"/>
    <w:tmpl w:val="2266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621D8"/>
    <w:multiLevelType w:val="multilevel"/>
    <w:tmpl w:val="3D42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00ACB"/>
    <w:multiLevelType w:val="multilevel"/>
    <w:tmpl w:val="98B2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811E3"/>
    <w:multiLevelType w:val="multilevel"/>
    <w:tmpl w:val="CBFA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85EF0"/>
    <w:multiLevelType w:val="multilevel"/>
    <w:tmpl w:val="A9EAE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6D51576"/>
    <w:multiLevelType w:val="multilevel"/>
    <w:tmpl w:val="E67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3676E"/>
    <w:multiLevelType w:val="multilevel"/>
    <w:tmpl w:val="4A3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726A1"/>
    <w:multiLevelType w:val="multilevel"/>
    <w:tmpl w:val="73F2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D51FD"/>
    <w:multiLevelType w:val="multilevel"/>
    <w:tmpl w:val="27F2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75737"/>
    <w:multiLevelType w:val="multilevel"/>
    <w:tmpl w:val="4F94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56957"/>
    <w:multiLevelType w:val="multilevel"/>
    <w:tmpl w:val="1B80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74493"/>
    <w:multiLevelType w:val="multilevel"/>
    <w:tmpl w:val="FE9A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F5232"/>
    <w:multiLevelType w:val="multilevel"/>
    <w:tmpl w:val="3854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84016"/>
    <w:multiLevelType w:val="multilevel"/>
    <w:tmpl w:val="953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E5FF1"/>
    <w:multiLevelType w:val="multilevel"/>
    <w:tmpl w:val="E7BE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5312C6"/>
    <w:multiLevelType w:val="multilevel"/>
    <w:tmpl w:val="C5D4F6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377FF1"/>
    <w:multiLevelType w:val="multilevel"/>
    <w:tmpl w:val="3F3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E0E1D"/>
    <w:multiLevelType w:val="multilevel"/>
    <w:tmpl w:val="3FE829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204671"/>
    <w:multiLevelType w:val="multilevel"/>
    <w:tmpl w:val="2458BD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5F7618"/>
    <w:multiLevelType w:val="multilevel"/>
    <w:tmpl w:val="AB52D43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8C4272"/>
    <w:multiLevelType w:val="multilevel"/>
    <w:tmpl w:val="A19C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3328F"/>
    <w:multiLevelType w:val="multilevel"/>
    <w:tmpl w:val="86F8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63BB3"/>
    <w:multiLevelType w:val="multilevel"/>
    <w:tmpl w:val="FD36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751FF"/>
    <w:multiLevelType w:val="multilevel"/>
    <w:tmpl w:val="FA0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86078"/>
    <w:multiLevelType w:val="multilevel"/>
    <w:tmpl w:val="48D4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CE6D27"/>
    <w:multiLevelType w:val="multilevel"/>
    <w:tmpl w:val="5EC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21928"/>
    <w:multiLevelType w:val="multilevel"/>
    <w:tmpl w:val="8B1E921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F90EFD"/>
    <w:multiLevelType w:val="multilevel"/>
    <w:tmpl w:val="5262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D167D"/>
    <w:multiLevelType w:val="multilevel"/>
    <w:tmpl w:val="E67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71092F"/>
    <w:multiLevelType w:val="multilevel"/>
    <w:tmpl w:val="F7A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217B1"/>
    <w:multiLevelType w:val="multilevel"/>
    <w:tmpl w:val="4FD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24B17"/>
    <w:multiLevelType w:val="multilevel"/>
    <w:tmpl w:val="DE7E2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19075E"/>
    <w:multiLevelType w:val="multilevel"/>
    <w:tmpl w:val="8B6AD0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5764DF"/>
    <w:multiLevelType w:val="multilevel"/>
    <w:tmpl w:val="055878E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1A73E0"/>
    <w:multiLevelType w:val="multilevel"/>
    <w:tmpl w:val="642A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64788"/>
    <w:multiLevelType w:val="multilevel"/>
    <w:tmpl w:val="D126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D6A25"/>
    <w:multiLevelType w:val="multilevel"/>
    <w:tmpl w:val="CD0E08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7"/>
  </w:num>
  <w:num w:numId="3">
    <w:abstractNumId w:val="16"/>
  </w:num>
  <w:num w:numId="4">
    <w:abstractNumId w:val="26"/>
  </w:num>
  <w:num w:numId="5">
    <w:abstractNumId w:val="15"/>
  </w:num>
  <w:num w:numId="6">
    <w:abstractNumId w:val="25"/>
  </w:num>
  <w:num w:numId="7">
    <w:abstractNumId w:val="5"/>
  </w:num>
  <w:num w:numId="8">
    <w:abstractNumId w:val="33"/>
  </w:num>
  <w:num w:numId="9">
    <w:abstractNumId w:val="11"/>
  </w:num>
  <w:num w:numId="10">
    <w:abstractNumId w:val="19"/>
  </w:num>
  <w:num w:numId="11">
    <w:abstractNumId w:val="32"/>
  </w:num>
  <w:num w:numId="12">
    <w:abstractNumId w:val="27"/>
  </w:num>
  <w:num w:numId="13">
    <w:abstractNumId w:val="3"/>
  </w:num>
  <w:num w:numId="14">
    <w:abstractNumId w:val="30"/>
  </w:num>
  <w:num w:numId="15">
    <w:abstractNumId w:val="14"/>
  </w:num>
  <w:num w:numId="16">
    <w:abstractNumId w:val="8"/>
  </w:num>
  <w:num w:numId="17">
    <w:abstractNumId w:val="38"/>
  </w:num>
  <w:num w:numId="18">
    <w:abstractNumId w:val="24"/>
  </w:num>
  <w:num w:numId="19">
    <w:abstractNumId w:val="37"/>
  </w:num>
  <w:num w:numId="20">
    <w:abstractNumId w:val="1"/>
  </w:num>
  <w:num w:numId="21">
    <w:abstractNumId w:val="9"/>
  </w:num>
  <w:num w:numId="22">
    <w:abstractNumId w:val="28"/>
  </w:num>
  <w:num w:numId="23">
    <w:abstractNumId w:val="13"/>
  </w:num>
  <w:num w:numId="24">
    <w:abstractNumId w:val="23"/>
  </w:num>
  <w:num w:numId="25">
    <w:abstractNumId w:val="12"/>
  </w:num>
  <w:num w:numId="26">
    <w:abstractNumId w:val="10"/>
  </w:num>
  <w:num w:numId="27">
    <w:abstractNumId w:val="31"/>
  </w:num>
  <w:num w:numId="28">
    <w:abstractNumId w:val="34"/>
  </w:num>
  <w:num w:numId="29">
    <w:abstractNumId w:val="6"/>
  </w:num>
  <w:num w:numId="30">
    <w:abstractNumId w:val="21"/>
  </w:num>
  <w:num w:numId="31">
    <w:abstractNumId w:val="20"/>
  </w:num>
  <w:num w:numId="32">
    <w:abstractNumId w:val="0"/>
  </w:num>
  <w:num w:numId="33">
    <w:abstractNumId w:val="35"/>
  </w:num>
  <w:num w:numId="34">
    <w:abstractNumId w:val="39"/>
  </w:num>
  <w:num w:numId="35">
    <w:abstractNumId w:val="29"/>
  </w:num>
  <w:num w:numId="36">
    <w:abstractNumId w:val="2"/>
  </w:num>
  <w:num w:numId="37">
    <w:abstractNumId w:val="22"/>
  </w:num>
  <w:num w:numId="38">
    <w:abstractNumId w:val="18"/>
  </w:num>
  <w:num w:numId="39">
    <w:abstractNumId w:val="36"/>
  </w:num>
  <w:num w:numId="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8B3"/>
    <w:rsid w:val="00024652"/>
    <w:rsid w:val="00053141"/>
    <w:rsid w:val="0007588E"/>
    <w:rsid w:val="001F6071"/>
    <w:rsid w:val="002E30C5"/>
    <w:rsid w:val="003D1636"/>
    <w:rsid w:val="004D60F6"/>
    <w:rsid w:val="005A1D79"/>
    <w:rsid w:val="006C0C42"/>
    <w:rsid w:val="00823A16"/>
    <w:rsid w:val="00884E69"/>
    <w:rsid w:val="009472A2"/>
    <w:rsid w:val="009726C0"/>
    <w:rsid w:val="00A76D79"/>
    <w:rsid w:val="00CB6C05"/>
    <w:rsid w:val="00E946BA"/>
    <w:rsid w:val="00F068B3"/>
    <w:rsid w:val="00F35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92A18"/>
  <w15:chartTrackingRefBased/>
  <w15:docId w15:val="{61D4A13B-80FB-4BFA-A2B5-856E22C3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68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68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068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8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68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068B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068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68B3"/>
    <w:rPr>
      <w:b/>
      <w:bCs/>
    </w:rPr>
  </w:style>
  <w:style w:type="character" w:customStyle="1" w:styleId="katex">
    <w:name w:val="katex"/>
    <w:basedOn w:val="DefaultParagraphFont"/>
    <w:rsid w:val="00F068B3"/>
  </w:style>
  <w:style w:type="character" w:styleId="Emphasis">
    <w:name w:val="Emphasis"/>
    <w:basedOn w:val="DefaultParagraphFont"/>
    <w:uiPriority w:val="20"/>
    <w:qFormat/>
    <w:rsid w:val="00F068B3"/>
    <w:rPr>
      <w:i/>
      <w:iCs/>
    </w:rPr>
  </w:style>
  <w:style w:type="paragraph" w:styleId="TOCHeading">
    <w:name w:val="TOC Heading"/>
    <w:basedOn w:val="Heading1"/>
    <w:next w:val="Normal"/>
    <w:uiPriority w:val="39"/>
    <w:unhideWhenUsed/>
    <w:qFormat/>
    <w:rsid w:val="00F35D1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F35D11"/>
    <w:pPr>
      <w:spacing w:after="100"/>
    </w:pPr>
  </w:style>
  <w:style w:type="paragraph" w:styleId="TOC2">
    <w:name w:val="toc 2"/>
    <w:basedOn w:val="Normal"/>
    <w:next w:val="Normal"/>
    <w:autoRedefine/>
    <w:uiPriority w:val="39"/>
    <w:unhideWhenUsed/>
    <w:rsid w:val="00F35D11"/>
    <w:pPr>
      <w:spacing w:after="100"/>
      <w:ind w:left="220"/>
    </w:pPr>
  </w:style>
  <w:style w:type="paragraph" w:styleId="TOC3">
    <w:name w:val="toc 3"/>
    <w:basedOn w:val="Normal"/>
    <w:next w:val="Normal"/>
    <w:autoRedefine/>
    <w:uiPriority w:val="39"/>
    <w:unhideWhenUsed/>
    <w:rsid w:val="00F35D11"/>
    <w:pPr>
      <w:spacing w:after="100"/>
      <w:ind w:left="440"/>
    </w:pPr>
  </w:style>
  <w:style w:type="character" w:styleId="Hyperlink">
    <w:name w:val="Hyperlink"/>
    <w:basedOn w:val="DefaultParagraphFont"/>
    <w:uiPriority w:val="99"/>
    <w:unhideWhenUsed/>
    <w:rsid w:val="00F35D11"/>
    <w:rPr>
      <w:color w:val="0563C1" w:themeColor="hyperlink"/>
      <w:u w:val="single"/>
    </w:rPr>
  </w:style>
  <w:style w:type="paragraph" w:styleId="Header">
    <w:name w:val="header"/>
    <w:basedOn w:val="Normal"/>
    <w:link w:val="HeaderChar"/>
    <w:uiPriority w:val="99"/>
    <w:unhideWhenUsed/>
    <w:rsid w:val="00F35D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D11"/>
  </w:style>
  <w:style w:type="paragraph" w:styleId="Footer">
    <w:name w:val="footer"/>
    <w:basedOn w:val="Normal"/>
    <w:link w:val="FooterChar"/>
    <w:uiPriority w:val="99"/>
    <w:unhideWhenUsed/>
    <w:rsid w:val="00F35D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D11"/>
  </w:style>
  <w:style w:type="paragraph" w:styleId="ListParagraph">
    <w:name w:val="List Paragraph"/>
    <w:basedOn w:val="Normal"/>
    <w:uiPriority w:val="34"/>
    <w:qFormat/>
    <w:rsid w:val="00823A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63303">
      <w:bodyDiv w:val="1"/>
      <w:marLeft w:val="0"/>
      <w:marRight w:val="0"/>
      <w:marTop w:val="0"/>
      <w:marBottom w:val="0"/>
      <w:divBdr>
        <w:top w:val="none" w:sz="0" w:space="0" w:color="auto"/>
        <w:left w:val="none" w:sz="0" w:space="0" w:color="auto"/>
        <w:bottom w:val="none" w:sz="0" w:space="0" w:color="auto"/>
        <w:right w:val="none" w:sz="0" w:space="0" w:color="auto"/>
      </w:divBdr>
    </w:div>
    <w:div w:id="566721089">
      <w:bodyDiv w:val="1"/>
      <w:marLeft w:val="0"/>
      <w:marRight w:val="0"/>
      <w:marTop w:val="0"/>
      <w:marBottom w:val="0"/>
      <w:divBdr>
        <w:top w:val="none" w:sz="0" w:space="0" w:color="auto"/>
        <w:left w:val="none" w:sz="0" w:space="0" w:color="auto"/>
        <w:bottom w:val="none" w:sz="0" w:space="0" w:color="auto"/>
        <w:right w:val="none" w:sz="0" w:space="0" w:color="auto"/>
      </w:divBdr>
    </w:div>
    <w:div w:id="197952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[Book1]Sheet1!$E$3</c:f>
              <c:strCache>
                <c:ptCount val="1"/>
                <c:pt idx="0">
                  <c:v>Cost (ETB)</c:v>
                </c:pt>
              </c:strCache>
            </c:strRef>
          </c:tx>
          <c:spPr>
            <a:solidFill>
              <a:schemeClr val="accent1"/>
            </a:solidFill>
            <a:ln>
              <a:noFill/>
            </a:ln>
            <a:effectLst/>
            <a:sp3d/>
          </c:spPr>
          <c:invertIfNegative val="0"/>
          <c:cat>
            <c:strRef>
              <c:f>[Book1]Sheet1!$D$4:$D$14</c:f>
              <c:strCache>
                <c:ptCount val="11"/>
                <c:pt idx="0">
                  <c:v>Procurement Efficiency Inefficiency</c:v>
                </c:pt>
                <c:pt idx="1">
                  <c:v>Inventory Management Inefficiency</c:v>
                </c:pt>
                <c:pt idx="2">
                  <c:v>Demand Forecasting Inefficiency</c:v>
                </c:pt>
                <c:pt idx="3">
                  <c:v>Supplier and Distribution Performance</c:v>
                </c:pt>
                <c:pt idx="4">
                  <c:v>Financial Management and Cost Inefficiency</c:v>
                </c:pt>
                <c:pt idx="5">
                  <c:v>Monitoring and Reporting Inefficiency</c:v>
                </c:pt>
                <c:pt idx="6">
                  <c:v>Technology and System Integration Inefficiency</c:v>
                </c:pt>
                <c:pt idx="7">
                  <c:v>Communication and Coordination Inefficiency</c:v>
                </c:pt>
                <c:pt idx="8">
                  <c:v>Wastage Reduction Inefficiency</c:v>
                </c:pt>
                <c:pt idx="9">
                  <c:v>Storage Practice Inefficiency</c:v>
                </c:pt>
                <c:pt idx="10">
                  <c:v>Dispensing Practice Inefficiency</c:v>
                </c:pt>
              </c:strCache>
            </c:strRef>
          </c:cat>
          <c:val>
            <c:numRef>
              <c:f>[Book1]Sheet1!$E$4:$E$14</c:f>
            </c:numRef>
          </c:val>
          <c:extLst>
            <c:ext xmlns:c16="http://schemas.microsoft.com/office/drawing/2014/chart" uri="{C3380CC4-5D6E-409C-BE32-E72D297353CC}">
              <c16:uniqueId val="{00000000-B5DA-43D2-9206-911DD4B84E7A}"/>
            </c:ext>
          </c:extLst>
        </c:ser>
        <c:ser>
          <c:idx val="1"/>
          <c:order val="1"/>
          <c:tx>
            <c:strRef>
              <c:f>[Book1]Sheet1!$F$3</c:f>
              <c:strCache>
                <c:ptCount val="1"/>
                <c:pt idx="0">
                  <c:v>% Contribution to Total Inefficiency</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[Book1]Sheet1!$D$4:$D$14</c:f>
              <c:strCache>
                <c:ptCount val="11"/>
                <c:pt idx="0">
                  <c:v>Procurement Efficiency Inefficiency</c:v>
                </c:pt>
                <c:pt idx="1">
                  <c:v>Inventory Management Inefficiency</c:v>
                </c:pt>
                <c:pt idx="2">
                  <c:v>Demand Forecasting Inefficiency</c:v>
                </c:pt>
                <c:pt idx="3">
                  <c:v>Supplier and Distribution Performance</c:v>
                </c:pt>
                <c:pt idx="4">
                  <c:v>Financial Management and Cost Inefficiency</c:v>
                </c:pt>
                <c:pt idx="5">
                  <c:v>Monitoring and Reporting Inefficiency</c:v>
                </c:pt>
                <c:pt idx="6">
                  <c:v>Technology and System Integration Inefficiency</c:v>
                </c:pt>
                <c:pt idx="7">
                  <c:v>Communication and Coordination Inefficiency</c:v>
                </c:pt>
                <c:pt idx="8">
                  <c:v>Wastage Reduction Inefficiency</c:v>
                </c:pt>
                <c:pt idx="9">
                  <c:v>Storage Practice Inefficiency</c:v>
                </c:pt>
                <c:pt idx="10">
                  <c:v>Dispensing Practice Inefficiency</c:v>
                </c:pt>
              </c:strCache>
            </c:strRef>
          </c:cat>
          <c:val>
            <c:numRef>
              <c:f>[Book1]Sheet1!$F$4:$F$14</c:f>
              <c:numCache>
                <c:formatCode>0.00%</c:formatCode>
                <c:ptCount val="11"/>
                <c:pt idx="0">
                  <c:v>8.3999999999999995E-3</c:v>
                </c:pt>
                <c:pt idx="1">
                  <c:v>7.4999999999999997E-3</c:v>
                </c:pt>
                <c:pt idx="2">
                  <c:v>6.3E-3</c:v>
                </c:pt>
                <c:pt idx="3">
                  <c:v>5.4000000000000003E-3</c:v>
                </c:pt>
                <c:pt idx="4">
                  <c:v>5.0000000000000001E-3</c:v>
                </c:pt>
                <c:pt idx="5">
                  <c:v>3.8E-3</c:v>
                </c:pt>
                <c:pt idx="6">
                  <c:v>2.5000000000000001E-3</c:v>
                </c:pt>
                <c:pt idx="7">
                  <c:v>2.5000000000000001E-3</c:v>
                </c:pt>
                <c:pt idx="8">
                  <c:v>1.6000000000000001E-3</c:v>
                </c:pt>
                <c:pt idx="9">
                  <c:v>1.2999999999999999E-3</c:v>
                </c:pt>
                <c:pt idx="10">
                  <c:v>6.9999999999999999E-4</c:v>
                </c:pt>
              </c:numCache>
            </c:numRef>
          </c:val>
          <c:extLst>
            <c:ext xmlns:c16="http://schemas.microsoft.com/office/drawing/2014/chart" uri="{C3380CC4-5D6E-409C-BE32-E72D297353CC}">
              <c16:uniqueId val="{00000001-B5DA-43D2-9206-911DD4B84E7A}"/>
            </c:ext>
          </c:extLst>
        </c:ser>
        <c:dLbls>
          <c:showLegendKey val="0"/>
          <c:showVal val="0"/>
          <c:showCatName val="0"/>
          <c:showSerName val="0"/>
          <c:showPercent val="0"/>
          <c:showBubbleSize val="0"/>
        </c:dLbls>
        <c:gapWidth val="150"/>
        <c:shape val="box"/>
        <c:axId val="1857153199"/>
        <c:axId val="1857154031"/>
        <c:axId val="1895128063"/>
      </c:bar3DChart>
      <c:catAx>
        <c:axId val="185715319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crossAx val="1857154031"/>
        <c:crosses val="autoZero"/>
        <c:auto val="1"/>
        <c:lblAlgn val="ctr"/>
        <c:lblOffset val="100"/>
        <c:noMultiLvlLbl val="0"/>
      </c:catAx>
      <c:valAx>
        <c:axId val="185715403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7153199"/>
        <c:crosses val="autoZero"/>
        <c:crossBetween val="between"/>
      </c:valAx>
      <c:serAx>
        <c:axId val="1895128063"/>
        <c:scaling>
          <c:orientation val="minMax"/>
        </c:scaling>
        <c:delete val="1"/>
        <c:axPos val="b"/>
        <c:majorTickMark val="none"/>
        <c:minorTickMark val="none"/>
        <c:tickLblPos val="nextTo"/>
        <c:crossAx val="1857154031"/>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0B6BA-7C41-4DFA-8058-01ADDC8B4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1595</Words>
  <Characters>9094</Characters>
  <Application>Microsoft Office Word</Application>
  <DocSecurity>0</DocSecurity>
  <Lines>75</Lines>
  <Paragraphs>21</Paragraphs>
  <ScaleCrop>false</ScaleCrop>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19</cp:revision>
  <dcterms:created xsi:type="dcterms:W3CDTF">2025-07-10T16:53:00Z</dcterms:created>
  <dcterms:modified xsi:type="dcterms:W3CDTF">2025-07-10T17:07:00Z</dcterms:modified>
</cp:coreProperties>
</file>