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AD389" w14:textId="77777777" w:rsidR="00D22D54" w:rsidRDefault="00D22D54" w:rsidP="00470160">
      <w:pPr>
        <w:spacing w:before="100" w:beforeAutospacing="1" w:after="100" w:afterAutospacing="1" w:line="240" w:lineRule="auto"/>
        <w:jc w:val="center"/>
        <w:rPr>
          <w:rFonts w:ascii="Rockwell" w:eastAsia="Times New Roman" w:hAnsi="Rockwell" w:cs="Times New Roman"/>
          <w:b/>
          <w:bCs/>
          <w:sz w:val="56"/>
          <w:szCs w:val="56"/>
        </w:rPr>
      </w:pPr>
    </w:p>
    <w:p w14:paraId="37624904" w14:textId="6EC741D1" w:rsidR="00D22D54" w:rsidRDefault="00D22D54" w:rsidP="00470160">
      <w:pPr>
        <w:spacing w:before="100" w:beforeAutospacing="1" w:after="100" w:afterAutospacing="1" w:line="240" w:lineRule="auto"/>
        <w:jc w:val="center"/>
        <w:rPr>
          <w:rFonts w:ascii="Rockwell" w:eastAsia="Times New Roman" w:hAnsi="Rockwell" w:cs="Times New Roman"/>
          <w:b/>
          <w:bCs/>
          <w:sz w:val="56"/>
          <w:szCs w:val="56"/>
        </w:rPr>
      </w:pPr>
      <w:r>
        <w:rPr>
          <w:rFonts w:ascii="Rockwell" w:eastAsia="Times New Roman" w:hAnsi="Rockwell" w:cs="Times New Roman"/>
          <w:b/>
          <w:bCs/>
          <w:noProof/>
          <w:sz w:val="56"/>
          <w:szCs w:val="56"/>
        </w:rPr>
        <w:drawing>
          <wp:inline distT="0" distB="0" distL="0" distR="0" wp14:anchorId="6D34D580" wp14:editId="7D90D3A8">
            <wp:extent cx="1819529" cy="1695687"/>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1819529" cy="1695687"/>
                    </a:xfrm>
                    <a:prstGeom prst="rect">
                      <a:avLst/>
                    </a:prstGeom>
                  </pic:spPr>
                </pic:pic>
              </a:graphicData>
            </a:graphic>
          </wp:inline>
        </w:drawing>
      </w:r>
    </w:p>
    <w:p w14:paraId="72DCE822" w14:textId="131212A7" w:rsidR="00757666" w:rsidRPr="00757666" w:rsidRDefault="00757666" w:rsidP="00470160">
      <w:pPr>
        <w:spacing w:before="100" w:beforeAutospacing="1" w:after="100" w:afterAutospacing="1" w:line="240" w:lineRule="auto"/>
        <w:jc w:val="center"/>
        <w:rPr>
          <w:rFonts w:ascii="Rockwell" w:eastAsia="Times New Roman" w:hAnsi="Rockwell" w:cs="Times New Roman"/>
          <w:sz w:val="56"/>
          <w:szCs w:val="56"/>
        </w:rPr>
      </w:pPr>
      <w:r w:rsidRPr="00757666">
        <w:rPr>
          <w:rFonts w:ascii="Rockwell" w:eastAsia="Times New Roman" w:hAnsi="Rockwell" w:cs="Times New Roman"/>
          <w:b/>
          <w:bCs/>
          <w:sz w:val="56"/>
          <w:szCs w:val="56"/>
        </w:rPr>
        <w:t>DEDER GENERAL HOSPITAL</w:t>
      </w:r>
    </w:p>
    <w:p w14:paraId="78F72943" w14:textId="77777777" w:rsidR="00470160" w:rsidRDefault="00757666" w:rsidP="00470160">
      <w:pPr>
        <w:spacing w:before="100" w:beforeAutospacing="1" w:after="100" w:afterAutospacing="1" w:line="240" w:lineRule="auto"/>
        <w:jc w:val="center"/>
        <w:rPr>
          <w:rFonts w:ascii="Rockwell" w:eastAsia="Times New Roman" w:hAnsi="Rockwell" w:cs="Times New Roman"/>
          <w:b/>
          <w:bCs/>
          <w:sz w:val="36"/>
          <w:szCs w:val="36"/>
        </w:rPr>
      </w:pPr>
      <w:r w:rsidRPr="00757666">
        <w:rPr>
          <w:rFonts w:ascii="Rockwell" w:eastAsia="Times New Roman" w:hAnsi="Rockwell" w:cs="Times New Roman"/>
          <w:b/>
          <w:bCs/>
          <w:sz w:val="36"/>
          <w:szCs w:val="36"/>
        </w:rPr>
        <w:t>SUPPLY CHAIN INEFFICIENCY ASSESSMENT REPORT</w:t>
      </w:r>
    </w:p>
    <w:p w14:paraId="0BFA9D92" w14:textId="77777777" w:rsidR="00470160" w:rsidRDefault="00757666" w:rsidP="00470160">
      <w:pPr>
        <w:spacing w:before="100" w:beforeAutospacing="1" w:after="100" w:afterAutospacing="1" w:line="240" w:lineRule="auto"/>
        <w:rPr>
          <w:rFonts w:ascii="Rockwell" w:eastAsia="Times New Roman" w:hAnsi="Rockwell" w:cs="Times New Roman"/>
          <w:b/>
          <w:bCs/>
          <w:sz w:val="36"/>
          <w:szCs w:val="36"/>
        </w:rPr>
      </w:pPr>
      <w:r w:rsidRPr="00757666">
        <w:rPr>
          <w:rFonts w:ascii="Rockwell" w:eastAsia="Times New Roman" w:hAnsi="Rockwell" w:cs="Times New Roman"/>
          <w:b/>
          <w:bCs/>
          <w:sz w:val="36"/>
          <w:szCs w:val="36"/>
        </w:rPr>
        <w:t>QUARTER 2, 2016 E.C.</w:t>
      </w:r>
    </w:p>
    <w:p w14:paraId="29CF5D32" w14:textId="6AB521DB" w:rsidR="00470160" w:rsidRPr="00470160" w:rsidRDefault="00470160" w:rsidP="00470160">
      <w:pPr>
        <w:spacing w:before="100" w:beforeAutospacing="1" w:after="100" w:afterAutospacing="1" w:line="240" w:lineRule="auto"/>
        <w:rPr>
          <w:rFonts w:ascii="Rockwell" w:eastAsia="Times New Roman" w:hAnsi="Rockwell" w:cs="Times New Roman"/>
          <w:b/>
          <w:bCs/>
          <w:sz w:val="44"/>
          <w:szCs w:val="44"/>
        </w:rPr>
      </w:pPr>
      <w:r w:rsidRPr="00757666">
        <w:rPr>
          <w:rFonts w:ascii="Rockwell" w:eastAsia="Times New Roman" w:hAnsi="Rockwell" w:cs="Times New Roman"/>
          <w:b/>
          <w:bCs/>
          <w:sz w:val="32"/>
          <w:szCs w:val="32"/>
        </w:rPr>
        <w:t>BY: DTC COMMITTEE</w:t>
      </w:r>
    </w:p>
    <w:p w14:paraId="41F797B2" w14:textId="77777777" w:rsidR="00470160" w:rsidRDefault="00470160" w:rsidP="00470160">
      <w:pPr>
        <w:spacing w:before="100" w:beforeAutospacing="1" w:after="100" w:afterAutospacing="1" w:line="240" w:lineRule="auto"/>
        <w:rPr>
          <w:rFonts w:ascii="Rockwell" w:eastAsia="Times New Roman" w:hAnsi="Rockwell" w:cs="Times New Roman"/>
          <w:b/>
          <w:bCs/>
          <w:sz w:val="36"/>
          <w:szCs w:val="36"/>
        </w:rPr>
      </w:pPr>
    </w:p>
    <w:p w14:paraId="13F8B248" w14:textId="77777777" w:rsidR="00470160" w:rsidRDefault="00470160" w:rsidP="00470160">
      <w:pPr>
        <w:spacing w:before="100" w:beforeAutospacing="1" w:after="100" w:afterAutospacing="1" w:line="240" w:lineRule="auto"/>
        <w:rPr>
          <w:rFonts w:ascii="Rockwell" w:eastAsia="Times New Roman" w:hAnsi="Rockwell" w:cs="Times New Roman"/>
          <w:b/>
          <w:bCs/>
          <w:sz w:val="36"/>
          <w:szCs w:val="36"/>
        </w:rPr>
      </w:pPr>
    </w:p>
    <w:p w14:paraId="744391D6" w14:textId="77777777" w:rsidR="00470160" w:rsidRDefault="00470160" w:rsidP="00470160">
      <w:pPr>
        <w:spacing w:before="100" w:beforeAutospacing="1" w:after="100" w:afterAutospacing="1" w:line="240" w:lineRule="auto"/>
        <w:rPr>
          <w:rFonts w:ascii="Rockwell" w:eastAsia="Times New Roman" w:hAnsi="Rockwell" w:cs="Times New Roman"/>
          <w:b/>
          <w:bCs/>
          <w:sz w:val="36"/>
          <w:szCs w:val="36"/>
        </w:rPr>
      </w:pPr>
    </w:p>
    <w:p w14:paraId="00EBCCCF" w14:textId="77777777" w:rsidR="00470160" w:rsidRDefault="00470160" w:rsidP="00470160">
      <w:pPr>
        <w:spacing w:before="100" w:beforeAutospacing="1" w:after="100" w:afterAutospacing="1" w:line="240" w:lineRule="auto"/>
        <w:rPr>
          <w:rFonts w:ascii="Rockwell" w:eastAsia="Times New Roman" w:hAnsi="Rockwell" w:cs="Times New Roman"/>
          <w:b/>
          <w:bCs/>
          <w:sz w:val="36"/>
          <w:szCs w:val="36"/>
        </w:rPr>
      </w:pPr>
    </w:p>
    <w:p w14:paraId="7A09632A" w14:textId="77777777" w:rsidR="00470160" w:rsidRDefault="00470160" w:rsidP="00470160">
      <w:pPr>
        <w:spacing w:before="100" w:beforeAutospacing="1" w:after="100" w:afterAutospacing="1" w:line="240" w:lineRule="auto"/>
        <w:rPr>
          <w:rFonts w:ascii="Rockwell" w:eastAsia="Times New Roman" w:hAnsi="Rockwell" w:cs="Times New Roman"/>
          <w:b/>
          <w:bCs/>
          <w:sz w:val="36"/>
          <w:szCs w:val="36"/>
        </w:rPr>
      </w:pPr>
    </w:p>
    <w:p w14:paraId="69BB85FE" w14:textId="77777777" w:rsidR="00470160" w:rsidRDefault="00470160" w:rsidP="00470160">
      <w:pPr>
        <w:spacing w:before="100" w:beforeAutospacing="1" w:after="100" w:afterAutospacing="1" w:line="240" w:lineRule="auto"/>
        <w:rPr>
          <w:rFonts w:ascii="Rockwell" w:eastAsia="Times New Roman" w:hAnsi="Rockwell" w:cs="Times New Roman"/>
          <w:b/>
          <w:bCs/>
          <w:sz w:val="36"/>
          <w:szCs w:val="36"/>
        </w:rPr>
      </w:pPr>
    </w:p>
    <w:p w14:paraId="1FC25B9C" w14:textId="2D180C1B" w:rsidR="00757666" w:rsidRPr="00757666" w:rsidRDefault="00645735" w:rsidP="00470160">
      <w:pPr>
        <w:spacing w:before="100" w:beforeAutospacing="1" w:after="100" w:afterAutospacing="1" w:line="240" w:lineRule="auto"/>
        <w:jc w:val="right"/>
        <w:rPr>
          <w:rFonts w:ascii="Rockwell" w:eastAsia="Times New Roman" w:hAnsi="Rockwell" w:cs="Times New Roman"/>
          <w:sz w:val="24"/>
          <w:szCs w:val="24"/>
        </w:rPr>
      </w:pPr>
      <w:r w:rsidRPr="00645735">
        <w:rPr>
          <w:rFonts w:ascii="Rockwell" w:eastAsia="Times New Roman" w:hAnsi="Rockwell" w:cs="Times New Roman"/>
          <w:b/>
          <w:bCs/>
          <w:sz w:val="24"/>
          <w:szCs w:val="24"/>
        </w:rPr>
        <w:t>TAHSAS, 2017EC</w:t>
      </w:r>
      <w:r w:rsidR="00757666" w:rsidRPr="00757666">
        <w:rPr>
          <w:rFonts w:ascii="Rockwell" w:eastAsia="Times New Roman" w:hAnsi="Rockwell" w:cs="Times New Roman"/>
          <w:sz w:val="24"/>
          <w:szCs w:val="24"/>
        </w:rPr>
        <w:br/>
      </w:r>
      <w:r w:rsidR="00757666" w:rsidRPr="00757666">
        <w:rPr>
          <w:rFonts w:ascii="Rockwell" w:eastAsia="Times New Roman" w:hAnsi="Rockwell" w:cs="Times New Roman"/>
          <w:b/>
          <w:bCs/>
          <w:sz w:val="24"/>
          <w:szCs w:val="24"/>
        </w:rPr>
        <w:t>DADER, ETHIOPIA</w:t>
      </w:r>
      <w:r w:rsidR="00757666" w:rsidRPr="00757666">
        <w:rPr>
          <w:rFonts w:ascii="Rockwell" w:eastAsia="Times New Roman" w:hAnsi="Rockwell" w:cs="Times New Roman"/>
          <w:sz w:val="24"/>
          <w:szCs w:val="24"/>
        </w:rPr>
        <w:br/>
      </w:r>
    </w:p>
    <w:p w14:paraId="7E4141DD"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pict w14:anchorId="3E70582E">
          <v:rect id="_x0000_i1025" style="width:0;height:1.5pt" o:hralign="center" o:hrstd="t" o:hr="t" fillcolor="#a0a0a0" stroked="f"/>
        </w:pict>
      </w:r>
    </w:p>
    <w:p w14:paraId="2888C574" w14:textId="77777777" w:rsidR="00757666" w:rsidRPr="00757666" w:rsidRDefault="00757666" w:rsidP="00757666">
      <w:pPr>
        <w:spacing w:before="100" w:beforeAutospacing="1" w:after="100" w:afterAutospacing="1" w:line="240" w:lineRule="auto"/>
        <w:outlineLvl w:val="2"/>
        <w:rPr>
          <w:rFonts w:ascii="Rockwell" w:eastAsia="Times New Roman" w:hAnsi="Rockwell" w:cs="Times New Roman"/>
          <w:b/>
          <w:bCs/>
          <w:sz w:val="27"/>
          <w:szCs w:val="27"/>
        </w:rPr>
      </w:pPr>
      <w:bookmarkStart w:id="0" w:name="_Toc202993860"/>
      <w:bookmarkStart w:id="1" w:name="_Toc202997355"/>
      <w:r w:rsidRPr="00757666">
        <w:rPr>
          <w:rFonts w:ascii="Rockwell" w:eastAsia="Times New Roman" w:hAnsi="Rockwell" w:cs="Times New Roman"/>
          <w:b/>
          <w:bCs/>
          <w:sz w:val="27"/>
          <w:szCs w:val="27"/>
        </w:rPr>
        <w:lastRenderedPageBreak/>
        <w:t>Table of Contents</w:t>
      </w:r>
      <w:bookmarkEnd w:id="0"/>
      <w:bookmarkEnd w:id="1"/>
    </w:p>
    <w:sdt>
      <w:sdtPr>
        <w:id w:val="142560487"/>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2ECE954A" w14:textId="4EF23E0B" w:rsidR="00E324CB" w:rsidRDefault="00E324CB">
          <w:pPr>
            <w:pStyle w:val="TOCHeading"/>
          </w:pPr>
          <w:r>
            <w:t>Table of Contents</w:t>
          </w:r>
        </w:p>
        <w:p w14:paraId="7A76AF43" w14:textId="5D0E73C3" w:rsidR="004406EB" w:rsidRDefault="00E324CB">
          <w:pPr>
            <w:pStyle w:val="TOC3"/>
            <w:tabs>
              <w:tab w:val="right" w:leader="dot" w:pos="9350"/>
            </w:tabs>
            <w:rPr>
              <w:rFonts w:eastAsiaTheme="minorEastAsia"/>
              <w:noProof/>
            </w:rPr>
          </w:pPr>
          <w:r>
            <w:fldChar w:fldCharType="begin"/>
          </w:r>
          <w:r>
            <w:instrText xml:space="preserve"> TOC \o "1-3" \h \z \u </w:instrText>
          </w:r>
          <w:r>
            <w:fldChar w:fldCharType="separate"/>
          </w:r>
          <w:hyperlink w:anchor="_Toc202997355" w:history="1">
            <w:r w:rsidR="004406EB" w:rsidRPr="00F75AA7">
              <w:rPr>
                <w:rStyle w:val="Hyperlink"/>
                <w:rFonts w:ascii="Rockwell" w:eastAsia="Times New Roman" w:hAnsi="Rockwell" w:cs="Times New Roman"/>
                <w:b/>
                <w:bCs/>
                <w:noProof/>
              </w:rPr>
              <w:t>Table of Contents</w:t>
            </w:r>
            <w:r w:rsidR="004406EB">
              <w:rPr>
                <w:noProof/>
                <w:webHidden/>
              </w:rPr>
              <w:tab/>
            </w:r>
            <w:r w:rsidR="004406EB">
              <w:rPr>
                <w:noProof/>
                <w:webHidden/>
              </w:rPr>
              <w:fldChar w:fldCharType="begin"/>
            </w:r>
            <w:r w:rsidR="004406EB">
              <w:rPr>
                <w:noProof/>
                <w:webHidden/>
              </w:rPr>
              <w:instrText xml:space="preserve"> PAGEREF _Toc202997355 \h </w:instrText>
            </w:r>
            <w:r w:rsidR="004406EB">
              <w:rPr>
                <w:noProof/>
                <w:webHidden/>
              </w:rPr>
            </w:r>
            <w:r w:rsidR="004406EB">
              <w:rPr>
                <w:noProof/>
                <w:webHidden/>
              </w:rPr>
              <w:fldChar w:fldCharType="separate"/>
            </w:r>
            <w:r w:rsidR="004406EB">
              <w:rPr>
                <w:noProof/>
                <w:webHidden/>
              </w:rPr>
              <w:t>1</w:t>
            </w:r>
            <w:r w:rsidR="004406EB">
              <w:rPr>
                <w:noProof/>
                <w:webHidden/>
              </w:rPr>
              <w:fldChar w:fldCharType="end"/>
            </w:r>
          </w:hyperlink>
        </w:p>
        <w:p w14:paraId="362E9C0B" w14:textId="6C340551" w:rsidR="004406EB" w:rsidRDefault="004406EB">
          <w:pPr>
            <w:pStyle w:val="TOC3"/>
            <w:tabs>
              <w:tab w:val="right" w:leader="dot" w:pos="9350"/>
            </w:tabs>
            <w:rPr>
              <w:rFonts w:eastAsiaTheme="minorEastAsia"/>
              <w:noProof/>
            </w:rPr>
          </w:pPr>
          <w:hyperlink w:anchor="_Toc202997356" w:history="1">
            <w:r w:rsidRPr="00F75AA7">
              <w:rPr>
                <w:rStyle w:val="Hyperlink"/>
                <w:rFonts w:ascii="Rockwell" w:eastAsia="Times New Roman" w:hAnsi="Rockwell" w:cs="Times New Roman"/>
                <w:b/>
                <w:bCs/>
                <w:noProof/>
              </w:rPr>
              <w:t>1. Executive Summary</w:t>
            </w:r>
            <w:r>
              <w:rPr>
                <w:noProof/>
                <w:webHidden/>
              </w:rPr>
              <w:tab/>
            </w:r>
            <w:r>
              <w:rPr>
                <w:noProof/>
                <w:webHidden/>
              </w:rPr>
              <w:fldChar w:fldCharType="begin"/>
            </w:r>
            <w:r>
              <w:rPr>
                <w:noProof/>
                <w:webHidden/>
              </w:rPr>
              <w:instrText xml:space="preserve"> PAGEREF _Toc202997356 \h </w:instrText>
            </w:r>
            <w:r>
              <w:rPr>
                <w:noProof/>
                <w:webHidden/>
              </w:rPr>
            </w:r>
            <w:r>
              <w:rPr>
                <w:noProof/>
                <w:webHidden/>
              </w:rPr>
              <w:fldChar w:fldCharType="separate"/>
            </w:r>
            <w:r>
              <w:rPr>
                <w:noProof/>
                <w:webHidden/>
              </w:rPr>
              <w:t>2</w:t>
            </w:r>
            <w:r>
              <w:rPr>
                <w:noProof/>
                <w:webHidden/>
              </w:rPr>
              <w:fldChar w:fldCharType="end"/>
            </w:r>
          </w:hyperlink>
        </w:p>
        <w:p w14:paraId="352531D5" w14:textId="09134A49" w:rsidR="004406EB" w:rsidRDefault="004406EB">
          <w:pPr>
            <w:pStyle w:val="TOC3"/>
            <w:tabs>
              <w:tab w:val="right" w:leader="dot" w:pos="9350"/>
            </w:tabs>
            <w:rPr>
              <w:rFonts w:eastAsiaTheme="minorEastAsia"/>
              <w:noProof/>
            </w:rPr>
          </w:pPr>
          <w:hyperlink w:anchor="_Toc202997357" w:history="1">
            <w:r w:rsidRPr="00F75AA7">
              <w:rPr>
                <w:rStyle w:val="Hyperlink"/>
                <w:rFonts w:ascii="Rockwell" w:eastAsia="Times New Roman" w:hAnsi="Rockwell" w:cs="Times New Roman"/>
                <w:b/>
                <w:bCs/>
                <w:noProof/>
              </w:rPr>
              <w:t>2. Introduction</w:t>
            </w:r>
            <w:r>
              <w:rPr>
                <w:noProof/>
                <w:webHidden/>
              </w:rPr>
              <w:tab/>
            </w:r>
            <w:r>
              <w:rPr>
                <w:noProof/>
                <w:webHidden/>
              </w:rPr>
              <w:fldChar w:fldCharType="begin"/>
            </w:r>
            <w:r>
              <w:rPr>
                <w:noProof/>
                <w:webHidden/>
              </w:rPr>
              <w:instrText xml:space="preserve"> PAGEREF _Toc202997357 \h </w:instrText>
            </w:r>
            <w:r>
              <w:rPr>
                <w:noProof/>
                <w:webHidden/>
              </w:rPr>
            </w:r>
            <w:r>
              <w:rPr>
                <w:noProof/>
                <w:webHidden/>
              </w:rPr>
              <w:fldChar w:fldCharType="separate"/>
            </w:r>
            <w:r>
              <w:rPr>
                <w:noProof/>
                <w:webHidden/>
              </w:rPr>
              <w:t>2</w:t>
            </w:r>
            <w:r>
              <w:rPr>
                <w:noProof/>
                <w:webHidden/>
              </w:rPr>
              <w:fldChar w:fldCharType="end"/>
            </w:r>
          </w:hyperlink>
        </w:p>
        <w:p w14:paraId="6EF57811" w14:textId="1C22D6FB" w:rsidR="004406EB" w:rsidRDefault="004406EB">
          <w:pPr>
            <w:pStyle w:val="TOC3"/>
            <w:tabs>
              <w:tab w:val="right" w:leader="dot" w:pos="9350"/>
            </w:tabs>
            <w:rPr>
              <w:rFonts w:eastAsiaTheme="minorEastAsia"/>
              <w:noProof/>
            </w:rPr>
          </w:pPr>
          <w:hyperlink w:anchor="_Toc202997358" w:history="1">
            <w:r w:rsidRPr="00F75AA7">
              <w:rPr>
                <w:rStyle w:val="Hyperlink"/>
                <w:rFonts w:ascii="Rockwell" w:eastAsia="Times New Roman" w:hAnsi="Rockwell" w:cs="Times New Roman"/>
                <w:b/>
                <w:bCs/>
                <w:noProof/>
              </w:rPr>
              <w:t>3. Objectives of the Assessment</w:t>
            </w:r>
            <w:r>
              <w:rPr>
                <w:noProof/>
                <w:webHidden/>
              </w:rPr>
              <w:tab/>
            </w:r>
            <w:r>
              <w:rPr>
                <w:noProof/>
                <w:webHidden/>
              </w:rPr>
              <w:fldChar w:fldCharType="begin"/>
            </w:r>
            <w:r>
              <w:rPr>
                <w:noProof/>
                <w:webHidden/>
              </w:rPr>
              <w:instrText xml:space="preserve"> PAGEREF _Toc202997358 \h </w:instrText>
            </w:r>
            <w:r>
              <w:rPr>
                <w:noProof/>
                <w:webHidden/>
              </w:rPr>
            </w:r>
            <w:r>
              <w:rPr>
                <w:noProof/>
                <w:webHidden/>
              </w:rPr>
              <w:fldChar w:fldCharType="separate"/>
            </w:r>
            <w:r>
              <w:rPr>
                <w:noProof/>
                <w:webHidden/>
              </w:rPr>
              <w:t>2</w:t>
            </w:r>
            <w:r>
              <w:rPr>
                <w:noProof/>
                <w:webHidden/>
              </w:rPr>
              <w:fldChar w:fldCharType="end"/>
            </w:r>
          </w:hyperlink>
        </w:p>
        <w:p w14:paraId="5A0C0D26" w14:textId="6CF1AC57" w:rsidR="004406EB" w:rsidRDefault="004406EB">
          <w:pPr>
            <w:pStyle w:val="TOC3"/>
            <w:tabs>
              <w:tab w:val="right" w:leader="dot" w:pos="9350"/>
            </w:tabs>
            <w:rPr>
              <w:rFonts w:eastAsiaTheme="minorEastAsia"/>
              <w:noProof/>
            </w:rPr>
          </w:pPr>
          <w:hyperlink w:anchor="_Toc202997359" w:history="1">
            <w:r w:rsidRPr="00F75AA7">
              <w:rPr>
                <w:rStyle w:val="Hyperlink"/>
                <w:rFonts w:ascii="Rockwell" w:eastAsia="Times New Roman" w:hAnsi="Rockwell" w:cs="Times New Roman"/>
                <w:b/>
                <w:bCs/>
                <w:noProof/>
              </w:rPr>
              <w:t>4. Methodology</w:t>
            </w:r>
            <w:r>
              <w:rPr>
                <w:noProof/>
                <w:webHidden/>
              </w:rPr>
              <w:tab/>
            </w:r>
            <w:r>
              <w:rPr>
                <w:noProof/>
                <w:webHidden/>
              </w:rPr>
              <w:fldChar w:fldCharType="begin"/>
            </w:r>
            <w:r>
              <w:rPr>
                <w:noProof/>
                <w:webHidden/>
              </w:rPr>
              <w:instrText xml:space="preserve"> PAGEREF _Toc202997359 \h </w:instrText>
            </w:r>
            <w:r>
              <w:rPr>
                <w:noProof/>
                <w:webHidden/>
              </w:rPr>
            </w:r>
            <w:r>
              <w:rPr>
                <w:noProof/>
                <w:webHidden/>
              </w:rPr>
              <w:fldChar w:fldCharType="separate"/>
            </w:r>
            <w:r>
              <w:rPr>
                <w:noProof/>
                <w:webHidden/>
              </w:rPr>
              <w:t>2</w:t>
            </w:r>
            <w:r>
              <w:rPr>
                <w:noProof/>
                <w:webHidden/>
              </w:rPr>
              <w:fldChar w:fldCharType="end"/>
            </w:r>
          </w:hyperlink>
        </w:p>
        <w:p w14:paraId="58088CB4" w14:textId="344FA21E" w:rsidR="004406EB" w:rsidRDefault="008E7AC5">
          <w:pPr>
            <w:pStyle w:val="TOC2"/>
            <w:tabs>
              <w:tab w:val="right" w:leader="dot" w:pos="9350"/>
            </w:tabs>
            <w:rPr>
              <w:rFonts w:eastAsiaTheme="minorEastAsia"/>
              <w:noProof/>
            </w:rPr>
          </w:pPr>
          <w:r>
            <w:rPr>
              <w:rStyle w:val="Hyperlink"/>
              <w:noProof/>
            </w:rPr>
            <w:t xml:space="preserve">     </w:t>
          </w:r>
          <w:hyperlink w:anchor="_Toc202997363" w:history="1">
            <w:r w:rsidR="004406EB" w:rsidRPr="00F75AA7">
              <w:rPr>
                <w:rStyle w:val="Hyperlink"/>
                <w:rFonts w:ascii="Rockwell" w:eastAsia="Times New Roman" w:hAnsi="Rockwell" w:cs="Times New Roman"/>
                <w:b/>
                <w:bCs/>
                <w:noProof/>
              </w:rPr>
              <w:t>5. Cost Calculation Formulas</w:t>
            </w:r>
            <w:r w:rsidR="004406EB">
              <w:rPr>
                <w:noProof/>
                <w:webHidden/>
              </w:rPr>
              <w:tab/>
            </w:r>
            <w:r w:rsidR="004406EB">
              <w:rPr>
                <w:noProof/>
                <w:webHidden/>
              </w:rPr>
              <w:fldChar w:fldCharType="begin"/>
            </w:r>
            <w:r w:rsidR="004406EB">
              <w:rPr>
                <w:noProof/>
                <w:webHidden/>
              </w:rPr>
              <w:instrText xml:space="preserve"> PAGEREF _Toc202997363 \h </w:instrText>
            </w:r>
            <w:r w:rsidR="004406EB">
              <w:rPr>
                <w:noProof/>
                <w:webHidden/>
              </w:rPr>
            </w:r>
            <w:r w:rsidR="004406EB">
              <w:rPr>
                <w:noProof/>
                <w:webHidden/>
              </w:rPr>
              <w:fldChar w:fldCharType="separate"/>
            </w:r>
            <w:r w:rsidR="004406EB">
              <w:rPr>
                <w:noProof/>
                <w:webHidden/>
              </w:rPr>
              <w:t>3</w:t>
            </w:r>
            <w:r w:rsidR="004406EB">
              <w:rPr>
                <w:noProof/>
                <w:webHidden/>
              </w:rPr>
              <w:fldChar w:fldCharType="end"/>
            </w:r>
          </w:hyperlink>
        </w:p>
        <w:p w14:paraId="5B0ABF8E" w14:textId="0C9AA115" w:rsidR="004406EB" w:rsidRDefault="008E7AC5">
          <w:pPr>
            <w:pStyle w:val="TOC1"/>
            <w:tabs>
              <w:tab w:val="right" w:leader="dot" w:pos="9350"/>
            </w:tabs>
            <w:rPr>
              <w:rFonts w:eastAsiaTheme="minorEastAsia"/>
              <w:noProof/>
            </w:rPr>
          </w:pPr>
          <w:r>
            <w:rPr>
              <w:rStyle w:val="Hyperlink"/>
              <w:noProof/>
            </w:rPr>
            <w:t xml:space="preserve">          </w:t>
          </w:r>
          <w:hyperlink w:anchor="_Toc202997364" w:history="1">
            <w:r w:rsidR="004406EB" w:rsidRPr="00F75AA7">
              <w:rPr>
                <w:rStyle w:val="Hyperlink"/>
                <w:rFonts w:ascii="Rockwell" w:hAnsi="Rockwell"/>
                <w:noProof/>
              </w:rPr>
              <w:t>6. PREVIOUS ACTION PLAN IMPLEMENTATION</w:t>
            </w:r>
            <w:r w:rsidR="004406EB">
              <w:rPr>
                <w:noProof/>
                <w:webHidden/>
              </w:rPr>
              <w:tab/>
            </w:r>
            <w:r w:rsidR="004406EB">
              <w:rPr>
                <w:noProof/>
                <w:webHidden/>
              </w:rPr>
              <w:fldChar w:fldCharType="begin"/>
            </w:r>
            <w:r w:rsidR="004406EB">
              <w:rPr>
                <w:noProof/>
                <w:webHidden/>
              </w:rPr>
              <w:instrText xml:space="preserve"> PAGEREF _Toc202997364 \h </w:instrText>
            </w:r>
            <w:r w:rsidR="004406EB">
              <w:rPr>
                <w:noProof/>
                <w:webHidden/>
              </w:rPr>
            </w:r>
            <w:r w:rsidR="004406EB">
              <w:rPr>
                <w:noProof/>
                <w:webHidden/>
              </w:rPr>
              <w:fldChar w:fldCharType="separate"/>
            </w:r>
            <w:r w:rsidR="004406EB">
              <w:rPr>
                <w:noProof/>
                <w:webHidden/>
              </w:rPr>
              <w:t>6</w:t>
            </w:r>
            <w:r w:rsidR="004406EB">
              <w:rPr>
                <w:noProof/>
                <w:webHidden/>
              </w:rPr>
              <w:fldChar w:fldCharType="end"/>
            </w:r>
          </w:hyperlink>
        </w:p>
        <w:p w14:paraId="466383E7" w14:textId="1A4DF7D2" w:rsidR="004406EB" w:rsidRDefault="004406EB">
          <w:pPr>
            <w:pStyle w:val="TOC3"/>
            <w:tabs>
              <w:tab w:val="right" w:leader="dot" w:pos="9350"/>
            </w:tabs>
            <w:rPr>
              <w:rFonts w:eastAsiaTheme="minorEastAsia"/>
              <w:noProof/>
            </w:rPr>
          </w:pPr>
          <w:hyperlink w:anchor="_Toc202997365" w:history="1">
            <w:r w:rsidRPr="00F75AA7">
              <w:rPr>
                <w:rStyle w:val="Hyperlink"/>
                <w:rFonts w:ascii="Rockwell" w:eastAsia="Times New Roman" w:hAnsi="Rockwell" w:cs="Times New Roman"/>
                <w:b/>
                <w:bCs/>
                <w:noProof/>
              </w:rPr>
              <w:t>6. Inefficiency Summary Table (Q1 2016EC)</w:t>
            </w:r>
            <w:r>
              <w:rPr>
                <w:noProof/>
                <w:webHidden/>
              </w:rPr>
              <w:tab/>
            </w:r>
            <w:r>
              <w:rPr>
                <w:noProof/>
                <w:webHidden/>
              </w:rPr>
              <w:fldChar w:fldCharType="begin"/>
            </w:r>
            <w:r>
              <w:rPr>
                <w:noProof/>
                <w:webHidden/>
              </w:rPr>
              <w:instrText xml:space="preserve"> PAGEREF _Toc202997365 \h </w:instrText>
            </w:r>
            <w:r>
              <w:rPr>
                <w:noProof/>
                <w:webHidden/>
              </w:rPr>
            </w:r>
            <w:r>
              <w:rPr>
                <w:noProof/>
                <w:webHidden/>
              </w:rPr>
              <w:fldChar w:fldCharType="separate"/>
            </w:r>
            <w:r>
              <w:rPr>
                <w:noProof/>
                <w:webHidden/>
              </w:rPr>
              <w:t>7</w:t>
            </w:r>
            <w:r>
              <w:rPr>
                <w:noProof/>
                <w:webHidden/>
              </w:rPr>
              <w:fldChar w:fldCharType="end"/>
            </w:r>
          </w:hyperlink>
        </w:p>
        <w:p w14:paraId="72C7FC2C" w14:textId="4203DAFC" w:rsidR="004406EB" w:rsidRDefault="004406EB">
          <w:pPr>
            <w:pStyle w:val="TOC3"/>
            <w:tabs>
              <w:tab w:val="right" w:leader="dot" w:pos="9350"/>
            </w:tabs>
            <w:rPr>
              <w:rFonts w:eastAsiaTheme="minorEastAsia"/>
              <w:noProof/>
            </w:rPr>
          </w:pPr>
          <w:hyperlink w:anchor="_Toc202997366" w:history="1">
            <w:r w:rsidRPr="00F75AA7">
              <w:rPr>
                <w:rStyle w:val="Hyperlink"/>
                <w:rFonts w:ascii="Rockwell" w:eastAsia="Times New Roman" w:hAnsi="Rockwell" w:cs="Times New Roman"/>
                <w:b/>
                <w:bCs/>
                <w:noProof/>
              </w:rPr>
              <w:t>7. Risk Assessment</w:t>
            </w:r>
            <w:r>
              <w:rPr>
                <w:noProof/>
                <w:webHidden/>
              </w:rPr>
              <w:tab/>
            </w:r>
            <w:r>
              <w:rPr>
                <w:noProof/>
                <w:webHidden/>
              </w:rPr>
              <w:fldChar w:fldCharType="begin"/>
            </w:r>
            <w:r>
              <w:rPr>
                <w:noProof/>
                <w:webHidden/>
              </w:rPr>
              <w:instrText xml:space="preserve"> PAGEREF _Toc202997366 \h </w:instrText>
            </w:r>
            <w:r>
              <w:rPr>
                <w:noProof/>
                <w:webHidden/>
              </w:rPr>
            </w:r>
            <w:r>
              <w:rPr>
                <w:noProof/>
                <w:webHidden/>
              </w:rPr>
              <w:fldChar w:fldCharType="separate"/>
            </w:r>
            <w:r>
              <w:rPr>
                <w:noProof/>
                <w:webHidden/>
              </w:rPr>
              <w:t>8</w:t>
            </w:r>
            <w:r>
              <w:rPr>
                <w:noProof/>
                <w:webHidden/>
              </w:rPr>
              <w:fldChar w:fldCharType="end"/>
            </w:r>
          </w:hyperlink>
        </w:p>
        <w:p w14:paraId="7D221A38" w14:textId="4FCD6B4C" w:rsidR="004406EB" w:rsidRDefault="004406EB">
          <w:pPr>
            <w:pStyle w:val="TOC3"/>
            <w:tabs>
              <w:tab w:val="right" w:leader="dot" w:pos="9350"/>
            </w:tabs>
            <w:rPr>
              <w:rFonts w:eastAsiaTheme="minorEastAsia"/>
              <w:noProof/>
            </w:rPr>
          </w:pPr>
          <w:hyperlink w:anchor="_Toc202997367" w:history="1">
            <w:r w:rsidRPr="00F75AA7">
              <w:rPr>
                <w:rStyle w:val="Hyperlink"/>
                <w:rFonts w:ascii="Rockwell" w:eastAsia="Times New Roman" w:hAnsi="Rockwell" w:cs="Times New Roman"/>
                <w:b/>
                <w:bCs/>
                <w:noProof/>
              </w:rPr>
              <w:t>8. Discussion</w:t>
            </w:r>
            <w:r>
              <w:rPr>
                <w:noProof/>
                <w:webHidden/>
              </w:rPr>
              <w:tab/>
            </w:r>
            <w:r>
              <w:rPr>
                <w:noProof/>
                <w:webHidden/>
              </w:rPr>
              <w:fldChar w:fldCharType="begin"/>
            </w:r>
            <w:r>
              <w:rPr>
                <w:noProof/>
                <w:webHidden/>
              </w:rPr>
              <w:instrText xml:space="preserve"> PAGEREF _Toc202997367 \h </w:instrText>
            </w:r>
            <w:r>
              <w:rPr>
                <w:noProof/>
                <w:webHidden/>
              </w:rPr>
            </w:r>
            <w:r>
              <w:rPr>
                <w:noProof/>
                <w:webHidden/>
              </w:rPr>
              <w:fldChar w:fldCharType="separate"/>
            </w:r>
            <w:r>
              <w:rPr>
                <w:noProof/>
                <w:webHidden/>
              </w:rPr>
              <w:t>8</w:t>
            </w:r>
            <w:r>
              <w:rPr>
                <w:noProof/>
                <w:webHidden/>
              </w:rPr>
              <w:fldChar w:fldCharType="end"/>
            </w:r>
          </w:hyperlink>
        </w:p>
        <w:p w14:paraId="2054C876" w14:textId="06D46849" w:rsidR="004406EB" w:rsidRDefault="004406EB">
          <w:pPr>
            <w:pStyle w:val="TOC3"/>
            <w:tabs>
              <w:tab w:val="right" w:leader="dot" w:pos="9350"/>
            </w:tabs>
            <w:rPr>
              <w:rFonts w:eastAsiaTheme="minorEastAsia"/>
              <w:noProof/>
            </w:rPr>
          </w:pPr>
          <w:hyperlink w:anchor="_Toc202997368" w:history="1">
            <w:r w:rsidRPr="00F75AA7">
              <w:rPr>
                <w:rStyle w:val="Hyperlink"/>
                <w:rFonts w:ascii="Rockwell" w:eastAsia="Times New Roman" w:hAnsi="Rockwell" w:cs="Times New Roman"/>
                <w:b/>
                <w:bCs/>
                <w:noProof/>
              </w:rPr>
              <w:t>9. Action Plan (Q2 2016EC)</w:t>
            </w:r>
            <w:r>
              <w:rPr>
                <w:noProof/>
                <w:webHidden/>
              </w:rPr>
              <w:tab/>
            </w:r>
            <w:r>
              <w:rPr>
                <w:noProof/>
                <w:webHidden/>
              </w:rPr>
              <w:fldChar w:fldCharType="begin"/>
            </w:r>
            <w:r>
              <w:rPr>
                <w:noProof/>
                <w:webHidden/>
              </w:rPr>
              <w:instrText xml:space="preserve"> PAGEREF _Toc202997368 \h </w:instrText>
            </w:r>
            <w:r>
              <w:rPr>
                <w:noProof/>
                <w:webHidden/>
              </w:rPr>
            </w:r>
            <w:r>
              <w:rPr>
                <w:noProof/>
                <w:webHidden/>
              </w:rPr>
              <w:fldChar w:fldCharType="separate"/>
            </w:r>
            <w:r>
              <w:rPr>
                <w:noProof/>
                <w:webHidden/>
              </w:rPr>
              <w:t>8</w:t>
            </w:r>
            <w:r>
              <w:rPr>
                <w:noProof/>
                <w:webHidden/>
              </w:rPr>
              <w:fldChar w:fldCharType="end"/>
            </w:r>
          </w:hyperlink>
        </w:p>
        <w:p w14:paraId="6F9B22EB" w14:textId="3D12062D" w:rsidR="004406EB" w:rsidRDefault="004406EB">
          <w:pPr>
            <w:pStyle w:val="TOC3"/>
            <w:tabs>
              <w:tab w:val="right" w:leader="dot" w:pos="9350"/>
            </w:tabs>
            <w:rPr>
              <w:rFonts w:eastAsiaTheme="minorEastAsia"/>
              <w:noProof/>
            </w:rPr>
          </w:pPr>
          <w:hyperlink w:anchor="_Toc202997369" w:history="1">
            <w:r w:rsidRPr="00F75AA7">
              <w:rPr>
                <w:rStyle w:val="Hyperlink"/>
                <w:rFonts w:ascii="Rockwell" w:eastAsia="Times New Roman" w:hAnsi="Rockwell" w:cs="Times New Roman"/>
                <w:b/>
                <w:bCs/>
                <w:noProof/>
              </w:rPr>
              <w:t>10. Recommendations</w:t>
            </w:r>
            <w:r>
              <w:rPr>
                <w:noProof/>
                <w:webHidden/>
              </w:rPr>
              <w:tab/>
            </w:r>
            <w:r>
              <w:rPr>
                <w:noProof/>
                <w:webHidden/>
              </w:rPr>
              <w:fldChar w:fldCharType="begin"/>
            </w:r>
            <w:r>
              <w:rPr>
                <w:noProof/>
                <w:webHidden/>
              </w:rPr>
              <w:instrText xml:space="preserve"> PAGEREF _Toc202997369 \h </w:instrText>
            </w:r>
            <w:r>
              <w:rPr>
                <w:noProof/>
                <w:webHidden/>
              </w:rPr>
            </w:r>
            <w:r>
              <w:rPr>
                <w:noProof/>
                <w:webHidden/>
              </w:rPr>
              <w:fldChar w:fldCharType="separate"/>
            </w:r>
            <w:r>
              <w:rPr>
                <w:noProof/>
                <w:webHidden/>
              </w:rPr>
              <w:t>9</w:t>
            </w:r>
            <w:r>
              <w:rPr>
                <w:noProof/>
                <w:webHidden/>
              </w:rPr>
              <w:fldChar w:fldCharType="end"/>
            </w:r>
          </w:hyperlink>
        </w:p>
        <w:p w14:paraId="2D977939" w14:textId="61057353" w:rsidR="004406EB" w:rsidRDefault="004406EB">
          <w:pPr>
            <w:pStyle w:val="TOC3"/>
            <w:tabs>
              <w:tab w:val="right" w:leader="dot" w:pos="9350"/>
            </w:tabs>
            <w:rPr>
              <w:rFonts w:eastAsiaTheme="minorEastAsia"/>
              <w:noProof/>
            </w:rPr>
          </w:pPr>
          <w:hyperlink w:anchor="_Toc202997370" w:history="1">
            <w:r w:rsidRPr="00F75AA7">
              <w:rPr>
                <w:rStyle w:val="Hyperlink"/>
                <w:rFonts w:ascii="Rockwell" w:eastAsia="Times New Roman" w:hAnsi="Rockwell" w:cs="Times New Roman"/>
                <w:b/>
                <w:bCs/>
                <w:noProof/>
              </w:rPr>
              <w:t>11. Conclusion</w:t>
            </w:r>
            <w:r>
              <w:rPr>
                <w:noProof/>
                <w:webHidden/>
              </w:rPr>
              <w:tab/>
            </w:r>
            <w:r>
              <w:rPr>
                <w:noProof/>
                <w:webHidden/>
              </w:rPr>
              <w:fldChar w:fldCharType="begin"/>
            </w:r>
            <w:r>
              <w:rPr>
                <w:noProof/>
                <w:webHidden/>
              </w:rPr>
              <w:instrText xml:space="preserve"> PAGEREF _Toc202997370 \h </w:instrText>
            </w:r>
            <w:r>
              <w:rPr>
                <w:noProof/>
                <w:webHidden/>
              </w:rPr>
            </w:r>
            <w:r>
              <w:rPr>
                <w:noProof/>
                <w:webHidden/>
              </w:rPr>
              <w:fldChar w:fldCharType="separate"/>
            </w:r>
            <w:r>
              <w:rPr>
                <w:noProof/>
                <w:webHidden/>
              </w:rPr>
              <w:t>9</w:t>
            </w:r>
            <w:r>
              <w:rPr>
                <w:noProof/>
                <w:webHidden/>
              </w:rPr>
              <w:fldChar w:fldCharType="end"/>
            </w:r>
          </w:hyperlink>
        </w:p>
        <w:p w14:paraId="27125042" w14:textId="37C5FA5D" w:rsidR="004406EB" w:rsidRDefault="004406EB">
          <w:pPr>
            <w:pStyle w:val="TOC3"/>
            <w:tabs>
              <w:tab w:val="right" w:leader="dot" w:pos="9350"/>
            </w:tabs>
            <w:rPr>
              <w:rFonts w:eastAsiaTheme="minorEastAsia"/>
              <w:noProof/>
            </w:rPr>
          </w:pPr>
          <w:hyperlink w:anchor="_Toc202997371" w:history="1">
            <w:r w:rsidRPr="00F75AA7">
              <w:rPr>
                <w:rStyle w:val="Hyperlink"/>
                <w:rFonts w:ascii="Rockwell" w:eastAsia="Times New Roman" w:hAnsi="Rockwell" w:cs="Times New Roman"/>
                <w:b/>
                <w:bCs/>
                <w:noProof/>
              </w:rPr>
              <w:t>12. References</w:t>
            </w:r>
            <w:r>
              <w:rPr>
                <w:noProof/>
                <w:webHidden/>
              </w:rPr>
              <w:tab/>
            </w:r>
            <w:r>
              <w:rPr>
                <w:noProof/>
                <w:webHidden/>
              </w:rPr>
              <w:fldChar w:fldCharType="begin"/>
            </w:r>
            <w:r>
              <w:rPr>
                <w:noProof/>
                <w:webHidden/>
              </w:rPr>
              <w:instrText xml:space="preserve"> PAGEREF _Toc202997371 \h </w:instrText>
            </w:r>
            <w:r>
              <w:rPr>
                <w:noProof/>
                <w:webHidden/>
              </w:rPr>
            </w:r>
            <w:r>
              <w:rPr>
                <w:noProof/>
                <w:webHidden/>
              </w:rPr>
              <w:fldChar w:fldCharType="separate"/>
            </w:r>
            <w:r>
              <w:rPr>
                <w:noProof/>
                <w:webHidden/>
              </w:rPr>
              <w:t>10</w:t>
            </w:r>
            <w:r>
              <w:rPr>
                <w:noProof/>
                <w:webHidden/>
              </w:rPr>
              <w:fldChar w:fldCharType="end"/>
            </w:r>
          </w:hyperlink>
        </w:p>
        <w:p w14:paraId="4641FD0B" w14:textId="049DB192" w:rsidR="00E324CB" w:rsidRDefault="00E324CB">
          <w:r>
            <w:rPr>
              <w:b/>
              <w:bCs/>
              <w:noProof/>
            </w:rPr>
            <w:fldChar w:fldCharType="end"/>
          </w:r>
        </w:p>
      </w:sdtContent>
    </w:sdt>
    <w:p w14:paraId="4F60297F" w14:textId="77777777" w:rsidR="00E324CB" w:rsidRDefault="00E324CB" w:rsidP="00757666">
      <w:pPr>
        <w:spacing w:after="0" w:line="240" w:lineRule="auto"/>
        <w:rPr>
          <w:rFonts w:ascii="Rockwell" w:eastAsia="Times New Roman" w:hAnsi="Rockwell" w:cs="Times New Roman"/>
          <w:sz w:val="24"/>
          <w:szCs w:val="24"/>
        </w:rPr>
      </w:pPr>
    </w:p>
    <w:p w14:paraId="7D91DF06" w14:textId="31CF0440" w:rsid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pict w14:anchorId="76F3B679">
          <v:rect id="_x0000_i1026" style="width:0;height:1.5pt" o:hralign="center" o:hrstd="t" o:hr="t" fillcolor="#a0a0a0" stroked="f"/>
        </w:pict>
      </w:r>
    </w:p>
    <w:p w14:paraId="6DE2CA30" w14:textId="04891421" w:rsidR="009F71B2" w:rsidRDefault="009F71B2" w:rsidP="00757666">
      <w:pPr>
        <w:spacing w:after="0" w:line="240" w:lineRule="auto"/>
        <w:rPr>
          <w:rFonts w:ascii="Rockwell" w:eastAsia="Times New Roman" w:hAnsi="Rockwell" w:cs="Times New Roman"/>
          <w:sz w:val="24"/>
          <w:szCs w:val="24"/>
        </w:rPr>
      </w:pPr>
    </w:p>
    <w:p w14:paraId="19D5FBE6" w14:textId="2229D4CF" w:rsidR="009F71B2" w:rsidRDefault="009F71B2" w:rsidP="00757666">
      <w:pPr>
        <w:spacing w:after="0" w:line="240" w:lineRule="auto"/>
        <w:rPr>
          <w:rFonts w:ascii="Rockwell" w:eastAsia="Times New Roman" w:hAnsi="Rockwell" w:cs="Times New Roman"/>
          <w:sz w:val="24"/>
          <w:szCs w:val="24"/>
        </w:rPr>
      </w:pPr>
    </w:p>
    <w:p w14:paraId="39D5BEA0" w14:textId="67183840" w:rsidR="009F71B2" w:rsidRDefault="009F71B2" w:rsidP="00757666">
      <w:pPr>
        <w:spacing w:after="0" w:line="240" w:lineRule="auto"/>
        <w:rPr>
          <w:rFonts w:ascii="Rockwell" w:eastAsia="Times New Roman" w:hAnsi="Rockwell" w:cs="Times New Roman"/>
          <w:sz w:val="24"/>
          <w:szCs w:val="24"/>
        </w:rPr>
      </w:pPr>
    </w:p>
    <w:p w14:paraId="2732D288" w14:textId="38C99A99" w:rsidR="009F71B2" w:rsidRDefault="009F71B2" w:rsidP="00757666">
      <w:pPr>
        <w:spacing w:after="0" w:line="240" w:lineRule="auto"/>
        <w:rPr>
          <w:rFonts w:ascii="Rockwell" w:eastAsia="Times New Roman" w:hAnsi="Rockwell" w:cs="Times New Roman"/>
          <w:sz w:val="24"/>
          <w:szCs w:val="24"/>
        </w:rPr>
      </w:pPr>
    </w:p>
    <w:p w14:paraId="293CBBF8" w14:textId="695FE19A" w:rsidR="009F71B2" w:rsidRDefault="009F71B2" w:rsidP="00757666">
      <w:pPr>
        <w:spacing w:after="0" w:line="240" w:lineRule="auto"/>
        <w:rPr>
          <w:rFonts w:ascii="Rockwell" w:eastAsia="Times New Roman" w:hAnsi="Rockwell" w:cs="Times New Roman"/>
          <w:sz w:val="24"/>
          <w:szCs w:val="24"/>
        </w:rPr>
      </w:pPr>
    </w:p>
    <w:p w14:paraId="1E5EBE6B" w14:textId="7338AEA6" w:rsidR="009F71B2" w:rsidRDefault="009F71B2" w:rsidP="00757666">
      <w:pPr>
        <w:spacing w:after="0" w:line="240" w:lineRule="auto"/>
        <w:rPr>
          <w:rFonts w:ascii="Rockwell" w:eastAsia="Times New Roman" w:hAnsi="Rockwell" w:cs="Times New Roman"/>
          <w:sz w:val="24"/>
          <w:szCs w:val="24"/>
        </w:rPr>
      </w:pPr>
    </w:p>
    <w:p w14:paraId="60910678" w14:textId="64399AA3" w:rsidR="009F71B2" w:rsidRDefault="009F71B2" w:rsidP="00757666">
      <w:pPr>
        <w:spacing w:after="0" w:line="240" w:lineRule="auto"/>
        <w:rPr>
          <w:rFonts w:ascii="Rockwell" w:eastAsia="Times New Roman" w:hAnsi="Rockwell" w:cs="Times New Roman"/>
          <w:sz w:val="24"/>
          <w:szCs w:val="24"/>
        </w:rPr>
      </w:pPr>
    </w:p>
    <w:p w14:paraId="10EE4425" w14:textId="5E0FA6E2" w:rsidR="009F71B2" w:rsidRDefault="009F71B2" w:rsidP="00757666">
      <w:pPr>
        <w:spacing w:after="0" w:line="240" w:lineRule="auto"/>
        <w:rPr>
          <w:rFonts w:ascii="Rockwell" w:eastAsia="Times New Roman" w:hAnsi="Rockwell" w:cs="Times New Roman"/>
          <w:sz w:val="24"/>
          <w:szCs w:val="24"/>
        </w:rPr>
      </w:pPr>
    </w:p>
    <w:p w14:paraId="198207BE" w14:textId="6B26262C" w:rsidR="009F71B2" w:rsidRDefault="009F71B2" w:rsidP="00757666">
      <w:pPr>
        <w:spacing w:after="0" w:line="240" w:lineRule="auto"/>
        <w:rPr>
          <w:rFonts w:ascii="Rockwell" w:eastAsia="Times New Roman" w:hAnsi="Rockwell" w:cs="Times New Roman"/>
          <w:sz w:val="24"/>
          <w:szCs w:val="24"/>
        </w:rPr>
      </w:pPr>
    </w:p>
    <w:p w14:paraId="3193504F" w14:textId="1AAEA95F" w:rsidR="009F71B2" w:rsidRDefault="009F71B2" w:rsidP="00757666">
      <w:pPr>
        <w:spacing w:after="0" w:line="240" w:lineRule="auto"/>
        <w:rPr>
          <w:rFonts w:ascii="Rockwell" w:eastAsia="Times New Roman" w:hAnsi="Rockwell" w:cs="Times New Roman"/>
          <w:sz w:val="24"/>
          <w:szCs w:val="24"/>
        </w:rPr>
      </w:pPr>
    </w:p>
    <w:p w14:paraId="39A47429" w14:textId="1D51E0F8" w:rsidR="009F71B2" w:rsidRDefault="009F71B2" w:rsidP="00757666">
      <w:pPr>
        <w:spacing w:after="0" w:line="240" w:lineRule="auto"/>
        <w:rPr>
          <w:rFonts w:ascii="Rockwell" w:eastAsia="Times New Roman" w:hAnsi="Rockwell" w:cs="Times New Roman"/>
          <w:sz w:val="24"/>
          <w:szCs w:val="24"/>
        </w:rPr>
      </w:pPr>
    </w:p>
    <w:p w14:paraId="693055B2" w14:textId="518B60D1" w:rsidR="009F71B2" w:rsidRDefault="009F71B2" w:rsidP="00757666">
      <w:pPr>
        <w:spacing w:after="0" w:line="240" w:lineRule="auto"/>
        <w:rPr>
          <w:rFonts w:ascii="Rockwell" w:eastAsia="Times New Roman" w:hAnsi="Rockwell" w:cs="Times New Roman"/>
          <w:sz w:val="24"/>
          <w:szCs w:val="24"/>
        </w:rPr>
      </w:pPr>
    </w:p>
    <w:p w14:paraId="6B0E1594" w14:textId="794080DC" w:rsidR="009F71B2" w:rsidRDefault="009F71B2" w:rsidP="00757666">
      <w:pPr>
        <w:spacing w:after="0" w:line="240" w:lineRule="auto"/>
        <w:rPr>
          <w:rFonts w:ascii="Rockwell" w:eastAsia="Times New Roman" w:hAnsi="Rockwell" w:cs="Times New Roman"/>
          <w:sz w:val="24"/>
          <w:szCs w:val="24"/>
        </w:rPr>
      </w:pPr>
    </w:p>
    <w:p w14:paraId="3A9C64F1" w14:textId="5D6ACA35" w:rsidR="009F71B2" w:rsidRDefault="009F71B2" w:rsidP="00757666">
      <w:pPr>
        <w:spacing w:after="0" w:line="240" w:lineRule="auto"/>
        <w:rPr>
          <w:rFonts w:ascii="Rockwell" w:eastAsia="Times New Roman" w:hAnsi="Rockwell" w:cs="Times New Roman"/>
          <w:sz w:val="24"/>
          <w:szCs w:val="24"/>
        </w:rPr>
      </w:pPr>
    </w:p>
    <w:p w14:paraId="64DC3290" w14:textId="0D3FBC06" w:rsidR="009F71B2" w:rsidRDefault="009F71B2" w:rsidP="00757666">
      <w:pPr>
        <w:spacing w:after="0" w:line="240" w:lineRule="auto"/>
        <w:rPr>
          <w:rFonts w:ascii="Rockwell" w:eastAsia="Times New Roman" w:hAnsi="Rockwell" w:cs="Times New Roman"/>
          <w:sz w:val="24"/>
          <w:szCs w:val="24"/>
        </w:rPr>
      </w:pPr>
    </w:p>
    <w:p w14:paraId="611CF0F8" w14:textId="6AA4467F" w:rsidR="009F71B2" w:rsidRDefault="009F71B2" w:rsidP="00757666">
      <w:pPr>
        <w:spacing w:after="0" w:line="240" w:lineRule="auto"/>
        <w:rPr>
          <w:rFonts w:ascii="Rockwell" w:eastAsia="Times New Roman" w:hAnsi="Rockwell" w:cs="Times New Roman"/>
          <w:sz w:val="24"/>
          <w:szCs w:val="24"/>
        </w:rPr>
      </w:pPr>
    </w:p>
    <w:p w14:paraId="3B316D93" w14:textId="3E6CDB93" w:rsidR="009F71B2" w:rsidRDefault="009F71B2" w:rsidP="00757666">
      <w:pPr>
        <w:spacing w:after="0" w:line="240" w:lineRule="auto"/>
        <w:rPr>
          <w:rFonts w:ascii="Rockwell" w:eastAsia="Times New Roman" w:hAnsi="Rockwell" w:cs="Times New Roman"/>
          <w:sz w:val="24"/>
          <w:szCs w:val="24"/>
        </w:rPr>
      </w:pPr>
    </w:p>
    <w:p w14:paraId="71307EA0" w14:textId="482BC38F" w:rsidR="009F71B2" w:rsidRDefault="009F71B2" w:rsidP="00757666">
      <w:pPr>
        <w:spacing w:after="0" w:line="240" w:lineRule="auto"/>
        <w:rPr>
          <w:rFonts w:ascii="Rockwell" w:eastAsia="Times New Roman" w:hAnsi="Rockwell" w:cs="Times New Roman"/>
          <w:sz w:val="24"/>
          <w:szCs w:val="24"/>
        </w:rPr>
      </w:pPr>
    </w:p>
    <w:p w14:paraId="51FA1DD0" w14:textId="05BB92EA" w:rsidR="009F71B2" w:rsidRDefault="009F71B2" w:rsidP="00757666">
      <w:pPr>
        <w:spacing w:after="0" w:line="240" w:lineRule="auto"/>
        <w:rPr>
          <w:rFonts w:ascii="Rockwell" w:eastAsia="Times New Roman" w:hAnsi="Rockwell" w:cs="Times New Roman"/>
          <w:sz w:val="24"/>
          <w:szCs w:val="24"/>
        </w:rPr>
      </w:pPr>
    </w:p>
    <w:p w14:paraId="67F63A7C" w14:textId="77777777" w:rsidR="009F71B2" w:rsidRPr="00757666" w:rsidRDefault="009F71B2" w:rsidP="00757666">
      <w:pPr>
        <w:spacing w:after="0" w:line="240" w:lineRule="auto"/>
        <w:rPr>
          <w:rFonts w:ascii="Rockwell" w:eastAsia="Times New Roman" w:hAnsi="Rockwell" w:cs="Times New Roman"/>
          <w:sz w:val="24"/>
          <w:szCs w:val="24"/>
        </w:rPr>
      </w:pPr>
    </w:p>
    <w:p w14:paraId="6025D872" w14:textId="77777777" w:rsidR="00757666" w:rsidRPr="00757666" w:rsidRDefault="00757666" w:rsidP="00757666">
      <w:pPr>
        <w:spacing w:before="100" w:beforeAutospacing="1" w:after="100" w:afterAutospacing="1" w:line="240" w:lineRule="auto"/>
        <w:outlineLvl w:val="2"/>
        <w:rPr>
          <w:rFonts w:ascii="Rockwell" w:eastAsia="Times New Roman" w:hAnsi="Rockwell" w:cs="Times New Roman"/>
          <w:b/>
          <w:bCs/>
          <w:sz w:val="27"/>
          <w:szCs w:val="27"/>
        </w:rPr>
      </w:pPr>
      <w:bookmarkStart w:id="2" w:name="_Toc202997356"/>
      <w:r w:rsidRPr="00757666">
        <w:rPr>
          <w:rFonts w:ascii="Rockwell" w:eastAsia="Times New Roman" w:hAnsi="Rockwell" w:cs="Times New Roman"/>
          <w:b/>
          <w:bCs/>
          <w:sz w:val="27"/>
          <w:szCs w:val="27"/>
        </w:rPr>
        <w:t>1. Executive Summary</w:t>
      </w:r>
      <w:bookmarkEnd w:id="2"/>
    </w:p>
    <w:p w14:paraId="26ED8394" w14:textId="77777777" w:rsidR="00757666" w:rsidRPr="00757666" w:rsidRDefault="00757666" w:rsidP="00757666">
      <w:p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 xml:space="preserve">This report presents the Quarter 2, 2016EC supply chain inefficiency assessment for </w:t>
      </w:r>
      <w:proofErr w:type="spellStart"/>
      <w:r w:rsidRPr="00757666">
        <w:rPr>
          <w:rFonts w:ascii="Rockwell" w:eastAsia="Times New Roman" w:hAnsi="Rockwell" w:cs="Times New Roman"/>
          <w:sz w:val="24"/>
          <w:szCs w:val="24"/>
        </w:rPr>
        <w:t>Deder</w:t>
      </w:r>
      <w:proofErr w:type="spellEnd"/>
      <w:r w:rsidRPr="00757666">
        <w:rPr>
          <w:rFonts w:ascii="Rockwell" w:eastAsia="Times New Roman" w:hAnsi="Rockwell" w:cs="Times New Roman"/>
          <w:sz w:val="24"/>
          <w:szCs w:val="24"/>
        </w:rPr>
        <w:t xml:space="preserve"> General Hospital. Despite improvements in waste reduction and inventory audit practices, key areas such as monitoring, communication, and digital system utilization remain underperforming. The total inefficiency rate has increased to </w:t>
      </w:r>
      <w:r w:rsidRPr="00757666">
        <w:rPr>
          <w:rFonts w:ascii="Rockwell" w:eastAsia="Times New Roman" w:hAnsi="Rockwell" w:cs="Times New Roman"/>
          <w:b/>
          <w:bCs/>
          <w:sz w:val="24"/>
          <w:szCs w:val="24"/>
        </w:rPr>
        <w:t>21%</w:t>
      </w:r>
      <w:r w:rsidRPr="00757666">
        <w:rPr>
          <w:rFonts w:ascii="Rockwell" w:eastAsia="Times New Roman" w:hAnsi="Rockwell" w:cs="Times New Roman"/>
          <w:sz w:val="24"/>
          <w:szCs w:val="24"/>
        </w:rPr>
        <w:t>, a 1% rise from the previous quarter. The report also evaluates implementation progress of previous action plans and proposes practical, targeted interventions for improvement.</w:t>
      </w:r>
    </w:p>
    <w:p w14:paraId="00DD8967"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pict w14:anchorId="7EAC3105">
          <v:rect id="_x0000_i1027" style="width:0;height:1.5pt" o:hralign="center" o:hrstd="t" o:hr="t" fillcolor="#a0a0a0" stroked="f"/>
        </w:pict>
      </w:r>
    </w:p>
    <w:p w14:paraId="4DECF694" w14:textId="77777777" w:rsidR="00757666" w:rsidRPr="00757666" w:rsidRDefault="00757666" w:rsidP="00757666">
      <w:pPr>
        <w:spacing w:before="100" w:beforeAutospacing="1" w:after="100" w:afterAutospacing="1" w:line="240" w:lineRule="auto"/>
        <w:outlineLvl w:val="2"/>
        <w:rPr>
          <w:rFonts w:ascii="Rockwell" w:eastAsia="Times New Roman" w:hAnsi="Rockwell" w:cs="Times New Roman"/>
          <w:b/>
          <w:bCs/>
          <w:sz w:val="27"/>
          <w:szCs w:val="27"/>
        </w:rPr>
      </w:pPr>
      <w:bookmarkStart w:id="3" w:name="_Toc202997357"/>
      <w:r w:rsidRPr="00757666">
        <w:rPr>
          <w:rFonts w:ascii="Rockwell" w:eastAsia="Times New Roman" w:hAnsi="Rockwell" w:cs="Times New Roman"/>
          <w:b/>
          <w:bCs/>
          <w:sz w:val="27"/>
          <w:szCs w:val="27"/>
        </w:rPr>
        <w:t>2. Introduction</w:t>
      </w:r>
      <w:bookmarkEnd w:id="3"/>
    </w:p>
    <w:p w14:paraId="16BC7485" w14:textId="77777777" w:rsidR="00757666" w:rsidRPr="00757666" w:rsidRDefault="00757666" w:rsidP="00757666">
      <w:p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A well-functioning supply chain ensures availability of essential medicines, cost efficiency, and responsiveness. This quarterly assessment builds on past evaluations and focuses on diagnosing inefficiencies and improving continuity of critical supplies.</w:t>
      </w:r>
    </w:p>
    <w:p w14:paraId="56CECEB5"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pict w14:anchorId="2EE190C4">
          <v:rect id="_x0000_i1028" style="width:0;height:1.5pt" o:hralign="center" o:hrstd="t" o:hr="t" fillcolor="#a0a0a0" stroked="f"/>
        </w:pict>
      </w:r>
    </w:p>
    <w:p w14:paraId="56DCDF07" w14:textId="77777777" w:rsidR="00757666" w:rsidRPr="00757666" w:rsidRDefault="00757666" w:rsidP="00757666">
      <w:pPr>
        <w:spacing w:before="100" w:beforeAutospacing="1" w:after="100" w:afterAutospacing="1" w:line="240" w:lineRule="auto"/>
        <w:outlineLvl w:val="2"/>
        <w:rPr>
          <w:rFonts w:ascii="Rockwell" w:eastAsia="Times New Roman" w:hAnsi="Rockwell" w:cs="Times New Roman"/>
          <w:b/>
          <w:bCs/>
          <w:sz w:val="27"/>
          <w:szCs w:val="27"/>
        </w:rPr>
      </w:pPr>
      <w:bookmarkStart w:id="4" w:name="_Toc202997358"/>
      <w:r w:rsidRPr="00757666">
        <w:rPr>
          <w:rFonts w:ascii="Rockwell" w:eastAsia="Times New Roman" w:hAnsi="Rockwell" w:cs="Times New Roman"/>
          <w:b/>
          <w:bCs/>
          <w:sz w:val="27"/>
          <w:szCs w:val="27"/>
        </w:rPr>
        <w:t>3. Objectives of the Assessment</w:t>
      </w:r>
      <w:bookmarkEnd w:id="4"/>
    </w:p>
    <w:p w14:paraId="65DBF15D" w14:textId="77777777" w:rsidR="006B3639" w:rsidRDefault="006B3639" w:rsidP="006B3639">
      <w:pPr>
        <w:pStyle w:val="NormalWeb"/>
        <w:rPr>
          <w:rFonts w:ascii="Rockwell" w:hAnsi="Rockwell"/>
        </w:rPr>
      </w:pPr>
      <w:r>
        <w:rPr>
          <w:rFonts w:ascii="Rockwell" w:hAnsi="Rockwell"/>
        </w:rPr>
        <w:t>The assessment aimed to:</w:t>
      </w:r>
    </w:p>
    <w:p w14:paraId="41C76769" w14:textId="77777777" w:rsidR="006B3639" w:rsidRDefault="006B3639" w:rsidP="006B3639">
      <w:pPr>
        <w:pStyle w:val="NormalWeb"/>
        <w:numPr>
          <w:ilvl w:val="0"/>
          <w:numId w:val="26"/>
        </w:numPr>
        <w:rPr>
          <w:rFonts w:ascii="Rockwell" w:hAnsi="Rockwell"/>
        </w:rPr>
      </w:pPr>
      <w:r>
        <w:rPr>
          <w:rFonts w:ascii="Rockwell" w:hAnsi="Rockwell"/>
        </w:rPr>
        <w:t>Conduct a structured analysis of current supply chain performance indicators.</w:t>
      </w:r>
    </w:p>
    <w:p w14:paraId="19D6ECD5" w14:textId="77777777" w:rsidR="006B3639" w:rsidRDefault="006B3639" w:rsidP="006B3639">
      <w:pPr>
        <w:pStyle w:val="NormalWeb"/>
        <w:numPr>
          <w:ilvl w:val="0"/>
          <w:numId w:val="26"/>
        </w:numPr>
        <w:rPr>
          <w:rFonts w:ascii="Rockwell" w:hAnsi="Rockwell"/>
        </w:rPr>
      </w:pPr>
      <w:r>
        <w:rPr>
          <w:rFonts w:ascii="Rockwell" w:hAnsi="Rockwell"/>
        </w:rPr>
        <w:t>Identify specific operational gaps causing inefficiencies across the supply chain.</w:t>
      </w:r>
    </w:p>
    <w:p w14:paraId="65485801" w14:textId="77777777" w:rsidR="006B3639" w:rsidRDefault="006B3639" w:rsidP="006B3639">
      <w:pPr>
        <w:pStyle w:val="NormalWeb"/>
        <w:numPr>
          <w:ilvl w:val="0"/>
          <w:numId w:val="26"/>
        </w:numPr>
        <w:rPr>
          <w:rFonts w:ascii="Rockwell" w:hAnsi="Rockwell"/>
        </w:rPr>
      </w:pPr>
      <w:r>
        <w:rPr>
          <w:rFonts w:ascii="Rockwell" w:hAnsi="Rockwell"/>
        </w:rPr>
        <w:t>Evaluate financial impacts and risks associated with these inefficiencies.</w:t>
      </w:r>
    </w:p>
    <w:p w14:paraId="23651A26" w14:textId="77777777" w:rsidR="006B3639" w:rsidRDefault="006B3639" w:rsidP="006B3639">
      <w:pPr>
        <w:pStyle w:val="NormalWeb"/>
        <w:numPr>
          <w:ilvl w:val="0"/>
          <w:numId w:val="26"/>
        </w:numPr>
        <w:rPr>
          <w:rFonts w:ascii="Rockwell" w:hAnsi="Rockwell"/>
        </w:rPr>
      </w:pPr>
      <w:r>
        <w:rPr>
          <w:rFonts w:ascii="Rockwell" w:hAnsi="Rockwell"/>
        </w:rPr>
        <w:t>Recommend strategic, evidence-based interventions that are practical and resource-conscious.</w:t>
      </w:r>
    </w:p>
    <w:p w14:paraId="78A8D9FA" w14:textId="77777777" w:rsidR="006B3639" w:rsidRDefault="006B3639" w:rsidP="006B3639">
      <w:pPr>
        <w:pStyle w:val="NormalWeb"/>
        <w:numPr>
          <w:ilvl w:val="0"/>
          <w:numId w:val="26"/>
        </w:numPr>
        <w:rPr>
          <w:rFonts w:ascii="Rockwell" w:hAnsi="Rockwell"/>
          <w:b/>
          <w:bCs/>
        </w:rPr>
      </w:pPr>
      <w:r>
        <w:rPr>
          <w:rFonts w:ascii="Rockwell" w:hAnsi="Rockwell"/>
        </w:rPr>
        <w:t>Provide a baseline for continuous quality improvement in inventory, procurement, and logistics functions.</w:t>
      </w:r>
    </w:p>
    <w:p w14:paraId="521C057D"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pict w14:anchorId="1E7B8419">
          <v:rect id="_x0000_i1029" style="width:0;height:1.5pt" o:hralign="center" o:hrstd="t" o:hr="t" fillcolor="#a0a0a0" stroked="f"/>
        </w:pict>
      </w:r>
    </w:p>
    <w:p w14:paraId="180B7DDB" w14:textId="77777777" w:rsidR="00757666" w:rsidRPr="00757666" w:rsidRDefault="00757666" w:rsidP="00757666">
      <w:pPr>
        <w:spacing w:before="100" w:beforeAutospacing="1" w:after="100" w:afterAutospacing="1" w:line="240" w:lineRule="auto"/>
        <w:outlineLvl w:val="2"/>
        <w:rPr>
          <w:rFonts w:ascii="Rockwell" w:eastAsia="Times New Roman" w:hAnsi="Rockwell" w:cs="Times New Roman"/>
          <w:b/>
          <w:bCs/>
          <w:sz w:val="27"/>
          <w:szCs w:val="27"/>
        </w:rPr>
      </w:pPr>
      <w:bookmarkStart w:id="5" w:name="_Toc202997359"/>
      <w:r w:rsidRPr="00757666">
        <w:rPr>
          <w:rFonts w:ascii="Rockwell" w:eastAsia="Times New Roman" w:hAnsi="Rockwell" w:cs="Times New Roman"/>
          <w:b/>
          <w:bCs/>
          <w:sz w:val="27"/>
          <w:szCs w:val="27"/>
        </w:rPr>
        <w:t>4. Methodology</w:t>
      </w:r>
      <w:bookmarkEnd w:id="5"/>
    </w:p>
    <w:p w14:paraId="1154A7B6" w14:textId="77777777" w:rsidR="00144230" w:rsidRDefault="00144230" w:rsidP="00144230">
      <w:pPr>
        <w:pStyle w:val="Heading3"/>
        <w:rPr>
          <w:rFonts w:ascii="Rockwell" w:hAnsi="Rockwell"/>
          <w:b w:val="0"/>
          <w:bCs w:val="0"/>
        </w:rPr>
      </w:pPr>
      <w:bookmarkStart w:id="6" w:name="_Toc202995336"/>
      <w:bookmarkStart w:id="7" w:name="_Toc202961192"/>
      <w:bookmarkStart w:id="8" w:name="_Toc202962669"/>
      <w:bookmarkStart w:id="9" w:name="_Toc202986010"/>
      <w:bookmarkStart w:id="10" w:name="_Toc202995234"/>
      <w:bookmarkStart w:id="11" w:name="_Toc202995332"/>
      <w:bookmarkStart w:id="12" w:name="_Toc202997247"/>
      <w:bookmarkStart w:id="13" w:name="_Toc202997360"/>
      <w:r>
        <w:rPr>
          <w:rFonts w:ascii="Rockwell" w:hAnsi="Rockwell"/>
          <w:b w:val="0"/>
          <w:bCs w:val="0"/>
        </w:rPr>
        <w:t>a) Data Collection Methods</w:t>
      </w:r>
      <w:bookmarkEnd w:id="7"/>
      <w:bookmarkEnd w:id="8"/>
      <w:bookmarkEnd w:id="9"/>
      <w:bookmarkEnd w:id="10"/>
      <w:bookmarkEnd w:id="11"/>
      <w:bookmarkEnd w:id="12"/>
      <w:bookmarkEnd w:id="13"/>
    </w:p>
    <w:p w14:paraId="77B2B6B9" w14:textId="77777777" w:rsidR="00144230" w:rsidRDefault="00144230" w:rsidP="00144230">
      <w:pPr>
        <w:pStyle w:val="NormalWeb"/>
        <w:numPr>
          <w:ilvl w:val="0"/>
          <w:numId w:val="27"/>
        </w:numPr>
        <w:rPr>
          <w:rFonts w:ascii="Rockwell" w:hAnsi="Rockwell"/>
        </w:rPr>
      </w:pPr>
      <w:r>
        <w:rPr>
          <w:rStyle w:val="Strong"/>
          <w:rFonts w:ascii="Rockwell" w:hAnsi="Rockwell"/>
        </w:rPr>
        <w:t>Document Review:</w:t>
      </w:r>
      <w:r>
        <w:rPr>
          <w:rFonts w:ascii="Rockwell" w:hAnsi="Rockwell"/>
        </w:rPr>
        <w:t xml:space="preserve"> Examined monthly consumption reports, Quarterly Inventory, procurement records, supplier delivery logs, and Bin Card </w:t>
      </w:r>
      <w:proofErr w:type="gramStart"/>
      <w:r>
        <w:rPr>
          <w:rFonts w:ascii="Rockwell" w:hAnsi="Rockwell"/>
        </w:rPr>
        <w:t>and  stock</w:t>
      </w:r>
      <w:proofErr w:type="gramEnd"/>
      <w:r>
        <w:rPr>
          <w:rFonts w:ascii="Rockwell" w:hAnsi="Rockwell"/>
        </w:rPr>
        <w:t xml:space="preserve"> cards to assess historical performance.</w:t>
      </w:r>
    </w:p>
    <w:p w14:paraId="1E18CD99" w14:textId="77777777" w:rsidR="00144230" w:rsidRDefault="00144230" w:rsidP="00144230">
      <w:pPr>
        <w:pStyle w:val="NormalWeb"/>
        <w:numPr>
          <w:ilvl w:val="0"/>
          <w:numId w:val="27"/>
        </w:numPr>
        <w:rPr>
          <w:rFonts w:ascii="Rockwell" w:hAnsi="Rockwell"/>
        </w:rPr>
      </w:pPr>
      <w:r>
        <w:rPr>
          <w:rStyle w:val="Strong"/>
          <w:rFonts w:ascii="Rockwell" w:hAnsi="Rockwell"/>
        </w:rPr>
        <w:lastRenderedPageBreak/>
        <w:t>Direct Observation:</w:t>
      </w:r>
      <w:r>
        <w:rPr>
          <w:rFonts w:ascii="Rockwell" w:hAnsi="Rockwell"/>
        </w:rPr>
        <w:t xml:space="preserve"> Inspected pharmacy storage rooms, inventory shelves, and distribution workflows on-site.</w:t>
      </w:r>
    </w:p>
    <w:p w14:paraId="389419C2" w14:textId="77777777" w:rsidR="00144230" w:rsidRDefault="00144230" w:rsidP="00144230">
      <w:pPr>
        <w:pStyle w:val="NormalWeb"/>
        <w:numPr>
          <w:ilvl w:val="0"/>
          <w:numId w:val="27"/>
        </w:numPr>
        <w:rPr>
          <w:rFonts w:ascii="Rockwell" w:hAnsi="Rockwell"/>
        </w:rPr>
      </w:pPr>
      <w:r>
        <w:rPr>
          <w:rStyle w:val="Strong"/>
          <w:rFonts w:ascii="Rockwell" w:hAnsi="Rockwell"/>
        </w:rPr>
        <w:t>Key Informant Interviews:</w:t>
      </w:r>
      <w:r>
        <w:rPr>
          <w:rFonts w:ascii="Rockwell" w:hAnsi="Rockwell"/>
        </w:rPr>
        <w:t xml:space="preserve"> Conducted interviews with pharmacy heads, procurement officers, and department heads.</w:t>
      </w:r>
    </w:p>
    <w:p w14:paraId="24AD03A4" w14:textId="77777777" w:rsidR="00144230" w:rsidRDefault="00144230" w:rsidP="00144230">
      <w:pPr>
        <w:pStyle w:val="NormalWeb"/>
        <w:numPr>
          <w:ilvl w:val="0"/>
          <w:numId w:val="27"/>
        </w:numPr>
        <w:rPr>
          <w:rFonts w:ascii="Rockwell" w:hAnsi="Rockwell"/>
          <w:b/>
          <w:bCs/>
        </w:rPr>
      </w:pPr>
      <w:r>
        <w:rPr>
          <w:rStyle w:val="Strong"/>
          <w:rFonts w:ascii="Rockwell" w:hAnsi="Rockwell"/>
        </w:rPr>
        <w:t>Checklist-based Assessment:</w:t>
      </w:r>
      <w:r>
        <w:rPr>
          <w:rFonts w:ascii="Rockwell" w:hAnsi="Rockwell"/>
        </w:rPr>
        <w:t xml:space="preserve"> Utilized a customized supply chain performance checklist for standardized evaluation</w:t>
      </w:r>
      <w:r>
        <w:rPr>
          <w:rFonts w:ascii="Rockwell" w:hAnsi="Rockwell"/>
          <w:b/>
          <w:bCs/>
        </w:rPr>
        <w:t>.</w:t>
      </w:r>
    </w:p>
    <w:p w14:paraId="1C716E17" w14:textId="77777777" w:rsidR="00144230" w:rsidRDefault="00144230" w:rsidP="00144230">
      <w:pPr>
        <w:pStyle w:val="Heading3"/>
        <w:rPr>
          <w:rFonts w:ascii="Rockwell" w:hAnsi="Rockwell"/>
        </w:rPr>
      </w:pPr>
      <w:bookmarkStart w:id="14" w:name="_Toc202961193"/>
      <w:bookmarkStart w:id="15" w:name="_Toc202962670"/>
      <w:bookmarkStart w:id="16" w:name="_Toc202986011"/>
      <w:bookmarkStart w:id="17" w:name="_Toc202995235"/>
      <w:bookmarkStart w:id="18" w:name="_Toc202995333"/>
      <w:bookmarkStart w:id="19" w:name="_Toc202997248"/>
      <w:bookmarkStart w:id="20" w:name="_Toc202997361"/>
      <w:r>
        <w:rPr>
          <w:rFonts w:ascii="Rockwell" w:hAnsi="Rockwell"/>
        </w:rPr>
        <w:t>b) Assessment Scope</w:t>
      </w:r>
      <w:bookmarkEnd w:id="14"/>
      <w:bookmarkEnd w:id="15"/>
      <w:bookmarkEnd w:id="16"/>
      <w:bookmarkEnd w:id="17"/>
      <w:bookmarkEnd w:id="18"/>
      <w:bookmarkEnd w:id="19"/>
      <w:bookmarkEnd w:id="20"/>
    </w:p>
    <w:p w14:paraId="46993515" w14:textId="77777777" w:rsidR="00144230" w:rsidRDefault="00144230" w:rsidP="00144230">
      <w:pPr>
        <w:pStyle w:val="NormalWeb"/>
        <w:numPr>
          <w:ilvl w:val="0"/>
          <w:numId w:val="28"/>
        </w:numPr>
        <w:rPr>
          <w:rFonts w:ascii="Rockwell" w:hAnsi="Rockwell"/>
        </w:rPr>
      </w:pPr>
      <w:r>
        <w:rPr>
          <w:rFonts w:ascii="Rockwell" w:hAnsi="Rockwell"/>
        </w:rPr>
        <w:t>Covered Quarter 3, 2015EC (3-month period).</w:t>
      </w:r>
    </w:p>
    <w:p w14:paraId="7E964077" w14:textId="77777777" w:rsidR="00144230" w:rsidRDefault="00144230" w:rsidP="00144230">
      <w:pPr>
        <w:pStyle w:val="NormalWeb"/>
        <w:numPr>
          <w:ilvl w:val="0"/>
          <w:numId w:val="28"/>
        </w:numPr>
        <w:rPr>
          <w:rFonts w:ascii="Rockwell" w:hAnsi="Rockwell"/>
          <w:b/>
          <w:bCs/>
        </w:rPr>
      </w:pPr>
      <w:r>
        <w:rPr>
          <w:rFonts w:ascii="Rockwell" w:hAnsi="Rockwell"/>
        </w:rPr>
        <w:t>Included all stages of the supply chain: planning, procurement, storage, inventory management, distribution, and monitoring</w:t>
      </w:r>
      <w:r>
        <w:rPr>
          <w:rFonts w:ascii="Rockwell" w:hAnsi="Rockwell"/>
          <w:b/>
          <w:bCs/>
        </w:rPr>
        <w:t>.</w:t>
      </w:r>
    </w:p>
    <w:p w14:paraId="65340D43" w14:textId="77777777" w:rsidR="00144230" w:rsidRDefault="00144230" w:rsidP="00144230">
      <w:pPr>
        <w:pStyle w:val="Heading3"/>
        <w:rPr>
          <w:rFonts w:ascii="Rockwell" w:hAnsi="Rockwell"/>
        </w:rPr>
      </w:pPr>
      <w:bookmarkStart w:id="21" w:name="_Toc202961194"/>
      <w:bookmarkStart w:id="22" w:name="_Toc202962671"/>
      <w:bookmarkStart w:id="23" w:name="_Toc202986012"/>
      <w:bookmarkStart w:id="24" w:name="_Toc202995236"/>
      <w:bookmarkStart w:id="25" w:name="_Toc202995334"/>
      <w:bookmarkStart w:id="26" w:name="_Toc202997249"/>
      <w:bookmarkStart w:id="27" w:name="_Toc202997362"/>
      <w:r>
        <w:rPr>
          <w:rFonts w:ascii="Rockwell" w:hAnsi="Rockwell"/>
        </w:rPr>
        <w:t>c) Analysis Techniques</w:t>
      </w:r>
      <w:bookmarkEnd w:id="21"/>
      <w:bookmarkEnd w:id="22"/>
      <w:bookmarkEnd w:id="23"/>
      <w:bookmarkEnd w:id="24"/>
      <w:bookmarkEnd w:id="25"/>
      <w:bookmarkEnd w:id="26"/>
      <w:bookmarkEnd w:id="27"/>
    </w:p>
    <w:p w14:paraId="18EDC33F" w14:textId="77777777" w:rsidR="00144230" w:rsidRDefault="00144230" w:rsidP="00144230">
      <w:pPr>
        <w:pStyle w:val="NormalWeb"/>
        <w:numPr>
          <w:ilvl w:val="0"/>
          <w:numId w:val="29"/>
        </w:numPr>
        <w:rPr>
          <w:rFonts w:ascii="Rockwell" w:hAnsi="Rockwell"/>
        </w:rPr>
      </w:pPr>
      <w:r>
        <w:rPr>
          <w:rFonts w:ascii="Rockwell" w:hAnsi="Rockwell"/>
        </w:rPr>
        <w:t>Numerical scoring and ranking of inefficiency areas based on cost and operational impact.</w:t>
      </w:r>
    </w:p>
    <w:p w14:paraId="7467FDAF" w14:textId="77777777" w:rsidR="00144230" w:rsidRDefault="00144230" w:rsidP="00144230">
      <w:pPr>
        <w:pStyle w:val="NormalWeb"/>
        <w:numPr>
          <w:ilvl w:val="0"/>
          <w:numId w:val="29"/>
        </w:numPr>
        <w:rPr>
          <w:rFonts w:ascii="Rockwell" w:hAnsi="Rockwell"/>
        </w:rPr>
      </w:pPr>
      <w:r>
        <w:rPr>
          <w:rFonts w:ascii="Rockwell" w:hAnsi="Rockwell"/>
        </w:rPr>
        <w:t>Root cause analysis internally.</w:t>
      </w:r>
    </w:p>
    <w:p w14:paraId="547C0C72" w14:textId="77777777" w:rsidR="00144230" w:rsidRDefault="00144230" w:rsidP="00144230">
      <w:pPr>
        <w:pStyle w:val="NormalWeb"/>
        <w:numPr>
          <w:ilvl w:val="0"/>
          <w:numId w:val="29"/>
        </w:numPr>
        <w:rPr>
          <w:rFonts w:ascii="Rockwell" w:hAnsi="Rockwell"/>
        </w:rPr>
      </w:pPr>
      <w:r>
        <w:rPr>
          <w:rFonts w:ascii="Rockwell" w:hAnsi="Rockwell"/>
        </w:rPr>
        <w:t>Application of cost formulas to quantify inefficiencies and adjust weight percentages.</w:t>
      </w:r>
    </w:p>
    <w:p w14:paraId="2FC557A7" w14:textId="77777777" w:rsidR="00D332C6" w:rsidRDefault="00D332C6" w:rsidP="00D332C6">
      <w:pPr>
        <w:spacing w:after="100" w:afterAutospacing="1" w:line="240" w:lineRule="auto"/>
        <w:outlineLvl w:val="1"/>
        <w:rPr>
          <w:rFonts w:ascii="Rockwell" w:eastAsia="Times New Roman" w:hAnsi="Rockwell" w:cs="Times New Roman"/>
          <w:b/>
          <w:bCs/>
          <w:sz w:val="36"/>
          <w:szCs w:val="36"/>
        </w:rPr>
      </w:pPr>
      <w:bookmarkStart w:id="28" w:name="_Toc202997363"/>
      <w:r>
        <w:rPr>
          <w:rFonts w:ascii="Rockwell" w:eastAsia="Times New Roman" w:hAnsi="Rockwell" w:cs="Times New Roman"/>
          <w:b/>
          <w:bCs/>
          <w:sz w:val="36"/>
          <w:szCs w:val="36"/>
        </w:rPr>
        <w:t>5. Cost Calculation Formulas</w:t>
      </w:r>
      <w:bookmarkEnd w:id="6"/>
      <w:bookmarkEnd w:id="28"/>
    </w:p>
    <w:p w14:paraId="40C070B8" w14:textId="77777777" w:rsidR="00D332C6" w:rsidRDefault="00D332C6" w:rsidP="00D332C6">
      <w:p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 xml:space="preserve"> Stockouts Cost</w:t>
      </w:r>
      <w:r>
        <w:rPr>
          <w:rFonts w:ascii="Rockwell" w:eastAsia="Times New Roman" w:hAnsi="Rockwell" w:cs="Times New Roman"/>
          <w:sz w:val="24"/>
          <w:szCs w:val="24"/>
        </w:rPr>
        <w:br/>
      </w:r>
      <w:r>
        <w:rPr>
          <w:rFonts w:ascii="Rockwell" w:eastAsia="Times New Roman" w:hAnsi="Rockwell" w:cs="Courier New"/>
          <w:sz w:val="20"/>
          <w:szCs w:val="20"/>
        </w:rPr>
        <w:t>Stockouts Cost = Number of Stockouts × Average Cost per Stockout</w:t>
      </w:r>
    </w:p>
    <w:p w14:paraId="31B10E86" w14:textId="77777777" w:rsidR="00D332C6" w:rsidRDefault="00D332C6" w:rsidP="00D332C6">
      <w:pPr>
        <w:numPr>
          <w:ilvl w:val="0"/>
          <w:numId w:val="8"/>
        </w:num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Number of Stockouts</w:t>
      </w:r>
      <w:r>
        <w:rPr>
          <w:rFonts w:ascii="Rockwell" w:eastAsia="Times New Roman" w:hAnsi="Rockwell" w:cs="Times New Roman"/>
          <w:sz w:val="24"/>
          <w:szCs w:val="24"/>
        </w:rPr>
        <w:t>: Total instances where essential supplies were unavailable.</w:t>
      </w:r>
    </w:p>
    <w:p w14:paraId="7086EFB0" w14:textId="77777777" w:rsidR="00D332C6" w:rsidRDefault="00D332C6" w:rsidP="00D332C6">
      <w:pPr>
        <w:numPr>
          <w:ilvl w:val="0"/>
          <w:numId w:val="8"/>
        </w:num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Average Cost per Stockout</w:t>
      </w:r>
      <w:r>
        <w:rPr>
          <w:rFonts w:ascii="Rockwell" w:eastAsia="Times New Roman" w:hAnsi="Rockwell" w:cs="Times New Roman"/>
          <w:sz w:val="24"/>
          <w:szCs w:val="24"/>
        </w:rPr>
        <w:t>: Estimated cost from lost revenue, emergency procurement, or alternate arrangements.</w:t>
      </w:r>
    </w:p>
    <w:p w14:paraId="03A617F2" w14:textId="77777777" w:rsidR="00D332C6" w:rsidRDefault="00D332C6" w:rsidP="00D332C6">
      <w:pPr>
        <w:spacing w:after="0" w:line="240" w:lineRule="auto"/>
        <w:jc w:val="center"/>
        <w:rPr>
          <w:rFonts w:ascii="Rockwell" w:eastAsia="Times New Roman" w:hAnsi="Rockwell" w:cs="Times New Roman"/>
          <w:sz w:val="24"/>
          <w:szCs w:val="24"/>
        </w:rPr>
      </w:pPr>
      <w:r>
        <w:rPr>
          <w:rFonts w:ascii="Rockwell" w:eastAsia="Times New Roman" w:hAnsi="Rockwell" w:cs="Times New Roman"/>
          <w:sz w:val="24"/>
          <w:szCs w:val="24"/>
        </w:rPr>
        <w:pict w14:anchorId="4E410764">
          <v:rect id="_x0000_i1081" style="width:468pt;height:1.5pt" o:hralign="center" o:hrstd="t" o:hr="t" fillcolor="#a0a0a0" stroked="f"/>
        </w:pict>
      </w:r>
    </w:p>
    <w:p w14:paraId="15F14CB3" w14:textId="77777777" w:rsidR="00D332C6" w:rsidRDefault="00D332C6" w:rsidP="00D332C6">
      <w:p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 xml:space="preserve"> Excess Inventory Cost</w:t>
      </w:r>
      <w:r>
        <w:rPr>
          <w:rFonts w:ascii="Rockwell" w:eastAsia="Times New Roman" w:hAnsi="Rockwell" w:cs="Times New Roman"/>
          <w:sz w:val="24"/>
          <w:szCs w:val="24"/>
        </w:rPr>
        <w:br/>
      </w:r>
      <w:r>
        <w:rPr>
          <w:rFonts w:ascii="Rockwell" w:eastAsia="Times New Roman" w:hAnsi="Rockwell" w:cs="Courier New"/>
          <w:sz w:val="20"/>
          <w:szCs w:val="20"/>
        </w:rPr>
        <w:t>Excess Inventory Cost = Excess Inventory Level × Carrying Cost per Unit</w:t>
      </w:r>
    </w:p>
    <w:p w14:paraId="651821D4" w14:textId="77777777" w:rsidR="00D332C6" w:rsidRDefault="00D332C6" w:rsidP="00D332C6">
      <w:pPr>
        <w:numPr>
          <w:ilvl w:val="0"/>
          <w:numId w:val="9"/>
        </w:num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Excess Inventory Level</w:t>
      </w:r>
      <w:r>
        <w:rPr>
          <w:rFonts w:ascii="Rockwell" w:eastAsia="Times New Roman" w:hAnsi="Rockwell" w:cs="Times New Roman"/>
          <w:sz w:val="24"/>
          <w:szCs w:val="24"/>
        </w:rPr>
        <w:t>: Inventory above optimal or required levels.</w:t>
      </w:r>
    </w:p>
    <w:p w14:paraId="69D6A1B2" w14:textId="77777777" w:rsidR="00D332C6" w:rsidRDefault="00D332C6" w:rsidP="00D332C6">
      <w:pPr>
        <w:numPr>
          <w:ilvl w:val="0"/>
          <w:numId w:val="9"/>
        </w:num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Carrying Cost per Unit</w:t>
      </w:r>
      <w:r>
        <w:rPr>
          <w:rFonts w:ascii="Rockwell" w:eastAsia="Times New Roman" w:hAnsi="Rockwell" w:cs="Times New Roman"/>
          <w:sz w:val="24"/>
          <w:szCs w:val="24"/>
        </w:rPr>
        <w:t>: Cost of storage, depreciation, insurance, and wastage per unit</w:t>
      </w:r>
    </w:p>
    <w:p w14:paraId="6A062824" w14:textId="77777777" w:rsidR="00D332C6" w:rsidRDefault="00D332C6" w:rsidP="00D332C6">
      <w:pPr>
        <w:numPr>
          <w:ilvl w:val="0"/>
          <w:numId w:val="9"/>
        </w:num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Supplier Communication Cost</w:t>
      </w:r>
      <w:r>
        <w:rPr>
          <w:rFonts w:ascii="Rockwell" w:eastAsia="Times New Roman" w:hAnsi="Rockwell" w:cs="Times New Roman"/>
          <w:sz w:val="24"/>
          <w:szCs w:val="24"/>
        </w:rPr>
        <w:br/>
      </w:r>
      <w:r>
        <w:rPr>
          <w:rFonts w:ascii="Rockwell" w:eastAsia="Times New Roman" w:hAnsi="Rockwell" w:cs="Courier New"/>
          <w:sz w:val="20"/>
          <w:szCs w:val="20"/>
        </w:rPr>
        <w:t>Supplier Communication Cost = Number of Communication Errors × Cost per Error</w:t>
      </w:r>
    </w:p>
    <w:p w14:paraId="093EDE4C" w14:textId="77777777" w:rsidR="00D332C6" w:rsidRDefault="00D332C6" w:rsidP="00D332C6">
      <w:pPr>
        <w:numPr>
          <w:ilvl w:val="0"/>
          <w:numId w:val="9"/>
        </w:num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Number of Communication Errors</w:t>
      </w:r>
      <w:r>
        <w:rPr>
          <w:rFonts w:ascii="Rockwell" w:eastAsia="Times New Roman" w:hAnsi="Rockwell" w:cs="Times New Roman"/>
          <w:sz w:val="24"/>
          <w:szCs w:val="24"/>
        </w:rPr>
        <w:t>: Miscommunications with suppliers.</w:t>
      </w:r>
    </w:p>
    <w:p w14:paraId="4BE2CEB1" w14:textId="77777777" w:rsidR="00D332C6" w:rsidRDefault="00D332C6" w:rsidP="00D332C6">
      <w:pPr>
        <w:numPr>
          <w:ilvl w:val="0"/>
          <w:numId w:val="10"/>
        </w:num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Cost per Error</w:t>
      </w:r>
      <w:r>
        <w:rPr>
          <w:rFonts w:ascii="Rockwell" w:eastAsia="Times New Roman" w:hAnsi="Rockwell" w:cs="Times New Roman"/>
          <w:sz w:val="24"/>
          <w:szCs w:val="24"/>
        </w:rPr>
        <w:t>: Financial impact of delays, re-orders, or incorrect shipments.</w:t>
      </w:r>
    </w:p>
    <w:p w14:paraId="57204845" w14:textId="77777777" w:rsidR="00D332C6" w:rsidRDefault="00D332C6" w:rsidP="00D332C6">
      <w:p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lastRenderedPageBreak/>
        <w:t>Performance Monitoring Cost</w:t>
      </w:r>
      <w:r>
        <w:rPr>
          <w:rFonts w:ascii="Rockwell" w:eastAsia="Times New Roman" w:hAnsi="Rockwell" w:cs="Times New Roman"/>
          <w:sz w:val="24"/>
          <w:szCs w:val="24"/>
        </w:rPr>
        <w:br/>
      </w:r>
      <w:r>
        <w:rPr>
          <w:rFonts w:ascii="Rockwell" w:eastAsia="Times New Roman" w:hAnsi="Rockwell" w:cs="Courier New"/>
          <w:sz w:val="20"/>
          <w:szCs w:val="20"/>
        </w:rPr>
        <w:t>Performance Monitoring Cost = Number of Performance Assessments × Cost per Assessment</w:t>
      </w:r>
    </w:p>
    <w:p w14:paraId="0C817575" w14:textId="77777777" w:rsidR="00D332C6" w:rsidRDefault="00D332C6" w:rsidP="00D332C6">
      <w:pPr>
        <w:numPr>
          <w:ilvl w:val="0"/>
          <w:numId w:val="11"/>
        </w:num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Number of Performance Assessments</w:t>
      </w:r>
      <w:r>
        <w:rPr>
          <w:rFonts w:ascii="Rockwell" w:eastAsia="Times New Roman" w:hAnsi="Rockwell" w:cs="Times New Roman"/>
          <w:sz w:val="24"/>
          <w:szCs w:val="24"/>
        </w:rPr>
        <w:t>: Reviews or audits conducted.</w:t>
      </w:r>
    </w:p>
    <w:p w14:paraId="5D83BCAE" w14:textId="77777777" w:rsidR="00D332C6" w:rsidRDefault="00D332C6" w:rsidP="00D332C6">
      <w:pPr>
        <w:numPr>
          <w:ilvl w:val="0"/>
          <w:numId w:val="11"/>
        </w:num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Cost per Assessment</w:t>
      </w:r>
      <w:r>
        <w:rPr>
          <w:rFonts w:ascii="Rockwell" w:eastAsia="Times New Roman" w:hAnsi="Rockwell" w:cs="Times New Roman"/>
          <w:sz w:val="24"/>
          <w:szCs w:val="24"/>
        </w:rPr>
        <w:t>: Resources (time, labor, documentation) used per review.</w:t>
      </w:r>
    </w:p>
    <w:p w14:paraId="21EA3B60" w14:textId="77777777" w:rsidR="00D332C6" w:rsidRDefault="00D332C6" w:rsidP="00D332C6">
      <w:p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 xml:space="preserve"> Transportation Cost</w:t>
      </w:r>
      <w:r>
        <w:rPr>
          <w:rFonts w:ascii="Rockwell" w:eastAsia="Times New Roman" w:hAnsi="Rockwell" w:cs="Times New Roman"/>
          <w:sz w:val="24"/>
          <w:szCs w:val="24"/>
        </w:rPr>
        <w:br/>
      </w:r>
      <w:r>
        <w:rPr>
          <w:rFonts w:ascii="Rockwell" w:eastAsia="Times New Roman" w:hAnsi="Rockwell" w:cs="Courier New"/>
          <w:sz w:val="20"/>
          <w:szCs w:val="20"/>
        </w:rPr>
        <w:t>Transportation Cost = Number of Shipments × Average Cost per Shipment</w:t>
      </w:r>
    </w:p>
    <w:p w14:paraId="31F49563" w14:textId="77777777" w:rsidR="00D332C6" w:rsidRDefault="00D332C6" w:rsidP="00D332C6">
      <w:pPr>
        <w:numPr>
          <w:ilvl w:val="0"/>
          <w:numId w:val="12"/>
        </w:num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Number of Shipments</w:t>
      </w:r>
      <w:r>
        <w:rPr>
          <w:rFonts w:ascii="Rockwell" w:eastAsia="Times New Roman" w:hAnsi="Rockwell" w:cs="Times New Roman"/>
          <w:sz w:val="24"/>
          <w:szCs w:val="24"/>
        </w:rPr>
        <w:t>: All supply deliveries made.</w:t>
      </w:r>
    </w:p>
    <w:p w14:paraId="0F13C3B2" w14:textId="77777777" w:rsidR="00D332C6" w:rsidRDefault="00D332C6" w:rsidP="00D332C6">
      <w:pPr>
        <w:numPr>
          <w:ilvl w:val="0"/>
          <w:numId w:val="12"/>
        </w:num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Average Cost per Shipment</w:t>
      </w:r>
      <w:r>
        <w:rPr>
          <w:rFonts w:ascii="Rockwell" w:eastAsia="Times New Roman" w:hAnsi="Rockwell" w:cs="Times New Roman"/>
          <w:sz w:val="24"/>
          <w:szCs w:val="24"/>
        </w:rPr>
        <w:t>: Includes vehicle cost, fuel, labor, and logistics.</w:t>
      </w:r>
    </w:p>
    <w:p w14:paraId="04473725" w14:textId="77777777" w:rsidR="00D332C6" w:rsidRDefault="00D332C6" w:rsidP="00D332C6">
      <w:p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 xml:space="preserve"> Poor Inventory Tracking Cost</w:t>
      </w:r>
      <w:r>
        <w:rPr>
          <w:rFonts w:ascii="Rockwell" w:eastAsia="Times New Roman" w:hAnsi="Rockwell" w:cs="Times New Roman"/>
          <w:sz w:val="24"/>
          <w:szCs w:val="24"/>
        </w:rPr>
        <w:br/>
      </w:r>
      <w:r>
        <w:rPr>
          <w:rFonts w:ascii="Rockwell" w:eastAsia="Times New Roman" w:hAnsi="Rockwell" w:cs="Courier New"/>
          <w:sz w:val="20"/>
          <w:szCs w:val="20"/>
        </w:rPr>
        <w:t>Poor Inventory Tracking Cost = Number of Inventory Discrepancies × Cost per Discrepancy</w:t>
      </w:r>
    </w:p>
    <w:p w14:paraId="3B1B31C0" w14:textId="77777777" w:rsidR="00D332C6" w:rsidRDefault="00D332C6" w:rsidP="00D332C6">
      <w:pPr>
        <w:numPr>
          <w:ilvl w:val="0"/>
          <w:numId w:val="13"/>
        </w:num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Number of Inventory Discrepancies</w:t>
      </w:r>
      <w:r>
        <w:rPr>
          <w:rFonts w:ascii="Rockwell" w:eastAsia="Times New Roman" w:hAnsi="Rockwell" w:cs="Times New Roman"/>
          <w:sz w:val="24"/>
          <w:szCs w:val="24"/>
        </w:rPr>
        <w:t>: Mismatches between records and physical stock.</w:t>
      </w:r>
    </w:p>
    <w:p w14:paraId="1D506C24" w14:textId="77777777" w:rsidR="00D332C6" w:rsidRDefault="00D332C6" w:rsidP="00D332C6">
      <w:pPr>
        <w:numPr>
          <w:ilvl w:val="0"/>
          <w:numId w:val="13"/>
        </w:num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Cost per Discrepancy</w:t>
      </w:r>
      <w:r>
        <w:rPr>
          <w:rFonts w:ascii="Rockwell" w:eastAsia="Times New Roman" w:hAnsi="Rockwell" w:cs="Times New Roman"/>
          <w:sz w:val="24"/>
          <w:szCs w:val="24"/>
        </w:rPr>
        <w:t>: Includes correction cost, reordering, and delays.</w:t>
      </w:r>
    </w:p>
    <w:p w14:paraId="31516F4E" w14:textId="77777777" w:rsidR="00D332C6" w:rsidRDefault="00D332C6" w:rsidP="00D332C6">
      <w:p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Total Supply Chain Costs</w:t>
      </w:r>
      <w:r>
        <w:rPr>
          <w:rFonts w:ascii="Rockwell" w:eastAsia="Times New Roman" w:hAnsi="Rockwell" w:cs="Times New Roman"/>
          <w:sz w:val="24"/>
          <w:szCs w:val="24"/>
        </w:rPr>
        <w:br/>
      </w:r>
      <w:r>
        <w:rPr>
          <w:rFonts w:ascii="Rockwell" w:eastAsia="Times New Roman" w:hAnsi="Rockwell" w:cs="Courier New"/>
          <w:sz w:val="20"/>
          <w:szCs w:val="20"/>
        </w:rPr>
        <w:t>Total Supply Chain Costs = Stockouts Cost + Excess Inventory Cost + Supplier Communication Cost + Performance Monitoring Cost + Transportation Cost + Poor Inventory Tracking Cost</w:t>
      </w:r>
    </w:p>
    <w:p w14:paraId="1C27CF17" w14:textId="77777777" w:rsidR="00D332C6" w:rsidRDefault="00D332C6" w:rsidP="00D332C6">
      <w:p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 xml:space="preserve"> Procurement Inefficiency (%)</w:t>
      </w:r>
      <w:r>
        <w:rPr>
          <w:rFonts w:ascii="Rockwell" w:eastAsia="Times New Roman" w:hAnsi="Rockwell" w:cs="Times New Roman"/>
          <w:sz w:val="24"/>
          <w:szCs w:val="24"/>
        </w:rPr>
        <w:br/>
      </w:r>
      <w:r>
        <w:rPr>
          <w:rFonts w:ascii="Rockwell" w:eastAsia="Times New Roman" w:hAnsi="Rockwell" w:cs="Courier New"/>
          <w:sz w:val="20"/>
          <w:szCs w:val="20"/>
        </w:rPr>
        <w:t>= ((Actual Procurement Cost - Benchmark Cost) / Benchmark Cost) × 100</w:t>
      </w:r>
    </w:p>
    <w:p w14:paraId="3E407155" w14:textId="77777777" w:rsidR="00D332C6" w:rsidRDefault="00D332C6" w:rsidP="00D332C6">
      <w:pPr>
        <w:numPr>
          <w:ilvl w:val="0"/>
          <w:numId w:val="14"/>
        </w:numPr>
        <w:spacing w:after="100" w:afterAutospacing="1" w:line="240" w:lineRule="auto"/>
        <w:rPr>
          <w:rFonts w:ascii="Rockwell" w:eastAsia="Times New Roman" w:hAnsi="Rockwell" w:cs="Times New Roman"/>
          <w:sz w:val="24"/>
          <w:szCs w:val="24"/>
        </w:rPr>
      </w:pPr>
      <w:r>
        <w:rPr>
          <w:rFonts w:ascii="Rockwell" w:eastAsia="Times New Roman" w:hAnsi="Rockwell" w:cs="Times New Roman"/>
          <w:sz w:val="24"/>
          <w:szCs w:val="24"/>
        </w:rPr>
        <w:t>Compares actual cost to standard/optimal cost.</w:t>
      </w:r>
    </w:p>
    <w:p w14:paraId="4948AAC3" w14:textId="77777777" w:rsidR="00D332C6" w:rsidRDefault="00D332C6" w:rsidP="00D332C6">
      <w:p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 xml:space="preserve"> Inventory Management Inefficiency (%)</w:t>
      </w:r>
      <w:r>
        <w:rPr>
          <w:rFonts w:ascii="Rockwell" w:eastAsia="Times New Roman" w:hAnsi="Rockwell" w:cs="Times New Roman"/>
          <w:sz w:val="24"/>
          <w:szCs w:val="24"/>
        </w:rPr>
        <w:br/>
      </w:r>
      <w:r>
        <w:rPr>
          <w:rFonts w:ascii="Rockwell" w:eastAsia="Times New Roman" w:hAnsi="Rockwell" w:cs="Courier New"/>
          <w:sz w:val="20"/>
          <w:szCs w:val="20"/>
        </w:rPr>
        <w:t>= ((Stockouts + Overstocks) / Total Inventory Transactions) × 100</w:t>
      </w:r>
    </w:p>
    <w:p w14:paraId="03CBCF5D" w14:textId="77777777" w:rsidR="00D332C6" w:rsidRDefault="00D332C6" w:rsidP="00D332C6">
      <w:pPr>
        <w:numPr>
          <w:ilvl w:val="0"/>
          <w:numId w:val="15"/>
        </w:numPr>
        <w:spacing w:after="100" w:afterAutospacing="1" w:line="240" w:lineRule="auto"/>
        <w:rPr>
          <w:rFonts w:ascii="Rockwell" w:eastAsia="Times New Roman" w:hAnsi="Rockwell" w:cs="Times New Roman"/>
          <w:sz w:val="24"/>
          <w:szCs w:val="24"/>
        </w:rPr>
      </w:pPr>
      <w:r>
        <w:rPr>
          <w:rFonts w:ascii="Rockwell" w:eastAsia="Times New Roman" w:hAnsi="Rockwell" w:cs="Times New Roman"/>
          <w:sz w:val="24"/>
          <w:szCs w:val="24"/>
        </w:rPr>
        <w:t>Measures how often supply is either unavailable or overstocked.</w:t>
      </w:r>
    </w:p>
    <w:p w14:paraId="3CDED211" w14:textId="77777777" w:rsidR="00D332C6" w:rsidRDefault="00D332C6" w:rsidP="00D332C6">
      <w:p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 xml:space="preserve"> Storage Inefficiency (%)</w:t>
      </w:r>
      <w:r>
        <w:rPr>
          <w:rFonts w:ascii="Rockwell" w:eastAsia="Times New Roman" w:hAnsi="Rockwell" w:cs="Times New Roman"/>
          <w:sz w:val="24"/>
          <w:szCs w:val="24"/>
        </w:rPr>
        <w:br/>
      </w:r>
      <w:r>
        <w:rPr>
          <w:rFonts w:ascii="Rockwell" w:eastAsia="Times New Roman" w:hAnsi="Rockwell" w:cs="Courier New"/>
          <w:sz w:val="20"/>
          <w:szCs w:val="20"/>
        </w:rPr>
        <w:t>= (Damaged or Expired Stock / Total Stock) × 100</w:t>
      </w:r>
    </w:p>
    <w:p w14:paraId="4B2DA141" w14:textId="77777777" w:rsidR="00D332C6" w:rsidRDefault="00D332C6" w:rsidP="00D332C6">
      <w:pPr>
        <w:numPr>
          <w:ilvl w:val="0"/>
          <w:numId w:val="16"/>
        </w:numPr>
        <w:spacing w:after="100" w:afterAutospacing="1" w:line="240" w:lineRule="auto"/>
        <w:rPr>
          <w:rFonts w:ascii="Rockwell" w:eastAsia="Times New Roman" w:hAnsi="Rockwell" w:cs="Times New Roman"/>
          <w:sz w:val="24"/>
          <w:szCs w:val="24"/>
        </w:rPr>
      </w:pPr>
      <w:r>
        <w:rPr>
          <w:rFonts w:ascii="Rockwell" w:eastAsia="Times New Roman" w:hAnsi="Rockwell" w:cs="Times New Roman"/>
          <w:sz w:val="24"/>
          <w:szCs w:val="24"/>
        </w:rPr>
        <w:t>Captures the percentage of unusable items due to poor storage.</w:t>
      </w:r>
    </w:p>
    <w:p w14:paraId="3090149A" w14:textId="77777777" w:rsidR="00D332C6" w:rsidRDefault="00D332C6" w:rsidP="00D332C6">
      <w:p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 xml:space="preserve"> Demand Forecasting Inefficiency (%)</w:t>
      </w:r>
      <w:r>
        <w:rPr>
          <w:rFonts w:ascii="Rockwell" w:eastAsia="Times New Roman" w:hAnsi="Rockwell" w:cs="Times New Roman"/>
          <w:sz w:val="24"/>
          <w:szCs w:val="24"/>
        </w:rPr>
        <w:br/>
      </w:r>
      <w:r>
        <w:rPr>
          <w:rFonts w:ascii="Rockwell" w:eastAsia="Times New Roman" w:hAnsi="Rockwell" w:cs="Courier New"/>
          <w:sz w:val="20"/>
          <w:szCs w:val="20"/>
        </w:rPr>
        <w:t>= (|Actual Demand - Forecast| / Actual Demand) × 100</w:t>
      </w:r>
    </w:p>
    <w:p w14:paraId="2273378E" w14:textId="77777777" w:rsidR="00D332C6" w:rsidRDefault="00D332C6" w:rsidP="00D332C6">
      <w:pPr>
        <w:numPr>
          <w:ilvl w:val="0"/>
          <w:numId w:val="17"/>
        </w:numPr>
        <w:spacing w:after="100" w:afterAutospacing="1" w:line="240" w:lineRule="auto"/>
        <w:rPr>
          <w:rFonts w:ascii="Rockwell" w:eastAsia="Times New Roman" w:hAnsi="Rockwell" w:cs="Times New Roman"/>
          <w:sz w:val="24"/>
          <w:szCs w:val="24"/>
        </w:rPr>
      </w:pPr>
      <w:r>
        <w:rPr>
          <w:rFonts w:ascii="Rockwell" w:eastAsia="Times New Roman" w:hAnsi="Rockwell" w:cs="Times New Roman"/>
          <w:sz w:val="24"/>
          <w:szCs w:val="24"/>
        </w:rPr>
        <w:t>Tracks accuracy in predicting demand.</w:t>
      </w:r>
    </w:p>
    <w:p w14:paraId="392713BC" w14:textId="77777777" w:rsidR="00D332C6" w:rsidRDefault="00D332C6" w:rsidP="00D332C6">
      <w:p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 xml:space="preserve"> Supplier Inefficiency (%)</w:t>
      </w:r>
      <w:r>
        <w:rPr>
          <w:rFonts w:ascii="Rockwell" w:eastAsia="Times New Roman" w:hAnsi="Rockwell" w:cs="Times New Roman"/>
          <w:sz w:val="24"/>
          <w:szCs w:val="24"/>
        </w:rPr>
        <w:br/>
      </w:r>
      <w:r>
        <w:rPr>
          <w:rFonts w:ascii="Rockwell" w:eastAsia="Times New Roman" w:hAnsi="Rockwell" w:cs="Courier New"/>
          <w:sz w:val="20"/>
          <w:szCs w:val="20"/>
        </w:rPr>
        <w:t>= (Late or Incorrect Deliveries / Total Deliveries) × 100</w:t>
      </w:r>
    </w:p>
    <w:p w14:paraId="2B2CE246" w14:textId="77777777" w:rsidR="00D332C6" w:rsidRDefault="00D332C6" w:rsidP="00D332C6">
      <w:pPr>
        <w:numPr>
          <w:ilvl w:val="0"/>
          <w:numId w:val="18"/>
        </w:numPr>
        <w:spacing w:after="100" w:afterAutospacing="1" w:line="240" w:lineRule="auto"/>
        <w:rPr>
          <w:rFonts w:ascii="Rockwell" w:eastAsia="Times New Roman" w:hAnsi="Rockwell" w:cs="Times New Roman"/>
          <w:sz w:val="24"/>
          <w:szCs w:val="24"/>
        </w:rPr>
      </w:pPr>
      <w:r>
        <w:rPr>
          <w:rFonts w:ascii="Rockwell" w:eastAsia="Times New Roman" w:hAnsi="Rockwell" w:cs="Times New Roman"/>
          <w:sz w:val="24"/>
          <w:szCs w:val="24"/>
        </w:rPr>
        <w:lastRenderedPageBreak/>
        <w:t>Measures supplier delivery failures.</w:t>
      </w:r>
    </w:p>
    <w:p w14:paraId="73F15C23" w14:textId="77777777" w:rsidR="00D332C6" w:rsidRDefault="00D332C6" w:rsidP="00D332C6">
      <w:p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 xml:space="preserve"> Distribution Inefficiency (%)</w:t>
      </w:r>
      <w:r>
        <w:rPr>
          <w:rFonts w:ascii="Rockwell" w:eastAsia="Times New Roman" w:hAnsi="Rockwell" w:cs="Times New Roman"/>
          <w:sz w:val="24"/>
          <w:szCs w:val="24"/>
        </w:rPr>
        <w:br/>
      </w:r>
      <w:r>
        <w:rPr>
          <w:rFonts w:ascii="Rockwell" w:eastAsia="Times New Roman" w:hAnsi="Rockwell" w:cs="Courier New"/>
          <w:sz w:val="20"/>
          <w:szCs w:val="20"/>
        </w:rPr>
        <w:t>= (Delayed or Incomplete Deliveries / Total Shipments) × 100</w:t>
      </w:r>
    </w:p>
    <w:p w14:paraId="0D689A36" w14:textId="77777777" w:rsidR="00D332C6" w:rsidRDefault="00D332C6" w:rsidP="00D332C6">
      <w:pPr>
        <w:numPr>
          <w:ilvl w:val="0"/>
          <w:numId w:val="19"/>
        </w:numPr>
        <w:spacing w:after="100" w:afterAutospacing="1" w:line="240" w:lineRule="auto"/>
        <w:rPr>
          <w:rFonts w:ascii="Rockwell" w:eastAsia="Times New Roman" w:hAnsi="Rockwell" w:cs="Times New Roman"/>
          <w:sz w:val="24"/>
          <w:szCs w:val="24"/>
        </w:rPr>
      </w:pPr>
      <w:r>
        <w:rPr>
          <w:rFonts w:ascii="Rockwell" w:eastAsia="Times New Roman" w:hAnsi="Rockwell" w:cs="Times New Roman"/>
          <w:sz w:val="24"/>
          <w:szCs w:val="24"/>
        </w:rPr>
        <w:t>Shows failures in internal distribution of supplies.</w:t>
      </w:r>
    </w:p>
    <w:p w14:paraId="00F0C7E3" w14:textId="77777777" w:rsidR="00D332C6" w:rsidRDefault="00D332C6" w:rsidP="00D332C6">
      <w:p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 xml:space="preserve"> Cost Inefficiency (%)</w:t>
      </w:r>
      <w:r>
        <w:rPr>
          <w:rFonts w:ascii="Rockwell" w:eastAsia="Times New Roman" w:hAnsi="Rockwell" w:cs="Times New Roman"/>
          <w:sz w:val="24"/>
          <w:szCs w:val="24"/>
        </w:rPr>
        <w:br/>
      </w:r>
      <w:r>
        <w:rPr>
          <w:rFonts w:ascii="Rockwell" w:eastAsia="Times New Roman" w:hAnsi="Rockwell" w:cs="Courier New"/>
          <w:sz w:val="20"/>
          <w:szCs w:val="20"/>
        </w:rPr>
        <w:t>= ((Actual Supply Chain Costs - Budgeted Costs) / Budgeted Costs) × 100</w:t>
      </w:r>
    </w:p>
    <w:p w14:paraId="303100C5" w14:textId="77777777" w:rsidR="00D332C6" w:rsidRDefault="00D332C6" w:rsidP="00D332C6">
      <w:pPr>
        <w:numPr>
          <w:ilvl w:val="0"/>
          <w:numId w:val="20"/>
        </w:numPr>
        <w:spacing w:after="100" w:afterAutospacing="1" w:line="240" w:lineRule="auto"/>
        <w:rPr>
          <w:rFonts w:ascii="Rockwell" w:eastAsia="Times New Roman" w:hAnsi="Rockwell" w:cs="Times New Roman"/>
          <w:sz w:val="24"/>
          <w:szCs w:val="24"/>
        </w:rPr>
      </w:pPr>
      <w:r>
        <w:rPr>
          <w:rFonts w:ascii="Rockwell" w:eastAsia="Times New Roman" w:hAnsi="Rockwell" w:cs="Times New Roman"/>
          <w:sz w:val="24"/>
          <w:szCs w:val="24"/>
        </w:rPr>
        <w:t>Measures overspending against what was planned.</w:t>
      </w:r>
    </w:p>
    <w:p w14:paraId="62F74CF9" w14:textId="77777777" w:rsidR="00D332C6" w:rsidRDefault="00D332C6" w:rsidP="00D332C6">
      <w:p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 xml:space="preserve"> Reporting Inefficiency (%)</w:t>
      </w:r>
      <w:r>
        <w:rPr>
          <w:rFonts w:ascii="Rockwell" w:eastAsia="Times New Roman" w:hAnsi="Rockwell" w:cs="Times New Roman"/>
          <w:sz w:val="24"/>
          <w:szCs w:val="24"/>
        </w:rPr>
        <w:br/>
      </w:r>
      <w:r>
        <w:rPr>
          <w:rFonts w:ascii="Rockwell" w:eastAsia="Times New Roman" w:hAnsi="Rockwell" w:cs="Courier New"/>
          <w:sz w:val="20"/>
          <w:szCs w:val="20"/>
        </w:rPr>
        <w:t>= (Delayed Reports / Total Reports) × 100</w:t>
      </w:r>
    </w:p>
    <w:p w14:paraId="4450D5C5" w14:textId="77777777" w:rsidR="00D332C6" w:rsidRDefault="00D332C6" w:rsidP="00D332C6">
      <w:pPr>
        <w:numPr>
          <w:ilvl w:val="0"/>
          <w:numId w:val="21"/>
        </w:numPr>
        <w:spacing w:after="100" w:afterAutospacing="1" w:line="240" w:lineRule="auto"/>
        <w:rPr>
          <w:rFonts w:ascii="Rockwell" w:eastAsia="Times New Roman" w:hAnsi="Rockwell" w:cs="Times New Roman"/>
          <w:sz w:val="24"/>
          <w:szCs w:val="24"/>
        </w:rPr>
      </w:pPr>
      <w:r>
        <w:rPr>
          <w:rFonts w:ascii="Rockwell" w:eastAsia="Times New Roman" w:hAnsi="Rockwell" w:cs="Times New Roman"/>
          <w:sz w:val="24"/>
          <w:szCs w:val="24"/>
        </w:rPr>
        <w:t>Identifies how often reporting is delayed.</w:t>
      </w:r>
    </w:p>
    <w:p w14:paraId="6C25B889" w14:textId="77777777" w:rsidR="00D332C6" w:rsidRDefault="00D332C6" w:rsidP="00D332C6">
      <w:p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 xml:space="preserve"> Technology and System Integration Inefficiency (%)</w:t>
      </w:r>
      <w:r>
        <w:rPr>
          <w:rFonts w:ascii="Rockwell" w:eastAsia="Times New Roman" w:hAnsi="Rockwell" w:cs="Times New Roman"/>
          <w:sz w:val="24"/>
          <w:szCs w:val="24"/>
        </w:rPr>
        <w:br/>
      </w:r>
      <w:r>
        <w:rPr>
          <w:rFonts w:ascii="Rockwell" w:eastAsia="Times New Roman" w:hAnsi="Rockwell" w:cs="Courier New"/>
          <w:sz w:val="20"/>
          <w:szCs w:val="20"/>
        </w:rPr>
        <w:t>= (Manual Processes / Total Processes) × 100</w:t>
      </w:r>
    </w:p>
    <w:p w14:paraId="7E255507" w14:textId="77777777" w:rsidR="00D332C6" w:rsidRDefault="00D332C6" w:rsidP="00D332C6">
      <w:pPr>
        <w:numPr>
          <w:ilvl w:val="0"/>
          <w:numId w:val="22"/>
        </w:numPr>
        <w:spacing w:after="100" w:afterAutospacing="1" w:line="240" w:lineRule="auto"/>
        <w:rPr>
          <w:rFonts w:ascii="Rockwell" w:eastAsia="Times New Roman" w:hAnsi="Rockwell" w:cs="Times New Roman"/>
          <w:sz w:val="24"/>
          <w:szCs w:val="24"/>
        </w:rPr>
      </w:pPr>
      <w:r>
        <w:rPr>
          <w:rFonts w:ascii="Rockwell" w:eastAsia="Times New Roman" w:hAnsi="Rockwell" w:cs="Times New Roman"/>
          <w:sz w:val="24"/>
          <w:szCs w:val="24"/>
        </w:rPr>
        <w:t>Reflects use of outdated or non-digital systems.</w:t>
      </w:r>
    </w:p>
    <w:p w14:paraId="793BF815" w14:textId="77777777" w:rsidR="00D332C6" w:rsidRDefault="00D332C6" w:rsidP="00D332C6">
      <w:p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 xml:space="preserve"> Communication and Coordination Inefficiency (%)</w:t>
      </w:r>
      <w:r>
        <w:rPr>
          <w:rFonts w:ascii="Rockwell" w:eastAsia="Times New Roman" w:hAnsi="Rockwell" w:cs="Times New Roman"/>
          <w:sz w:val="24"/>
          <w:szCs w:val="24"/>
        </w:rPr>
        <w:br/>
      </w:r>
      <w:r>
        <w:rPr>
          <w:rFonts w:ascii="Rockwell" w:eastAsia="Times New Roman" w:hAnsi="Rockwell" w:cs="Courier New"/>
          <w:sz w:val="20"/>
          <w:szCs w:val="20"/>
        </w:rPr>
        <w:t>= [1 - (Communication Failures / Total Communications)] × 100</w:t>
      </w:r>
    </w:p>
    <w:p w14:paraId="0CA9384A" w14:textId="77777777" w:rsidR="00D332C6" w:rsidRDefault="00D332C6" w:rsidP="00D332C6">
      <w:pPr>
        <w:numPr>
          <w:ilvl w:val="0"/>
          <w:numId w:val="23"/>
        </w:numPr>
        <w:spacing w:after="100" w:afterAutospacing="1" w:line="240" w:lineRule="auto"/>
        <w:rPr>
          <w:rFonts w:ascii="Rockwell" w:eastAsia="Times New Roman" w:hAnsi="Rockwell" w:cs="Times New Roman"/>
          <w:sz w:val="24"/>
          <w:szCs w:val="24"/>
        </w:rPr>
      </w:pPr>
      <w:r>
        <w:rPr>
          <w:rFonts w:ascii="Rockwell" w:eastAsia="Times New Roman" w:hAnsi="Rockwell" w:cs="Times New Roman"/>
          <w:sz w:val="24"/>
          <w:szCs w:val="24"/>
        </w:rPr>
        <w:t>Measures breakdown in communication across departments.</w:t>
      </w:r>
    </w:p>
    <w:p w14:paraId="52E12FB2" w14:textId="77777777" w:rsidR="00D332C6" w:rsidRDefault="00D332C6" w:rsidP="00D332C6">
      <w:p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 xml:space="preserve"> Waste Management Inefficiency (%)</w:t>
      </w:r>
      <w:r>
        <w:rPr>
          <w:rFonts w:ascii="Rockwell" w:eastAsia="Times New Roman" w:hAnsi="Rockwell" w:cs="Times New Roman"/>
          <w:sz w:val="24"/>
          <w:szCs w:val="24"/>
        </w:rPr>
        <w:br/>
      </w:r>
      <w:r>
        <w:rPr>
          <w:rFonts w:ascii="Rockwell" w:eastAsia="Times New Roman" w:hAnsi="Rockwell" w:cs="Courier New"/>
          <w:sz w:val="20"/>
          <w:szCs w:val="20"/>
        </w:rPr>
        <w:t>= (Unusable or Expired Stock / Total Stock Handled) × 100</w:t>
      </w:r>
    </w:p>
    <w:p w14:paraId="23EF9E13" w14:textId="77777777" w:rsidR="00D332C6" w:rsidRDefault="00D332C6" w:rsidP="00D332C6">
      <w:pPr>
        <w:numPr>
          <w:ilvl w:val="0"/>
          <w:numId w:val="24"/>
        </w:numPr>
        <w:spacing w:after="100" w:afterAutospacing="1" w:line="240" w:lineRule="auto"/>
        <w:rPr>
          <w:rFonts w:ascii="Rockwell" w:eastAsia="Times New Roman" w:hAnsi="Rockwell" w:cs="Times New Roman"/>
          <w:sz w:val="24"/>
          <w:szCs w:val="24"/>
        </w:rPr>
      </w:pPr>
      <w:r>
        <w:rPr>
          <w:rFonts w:ascii="Rockwell" w:eastAsia="Times New Roman" w:hAnsi="Rockwell" w:cs="Times New Roman"/>
          <w:sz w:val="24"/>
          <w:szCs w:val="24"/>
        </w:rPr>
        <w:t>Identifies how much of the total handled stock is wasted.</w:t>
      </w:r>
    </w:p>
    <w:p w14:paraId="3A9013A6" w14:textId="77777777" w:rsidR="00D332C6" w:rsidRDefault="00D332C6" w:rsidP="00D332C6">
      <w:pPr>
        <w:spacing w:after="100" w:afterAutospacing="1" w:line="240" w:lineRule="auto"/>
        <w:rPr>
          <w:rFonts w:ascii="Rockwell" w:eastAsia="Times New Roman" w:hAnsi="Rockwell" w:cs="Times New Roman"/>
          <w:sz w:val="24"/>
          <w:szCs w:val="24"/>
        </w:rPr>
      </w:pPr>
      <w:r>
        <w:rPr>
          <w:rFonts w:ascii="Rockwell" w:eastAsia="Times New Roman" w:hAnsi="Rockwell" w:cs="Times New Roman"/>
          <w:b/>
          <w:bCs/>
          <w:sz w:val="24"/>
          <w:szCs w:val="24"/>
        </w:rPr>
        <w:t xml:space="preserve"> Dispensing Practice Inefficiency (%)</w:t>
      </w:r>
      <w:r>
        <w:rPr>
          <w:rFonts w:ascii="Rockwell" w:eastAsia="Times New Roman" w:hAnsi="Rockwell" w:cs="Times New Roman"/>
          <w:sz w:val="24"/>
          <w:szCs w:val="24"/>
        </w:rPr>
        <w:br/>
      </w:r>
      <w:r>
        <w:rPr>
          <w:rFonts w:ascii="Rockwell" w:eastAsia="Times New Roman" w:hAnsi="Rockwell" w:cs="Courier New"/>
          <w:sz w:val="20"/>
          <w:szCs w:val="20"/>
        </w:rPr>
        <w:t>= (Incorrect or Delayed Dispensing Cases / Total Dispensing Transactions) × 100</w:t>
      </w:r>
    </w:p>
    <w:p w14:paraId="444E8B7D" w14:textId="77777777" w:rsidR="00D332C6" w:rsidRDefault="00D332C6" w:rsidP="00D332C6">
      <w:pPr>
        <w:numPr>
          <w:ilvl w:val="0"/>
          <w:numId w:val="25"/>
        </w:numPr>
        <w:spacing w:after="100" w:afterAutospacing="1" w:line="240" w:lineRule="auto"/>
        <w:rPr>
          <w:rFonts w:ascii="Rockwell" w:eastAsia="Times New Roman" w:hAnsi="Rockwell" w:cs="Times New Roman"/>
          <w:sz w:val="24"/>
          <w:szCs w:val="24"/>
        </w:rPr>
      </w:pPr>
      <w:r>
        <w:rPr>
          <w:rFonts w:ascii="Rockwell" w:eastAsia="Times New Roman" w:hAnsi="Rockwell" w:cs="Times New Roman"/>
          <w:sz w:val="24"/>
          <w:szCs w:val="24"/>
        </w:rPr>
        <w:t>Evaluates issues in giving out supplies or medicines to wards or patients.</w:t>
      </w:r>
    </w:p>
    <w:p w14:paraId="78DA4271" w14:textId="77777777" w:rsidR="00D332C6" w:rsidRPr="00757666" w:rsidRDefault="00D332C6" w:rsidP="00757666">
      <w:pPr>
        <w:spacing w:before="100" w:beforeAutospacing="1" w:after="100" w:afterAutospacing="1" w:line="240" w:lineRule="auto"/>
        <w:rPr>
          <w:rFonts w:ascii="Rockwell" w:eastAsia="Times New Roman" w:hAnsi="Rockwell" w:cs="Times New Roman"/>
          <w:sz w:val="24"/>
          <w:szCs w:val="24"/>
        </w:rPr>
      </w:pPr>
    </w:p>
    <w:p w14:paraId="13B71770" w14:textId="098A7589" w:rsid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pict w14:anchorId="03878535">
          <v:rect id="_x0000_i1030" style="width:0;height:1.5pt" o:hralign="center" o:hrstd="t" o:hr="t" fillcolor="#a0a0a0" stroked="f"/>
        </w:pict>
      </w:r>
    </w:p>
    <w:p w14:paraId="1FCBB8A7" w14:textId="657794C4" w:rsidR="0021482C" w:rsidRDefault="0021482C" w:rsidP="00757666">
      <w:pPr>
        <w:spacing w:after="0" w:line="240" w:lineRule="auto"/>
        <w:rPr>
          <w:rFonts w:ascii="Rockwell" w:eastAsia="Times New Roman" w:hAnsi="Rockwell" w:cs="Times New Roman"/>
          <w:sz w:val="24"/>
          <w:szCs w:val="24"/>
        </w:rPr>
      </w:pPr>
    </w:p>
    <w:p w14:paraId="37930296" w14:textId="1DD7171A" w:rsidR="0021482C" w:rsidRDefault="0021482C" w:rsidP="00757666">
      <w:pPr>
        <w:spacing w:after="0" w:line="240" w:lineRule="auto"/>
        <w:rPr>
          <w:rFonts w:ascii="Rockwell" w:eastAsia="Times New Roman" w:hAnsi="Rockwell" w:cs="Times New Roman"/>
          <w:sz w:val="24"/>
          <w:szCs w:val="24"/>
        </w:rPr>
      </w:pPr>
    </w:p>
    <w:p w14:paraId="5F9DF56B" w14:textId="77777777" w:rsidR="0021482C" w:rsidRDefault="0021482C" w:rsidP="00757666">
      <w:pPr>
        <w:spacing w:after="0" w:line="240" w:lineRule="auto"/>
        <w:rPr>
          <w:rFonts w:ascii="Rockwell" w:eastAsia="Times New Roman" w:hAnsi="Rockwell" w:cs="Times New Roman"/>
          <w:sz w:val="24"/>
          <w:szCs w:val="24"/>
        </w:rPr>
      </w:pPr>
    </w:p>
    <w:p w14:paraId="3BE70309" w14:textId="4E6A7DC5" w:rsidR="00B70CC2" w:rsidRDefault="00B70CC2" w:rsidP="00757666">
      <w:pPr>
        <w:spacing w:after="0" w:line="240" w:lineRule="auto"/>
        <w:rPr>
          <w:rFonts w:ascii="Rockwell" w:eastAsia="Times New Roman" w:hAnsi="Rockwell" w:cs="Times New Roman"/>
          <w:sz w:val="24"/>
          <w:szCs w:val="24"/>
        </w:rPr>
      </w:pPr>
    </w:p>
    <w:p w14:paraId="6667CA20" w14:textId="6F4FB04A" w:rsidR="00B70CC2" w:rsidRPr="00B70CC2" w:rsidRDefault="00B70CC2" w:rsidP="00B70CC2">
      <w:pPr>
        <w:pStyle w:val="Heading1"/>
        <w:rPr>
          <w:rFonts w:ascii="Rockwell" w:hAnsi="Rockwell"/>
        </w:rPr>
      </w:pPr>
      <w:bookmarkStart w:id="29" w:name="_Toc202997364"/>
      <w:r w:rsidRPr="00B70CC2">
        <w:rPr>
          <w:rFonts w:ascii="Rockwell" w:hAnsi="Rockwell"/>
        </w:rPr>
        <w:lastRenderedPageBreak/>
        <w:t>6. PREVIOUS ACTION PLAN IMPLEMENTATION</w:t>
      </w:r>
      <w:bookmarkEnd w:id="29"/>
    </w:p>
    <w:p w14:paraId="16241D18" w14:textId="61B43F2B" w:rsidR="00B70CC2" w:rsidRDefault="00B70CC2" w:rsidP="00757666">
      <w:pPr>
        <w:spacing w:after="0" w:line="240" w:lineRule="auto"/>
        <w:rPr>
          <w:rFonts w:ascii="Rockwell" w:eastAsia="Times New Roman" w:hAnsi="Rockwell" w:cs="Times New Roman"/>
          <w:sz w:val="24"/>
          <w:szCs w:val="24"/>
        </w:rPr>
      </w:pPr>
    </w:p>
    <w:p w14:paraId="5AE84A2C" w14:textId="1ECC4D32" w:rsidR="00B70CC2" w:rsidRDefault="00B70CC2" w:rsidP="00757666">
      <w:pPr>
        <w:spacing w:after="0" w:line="240" w:lineRule="auto"/>
        <w:rPr>
          <w:rFonts w:ascii="Rockwell" w:eastAsia="Times New Roman" w:hAnsi="Rockwell" w:cs="Times New Roman"/>
          <w:sz w:val="24"/>
          <w:szCs w:val="24"/>
        </w:rPr>
      </w:pPr>
    </w:p>
    <w:tbl>
      <w:tblPr>
        <w:tblStyle w:val="TableGrid"/>
        <w:tblW w:w="0" w:type="auto"/>
        <w:tblLook w:val="04A0" w:firstRow="1" w:lastRow="0" w:firstColumn="1" w:lastColumn="0" w:noHBand="0" w:noVBand="1"/>
      </w:tblPr>
      <w:tblGrid>
        <w:gridCol w:w="1470"/>
        <w:gridCol w:w="1687"/>
        <w:gridCol w:w="1741"/>
        <w:gridCol w:w="1419"/>
        <w:gridCol w:w="1086"/>
        <w:gridCol w:w="1947"/>
      </w:tblGrid>
      <w:tr w:rsidR="00B70CC2" w14:paraId="523C93E4" w14:textId="77777777" w:rsidTr="00B70CC2">
        <w:tc>
          <w:tcPr>
            <w:tcW w:w="0" w:type="auto"/>
            <w:hideMark/>
          </w:tcPr>
          <w:p w14:paraId="37C48F49" w14:textId="77777777" w:rsidR="00B70CC2" w:rsidRDefault="00B70CC2">
            <w:pPr>
              <w:jc w:val="center"/>
              <w:rPr>
                <w:b/>
                <w:bCs/>
              </w:rPr>
            </w:pPr>
            <w:r>
              <w:rPr>
                <w:rStyle w:val="Strong"/>
              </w:rPr>
              <w:t>Category</w:t>
            </w:r>
          </w:p>
        </w:tc>
        <w:tc>
          <w:tcPr>
            <w:tcW w:w="0" w:type="auto"/>
            <w:hideMark/>
          </w:tcPr>
          <w:p w14:paraId="0AB9AB3B" w14:textId="77777777" w:rsidR="00B70CC2" w:rsidRDefault="00B70CC2">
            <w:pPr>
              <w:jc w:val="center"/>
              <w:rPr>
                <w:b/>
                <w:bCs/>
              </w:rPr>
            </w:pPr>
            <w:r>
              <w:rPr>
                <w:rStyle w:val="Strong"/>
              </w:rPr>
              <w:t>Identified Gap</w:t>
            </w:r>
          </w:p>
        </w:tc>
        <w:tc>
          <w:tcPr>
            <w:tcW w:w="0" w:type="auto"/>
            <w:hideMark/>
          </w:tcPr>
          <w:p w14:paraId="0FEAA365" w14:textId="77777777" w:rsidR="00B70CC2" w:rsidRDefault="00B70CC2">
            <w:pPr>
              <w:jc w:val="center"/>
              <w:rPr>
                <w:b/>
                <w:bCs/>
              </w:rPr>
            </w:pPr>
            <w:r>
              <w:rPr>
                <w:rStyle w:val="Strong"/>
              </w:rPr>
              <w:t>Strategic Intervention</w:t>
            </w:r>
          </w:p>
        </w:tc>
        <w:tc>
          <w:tcPr>
            <w:tcW w:w="0" w:type="auto"/>
            <w:hideMark/>
          </w:tcPr>
          <w:p w14:paraId="378B0C92" w14:textId="77777777" w:rsidR="00B70CC2" w:rsidRDefault="00B70CC2">
            <w:pPr>
              <w:jc w:val="center"/>
              <w:rPr>
                <w:b/>
                <w:bCs/>
              </w:rPr>
            </w:pPr>
            <w:r>
              <w:rPr>
                <w:rStyle w:val="Strong"/>
              </w:rPr>
              <w:t>Responsible Unit</w:t>
            </w:r>
          </w:p>
        </w:tc>
        <w:tc>
          <w:tcPr>
            <w:tcW w:w="0" w:type="auto"/>
            <w:hideMark/>
          </w:tcPr>
          <w:p w14:paraId="6C6DFD53" w14:textId="77777777" w:rsidR="00B70CC2" w:rsidRDefault="00B70CC2">
            <w:pPr>
              <w:jc w:val="center"/>
              <w:rPr>
                <w:b/>
                <w:bCs/>
              </w:rPr>
            </w:pPr>
            <w:r>
              <w:rPr>
                <w:rStyle w:val="Strong"/>
              </w:rPr>
              <w:t>Timeline</w:t>
            </w:r>
          </w:p>
        </w:tc>
        <w:tc>
          <w:tcPr>
            <w:tcW w:w="0" w:type="auto"/>
            <w:hideMark/>
          </w:tcPr>
          <w:p w14:paraId="529C5382" w14:textId="77777777" w:rsidR="00B70CC2" w:rsidRDefault="00B70CC2">
            <w:pPr>
              <w:jc w:val="center"/>
              <w:rPr>
                <w:b/>
                <w:bCs/>
              </w:rPr>
            </w:pPr>
            <w:r>
              <w:rPr>
                <w:rStyle w:val="Strong"/>
              </w:rPr>
              <w:t>Implementation Status</w:t>
            </w:r>
          </w:p>
        </w:tc>
      </w:tr>
      <w:tr w:rsidR="00B70CC2" w14:paraId="4C1B4EBC" w14:textId="77777777" w:rsidTr="00B70CC2">
        <w:tc>
          <w:tcPr>
            <w:tcW w:w="0" w:type="auto"/>
            <w:hideMark/>
          </w:tcPr>
          <w:p w14:paraId="790280B8" w14:textId="77777777" w:rsidR="00B70CC2" w:rsidRDefault="00B70CC2">
            <w:r>
              <w:rPr>
                <w:rStyle w:val="Strong"/>
              </w:rPr>
              <w:t>Inventory Management</w:t>
            </w:r>
          </w:p>
        </w:tc>
        <w:tc>
          <w:tcPr>
            <w:tcW w:w="0" w:type="auto"/>
            <w:hideMark/>
          </w:tcPr>
          <w:p w14:paraId="70110C73" w14:textId="77777777" w:rsidR="00B70CC2" w:rsidRDefault="00B70CC2">
            <w:r>
              <w:t>EAPTS under-utilized</w:t>
            </w:r>
          </w:p>
        </w:tc>
        <w:tc>
          <w:tcPr>
            <w:tcW w:w="0" w:type="auto"/>
            <w:hideMark/>
          </w:tcPr>
          <w:p w14:paraId="5917907C" w14:textId="77777777" w:rsidR="00B70CC2" w:rsidRDefault="00B70CC2">
            <w:r>
              <w:t>Conduct monthly EAPTS report reviews and follow-up actions</w:t>
            </w:r>
          </w:p>
        </w:tc>
        <w:tc>
          <w:tcPr>
            <w:tcW w:w="0" w:type="auto"/>
            <w:hideMark/>
          </w:tcPr>
          <w:p w14:paraId="780ED6DC" w14:textId="77777777" w:rsidR="00B70CC2" w:rsidRDefault="00B70CC2">
            <w:r>
              <w:t>Pharmacy Unit</w:t>
            </w:r>
          </w:p>
        </w:tc>
        <w:tc>
          <w:tcPr>
            <w:tcW w:w="0" w:type="auto"/>
            <w:hideMark/>
          </w:tcPr>
          <w:p w14:paraId="6C55B2C0" w14:textId="77777777" w:rsidR="00B70CC2" w:rsidRDefault="00B70CC2">
            <w:r>
              <w:t>Monthly</w:t>
            </w:r>
          </w:p>
        </w:tc>
        <w:tc>
          <w:tcPr>
            <w:tcW w:w="0" w:type="auto"/>
            <w:hideMark/>
          </w:tcPr>
          <w:p w14:paraId="2EB76145" w14:textId="77777777" w:rsidR="00B70CC2" w:rsidRDefault="00B70CC2">
            <w:r>
              <w:rPr>
                <w:rFonts w:ascii="Segoe UI Emoji" w:hAnsi="Segoe UI Emoji" w:cs="Segoe UI Emoji"/>
              </w:rPr>
              <w:t>✅</w:t>
            </w:r>
            <w:r>
              <w:t xml:space="preserve"> </w:t>
            </w:r>
            <w:r>
              <w:rPr>
                <w:rStyle w:val="Emphasis"/>
              </w:rPr>
              <w:t>Partially Implemented:</w:t>
            </w:r>
            <w:r>
              <w:t xml:space="preserve"> EAPTS reports were reviewed in 2 of the 3 months. Interpretation and follow-up still inconsistent.</w:t>
            </w:r>
          </w:p>
        </w:tc>
      </w:tr>
      <w:tr w:rsidR="00B70CC2" w14:paraId="31A7893E" w14:textId="77777777" w:rsidTr="00B70CC2">
        <w:tc>
          <w:tcPr>
            <w:tcW w:w="0" w:type="auto"/>
            <w:hideMark/>
          </w:tcPr>
          <w:p w14:paraId="4EA864C1" w14:textId="77777777" w:rsidR="00B70CC2" w:rsidRDefault="00B70CC2">
            <w:r>
              <w:rPr>
                <w:rStyle w:val="Strong"/>
              </w:rPr>
              <w:t>Inventory Accuracy</w:t>
            </w:r>
          </w:p>
        </w:tc>
        <w:tc>
          <w:tcPr>
            <w:tcW w:w="0" w:type="auto"/>
            <w:hideMark/>
          </w:tcPr>
          <w:p w14:paraId="2D2E0D84" w14:textId="77777777" w:rsidR="00B70CC2" w:rsidRDefault="00B70CC2">
            <w:r>
              <w:t>Inconsistent physical counts</w:t>
            </w:r>
          </w:p>
        </w:tc>
        <w:tc>
          <w:tcPr>
            <w:tcW w:w="0" w:type="auto"/>
            <w:hideMark/>
          </w:tcPr>
          <w:p w14:paraId="5AC94CC7" w14:textId="77777777" w:rsidR="00B70CC2" w:rsidRDefault="00B70CC2">
            <w:r>
              <w:t>Conduct quarterly stock audits and reconcile discrepancies</w:t>
            </w:r>
          </w:p>
        </w:tc>
        <w:tc>
          <w:tcPr>
            <w:tcW w:w="0" w:type="auto"/>
            <w:hideMark/>
          </w:tcPr>
          <w:p w14:paraId="77936799" w14:textId="77777777" w:rsidR="00B70CC2" w:rsidRDefault="00B70CC2">
            <w:r>
              <w:t>Pharmacy Unit &amp; DTC</w:t>
            </w:r>
          </w:p>
        </w:tc>
        <w:tc>
          <w:tcPr>
            <w:tcW w:w="0" w:type="auto"/>
            <w:hideMark/>
          </w:tcPr>
          <w:p w14:paraId="6CFA5BB4" w14:textId="77777777" w:rsidR="00B70CC2" w:rsidRDefault="00B70CC2">
            <w:r>
              <w:t>Quarterly</w:t>
            </w:r>
          </w:p>
        </w:tc>
        <w:tc>
          <w:tcPr>
            <w:tcW w:w="0" w:type="auto"/>
            <w:hideMark/>
          </w:tcPr>
          <w:p w14:paraId="5B9D03CC" w14:textId="77777777" w:rsidR="00B70CC2" w:rsidRDefault="00B70CC2">
            <w:r>
              <w:rPr>
                <w:rFonts w:ascii="Segoe UI Emoji" w:hAnsi="Segoe UI Emoji" w:cs="Segoe UI Emoji"/>
              </w:rPr>
              <w:t>✅</w:t>
            </w:r>
            <w:r>
              <w:t xml:space="preserve"> </w:t>
            </w:r>
            <w:r>
              <w:rPr>
                <w:rStyle w:val="Emphasis"/>
              </w:rPr>
              <w:t>Implemented:</w:t>
            </w:r>
            <w:r>
              <w:t xml:space="preserve"> Physical counts conducted; discrepancies noted and partially resolved.</w:t>
            </w:r>
          </w:p>
        </w:tc>
      </w:tr>
      <w:tr w:rsidR="00B70CC2" w14:paraId="183FD422" w14:textId="77777777" w:rsidTr="00B70CC2">
        <w:tc>
          <w:tcPr>
            <w:tcW w:w="0" w:type="auto"/>
            <w:hideMark/>
          </w:tcPr>
          <w:p w14:paraId="0348EB17" w14:textId="77777777" w:rsidR="00B70CC2" w:rsidRDefault="00B70CC2">
            <w:r>
              <w:rPr>
                <w:rStyle w:val="Strong"/>
              </w:rPr>
              <w:t>Procurement</w:t>
            </w:r>
          </w:p>
        </w:tc>
        <w:tc>
          <w:tcPr>
            <w:tcW w:w="0" w:type="auto"/>
            <w:hideMark/>
          </w:tcPr>
          <w:p w14:paraId="1F6F837C" w14:textId="77777777" w:rsidR="00B70CC2" w:rsidRDefault="00B70CC2">
            <w:r>
              <w:t>Lack of regular procurement reviews</w:t>
            </w:r>
          </w:p>
        </w:tc>
        <w:tc>
          <w:tcPr>
            <w:tcW w:w="0" w:type="auto"/>
            <w:hideMark/>
          </w:tcPr>
          <w:p w14:paraId="1413F362" w14:textId="77777777" w:rsidR="00B70CC2" w:rsidRDefault="00B70CC2">
            <w:r>
              <w:t>Hold structured monthly procurement review meetings</w:t>
            </w:r>
          </w:p>
        </w:tc>
        <w:tc>
          <w:tcPr>
            <w:tcW w:w="0" w:type="auto"/>
            <w:hideMark/>
          </w:tcPr>
          <w:p w14:paraId="5C6CBE15" w14:textId="77777777" w:rsidR="00B70CC2" w:rsidRDefault="00B70CC2">
            <w:r>
              <w:t>DTC &amp; Procurement Unit</w:t>
            </w:r>
          </w:p>
        </w:tc>
        <w:tc>
          <w:tcPr>
            <w:tcW w:w="0" w:type="auto"/>
            <w:hideMark/>
          </w:tcPr>
          <w:p w14:paraId="52C51068" w14:textId="77777777" w:rsidR="00B70CC2" w:rsidRDefault="00B70CC2">
            <w:r>
              <w:t>Monthly</w:t>
            </w:r>
          </w:p>
        </w:tc>
        <w:tc>
          <w:tcPr>
            <w:tcW w:w="0" w:type="auto"/>
            <w:hideMark/>
          </w:tcPr>
          <w:p w14:paraId="6D134B62" w14:textId="77777777" w:rsidR="00B70CC2" w:rsidRDefault="00B70CC2">
            <w:r>
              <w:rPr>
                <w:rFonts w:ascii="Segoe UI Emoji" w:hAnsi="Segoe UI Emoji" w:cs="Segoe UI Emoji"/>
              </w:rPr>
              <w:t>❌</w:t>
            </w:r>
            <w:r>
              <w:t xml:space="preserve"> </w:t>
            </w:r>
            <w:r>
              <w:rPr>
                <w:rStyle w:val="Emphasis"/>
              </w:rPr>
              <w:t>Not Implemented:</w:t>
            </w:r>
            <w:r>
              <w:t xml:space="preserve"> No documentation of any formal procurement review meetings.</w:t>
            </w:r>
          </w:p>
        </w:tc>
      </w:tr>
      <w:tr w:rsidR="00B70CC2" w14:paraId="1375050B" w14:textId="77777777" w:rsidTr="00B70CC2">
        <w:tc>
          <w:tcPr>
            <w:tcW w:w="0" w:type="auto"/>
            <w:hideMark/>
          </w:tcPr>
          <w:p w14:paraId="63B9D49F" w14:textId="77777777" w:rsidR="00B70CC2" w:rsidRDefault="00B70CC2">
            <w:r>
              <w:rPr>
                <w:rStyle w:val="Strong"/>
              </w:rPr>
              <w:t>Supplier Engagement</w:t>
            </w:r>
          </w:p>
        </w:tc>
        <w:tc>
          <w:tcPr>
            <w:tcW w:w="0" w:type="auto"/>
            <w:hideMark/>
          </w:tcPr>
          <w:p w14:paraId="6B1EC169" w14:textId="77777777" w:rsidR="00B70CC2" w:rsidRDefault="00B70CC2">
            <w:r>
              <w:t>No routine supplier performance evaluation</w:t>
            </w:r>
          </w:p>
        </w:tc>
        <w:tc>
          <w:tcPr>
            <w:tcW w:w="0" w:type="auto"/>
            <w:hideMark/>
          </w:tcPr>
          <w:p w14:paraId="15EEB755" w14:textId="77777777" w:rsidR="00B70CC2" w:rsidRDefault="00B70CC2">
            <w:r>
              <w:t>Organize biannual supplier roundtables</w:t>
            </w:r>
          </w:p>
        </w:tc>
        <w:tc>
          <w:tcPr>
            <w:tcW w:w="0" w:type="auto"/>
            <w:hideMark/>
          </w:tcPr>
          <w:p w14:paraId="01FBF7CC" w14:textId="77777777" w:rsidR="00B70CC2" w:rsidRDefault="00B70CC2">
            <w:r>
              <w:t>Procurement Office</w:t>
            </w:r>
          </w:p>
        </w:tc>
        <w:tc>
          <w:tcPr>
            <w:tcW w:w="0" w:type="auto"/>
            <w:hideMark/>
          </w:tcPr>
          <w:p w14:paraId="3A5DFE43" w14:textId="77777777" w:rsidR="00B70CC2" w:rsidRDefault="00B70CC2">
            <w:r>
              <w:t>Twice per year</w:t>
            </w:r>
          </w:p>
        </w:tc>
        <w:tc>
          <w:tcPr>
            <w:tcW w:w="0" w:type="auto"/>
            <w:hideMark/>
          </w:tcPr>
          <w:p w14:paraId="42F0302D" w14:textId="77777777" w:rsidR="00B70CC2" w:rsidRDefault="00B70CC2">
            <w:r>
              <w:rPr>
                <w:rFonts w:ascii="Segoe UI Emoji" w:hAnsi="Segoe UI Emoji" w:cs="Segoe UI Emoji"/>
              </w:rPr>
              <w:t>❌</w:t>
            </w:r>
            <w:r>
              <w:t xml:space="preserve"> </w:t>
            </w:r>
            <w:r>
              <w:rPr>
                <w:rStyle w:val="Emphasis"/>
              </w:rPr>
              <w:t>Not Implemented:</w:t>
            </w:r>
            <w:r>
              <w:t xml:space="preserve"> No roundtable or supplier evaluation activity conducted.</w:t>
            </w:r>
          </w:p>
        </w:tc>
      </w:tr>
      <w:tr w:rsidR="00B70CC2" w14:paraId="0E16EAFB" w14:textId="77777777" w:rsidTr="00B70CC2">
        <w:tc>
          <w:tcPr>
            <w:tcW w:w="0" w:type="auto"/>
            <w:hideMark/>
          </w:tcPr>
          <w:p w14:paraId="0B4F308B" w14:textId="77777777" w:rsidR="00B70CC2" w:rsidRDefault="00B70CC2">
            <w:r>
              <w:rPr>
                <w:rStyle w:val="Strong"/>
              </w:rPr>
              <w:t>Staff Capacity</w:t>
            </w:r>
          </w:p>
        </w:tc>
        <w:tc>
          <w:tcPr>
            <w:tcW w:w="0" w:type="auto"/>
            <w:hideMark/>
          </w:tcPr>
          <w:p w14:paraId="78060B26" w14:textId="77777777" w:rsidR="00B70CC2" w:rsidRDefault="00B70CC2">
            <w:r>
              <w:t>Low knowledge of SOPs and stock management</w:t>
            </w:r>
          </w:p>
        </w:tc>
        <w:tc>
          <w:tcPr>
            <w:tcW w:w="0" w:type="auto"/>
            <w:hideMark/>
          </w:tcPr>
          <w:p w14:paraId="1AE6BC06" w14:textId="77777777" w:rsidR="00B70CC2" w:rsidRDefault="00B70CC2">
            <w:r>
              <w:t>Conduct quarterly on-site staff SOP training workshops</w:t>
            </w:r>
          </w:p>
        </w:tc>
        <w:tc>
          <w:tcPr>
            <w:tcW w:w="0" w:type="auto"/>
            <w:hideMark/>
          </w:tcPr>
          <w:p w14:paraId="20C7F88A" w14:textId="77777777" w:rsidR="00B70CC2" w:rsidRDefault="00B70CC2">
            <w:r>
              <w:t>SMT &amp; DTC</w:t>
            </w:r>
          </w:p>
        </w:tc>
        <w:tc>
          <w:tcPr>
            <w:tcW w:w="0" w:type="auto"/>
            <w:hideMark/>
          </w:tcPr>
          <w:p w14:paraId="32968F1D" w14:textId="77777777" w:rsidR="00B70CC2" w:rsidRDefault="00B70CC2">
            <w:r>
              <w:t>Quarterly</w:t>
            </w:r>
          </w:p>
        </w:tc>
        <w:tc>
          <w:tcPr>
            <w:tcW w:w="0" w:type="auto"/>
            <w:hideMark/>
          </w:tcPr>
          <w:p w14:paraId="54FD223A" w14:textId="77777777" w:rsidR="00B70CC2" w:rsidRDefault="00B70CC2">
            <w:r>
              <w:rPr>
                <w:rFonts w:ascii="Segoe UI Emoji" w:hAnsi="Segoe UI Emoji" w:cs="Segoe UI Emoji"/>
              </w:rPr>
              <w:t>✅</w:t>
            </w:r>
            <w:r>
              <w:t xml:space="preserve"> </w:t>
            </w:r>
            <w:r>
              <w:rPr>
                <w:rStyle w:val="Emphasis"/>
              </w:rPr>
              <w:t>Partially Implemented:</w:t>
            </w:r>
            <w:r>
              <w:t xml:space="preserve"> One workshop held for pharmacy staff; other departments not yet trained.</w:t>
            </w:r>
          </w:p>
        </w:tc>
      </w:tr>
      <w:tr w:rsidR="00B70CC2" w14:paraId="17EA924B" w14:textId="77777777" w:rsidTr="00B70CC2">
        <w:tc>
          <w:tcPr>
            <w:tcW w:w="0" w:type="auto"/>
            <w:hideMark/>
          </w:tcPr>
          <w:p w14:paraId="204165D8" w14:textId="77777777" w:rsidR="00B70CC2" w:rsidRDefault="00B70CC2">
            <w:r>
              <w:rPr>
                <w:rStyle w:val="Strong"/>
              </w:rPr>
              <w:t>Emergency Response</w:t>
            </w:r>
          </w:p>
        </w:tc>
        <w:tc>
          <w:tcPr>
            <w:tcW w:w="0" w:type="auto"/>
            <w:hideMark/>
          </w:tcPr>
          <w:p w14:paraId="07ECCDF6" w14:textId="77777777" w:rsidR="00B70CC2" w:rsidRDefault="00B70CC2">
            <w:r>
              <w:t>No urgent communication protocol utilization</w:t>
            </w:r>
          </w:p>
        </w:tc>
        <w:tc>
          <w:tcPr>
            <w:tcW w:w="0" w:type="auto"/>
            <w:hideMark/>
          </w:tcPr>
          <w:p w14:paraId="22A61C94" w14:textId="77777777" w:rsidR="00B70CC2" w:rsidRDefault="00B70CC2">
            <w:r>
              <w:t>Establish simple emergency supply request communication SOP</w:t>
            </w:r>
          </w:p>
        </w:tc>
        <w:tc>
          <w:tcPr>
            <w:tcW w:w="0" w:type="auto"/>
            <w:hideMark/>
          </w:tcPr>
          <w:p w14:paraId="59A314CF" w14:textId="77777777" w:rsidR="00B70CC2" w:rsidRDefault="00B70CC2">
            <w:r>
              <w:t>DTC</w:t>
            </w:r>
          </w:p>
        </w:tc>
        <w:tc>
          <w:tcPr>
            <w:tcW w:w="0" w:type="auto"/>
            <w:hideMark/>
          </w:tcPr>
          <w:p w14:paraId="60622822" w14:textId="77777777" w:rsidR="00B70CC2" w:rsidRDefault="00B70CC2">
            <w:r>
              <w:t>Within 1 month</w:t>
            </w:r>
          </w:p>
        </w:tc>
        <w:tc>
          <w:tcPr>
            <w:tcW w:w="0" w:type="auto"/>
            <w:hideMark/>
          </w:tcPr>
          <w:p w14:paraId="30AA7F83" w14:textId="77777777" w:rsidR="00B70CC2" w:rsidRDefault="00B70CC2">
            <w:r>
              <w:rPr>
                <w:rFonts w:ascii="Segoe UI Emoji" w:hAnsi="Segoe UI Emoji" w:cs="Segoe UI Emoji"/>
              </w:rPr>
              <w:t>❌</w:t>
            </w:r>
            <w:r>
              <w:t xml:space="preserve"> </w:t>
            </w:r>
            <w:r>
              <w:rPr>
                <w:rStyle w:val="Emphasis"/>
              </w:rPr>
              <w:t>Not Implemented:</w:t>
            </w:r>
            <w:r>
              <w:t xml:space="preserve"> SOP drafted but not yet finalized or disseminated.</w:t>
            </w:r>
          </w:p>
        </w:tc>
      </w:tr>
      <w:tr w:rsidR="00B70CC2" w14:paraId="0C27B0E4" w14:textId="77777777" w:rsidTr="00B70CC2">
        <w:tc>
          <w:tcPr>
            <w:tcW w:w="0" w:type="auto"/>
            <w:hideMark/>
          </w:tcPr>
          <w:p w14:paraId="1CFB0896" w14:textId="77777777" w:rsidR="00B70CC2" w:rsidRDefault="00B70CC2">
            <w:r>
              <w:rPr>
                <w:rStyle w:val="Strong"/>
              </w:rPr>
              <w:t>Forecasting</w:t>
            </w:r>
          </w:p>
        </w:tc>
        <w:tc>
          <w:tcPr>
            <w:tcW w:w="0" w:type="auto"/>
            <w:hideMark/>
          </w:tcPr>
          <w:p w14:paraId="658524F4" w14:textId="77777777" w:rsidR="00B70CC2" w:rsidRDefault="00B70CC2">
            <w:r>
              <w:t>Prioritization not reviewed quarterly</w:t>
            </w:r>
          </w:p>
        </w:tc>
        <w:tc>
          <w:tcPr>
            <w:tcW w:w="0" w:type="auto"/>
            <w:hideMark/>
          </w:tcPr>
          <w:p w14:paraId="3FE782E7" w14:textId="77777777" w:rsidR="00B70CC2" w:rsidRDefault="00B70CC2">
            <w:r>
              <w:t xml:space="preserve">Introduce quarterly prioritization review based on </w:t>
            </w:r>
            <w:r>
              <w:lastRenderedPageBreak/>
              <w:t>consumption trends</w:t>
            </w:r>
          </w:p>
        </w:tc>
        <w:tc>
          <w:tcPr>
            <w:tcW w:w="0" w:type="auto"/>
            <w:hideMark/>
          </w:tcPr>
          <w:p w14:paraId="2F959EBA" w14:textId="77777777" w:rsidR="00B70CC2" w:rsidRDefault="00B70CC2">
            <w:r>
              <w:lastRenderedPageBreak/>
              <w:t>DTC &amp; Pharmacy Unit</w:t>
            </w:r>
          </w:p>
        </w:tc>
        <w:tc>
          <w:tcPr>
            <w:tcW w:w="0" w:type="auto"/>
            <w:hideMark/>
          </w:tcPr>
          <w:p w14:paraId="19F71200" w14:textId="77777777" w:rsidR="00B70CC2" w:rsidRDefault="00B70CC2">
            <w:r>
              <w:t>Quarterly</w:t>
            </w:r>
          </w:p>
        </w:tc>
        <w:tc>
          <w:tcPr>
            <w:tcW w:w="0" w:type="auto"/>
            <w:hideMark/>
          </w:tcPr>
          <w:p w14:paraId="367A47F7" w14:textId="77777777" w:rsidR="00B70CC2" w:rsidRDefault="00B70CC2">
            <w:r>
              <w:rPr>
                <w:rFonts w:ascii="Segoe UI Emoji" w:hAnsi="Segoe UI Emoji" w:cs="Segoe UI Emoji"/>
              </w:rPr>
              <w:t>✅</w:t>
            </w:r>
            <w:r>
              <w:t xml:space="preserve"> </w:t>
            </w:r>
            <w:r>
              <w:rPr>
                <w:rStyle w:val="Emphasis"/>
              </w:rPr>
              <w:t>Implemented:</w:t>
            </w:r>
            <w:r>
              <w:t xml:space="preserve"> Quantification and prioritization conducted; evidence available.</w:t>
            </w:r>
          </w:p>
        </w:tc>
      </w:tr>
      <w:tr w:rsidR="00B70CC2" w14:paraId="4D04E9B8" w14:textId="77777777" w:rsidTr="00B70CC2">
        <w:tc>
          <w:tcPr>
            <w:tcW w:w="0" w:type="auto"/>
            <w:hideMark/>
          </w:tcPr>
          <w:p w14:paraId="69B9CC5A" w14:textId="77777777" w:rsidR="00B70CC2" w:rsidRDefault="00B70CC2">
            <w:r>
              <w:rPr>
                <w:rStyle w:val="Strong"/>
              </w:rPr>
              <w:t>Performance Monitoring</w:t>
            </w:r>
          </w:p>
        </w:tc>
        <w:tc>
          <w:tcPr>
            <w:tcW w:w="0" w:type="auto"/>
            <w:hideMark/>
          </w:tcPr>
          <w:p w14:paraId="17E19B5F" w14:textId="77777777" w:rsidR="00B70CC2" w:rsidRDefault="00B70CC2">
            <w:r>
              <w:t>KPIs not tracked regularly</w:t>
            </w:r>
          </w:p>
        </w:tc>
        <w:tc>
          <w:tcPr>
            <w:tcW w:w="0" w:type="auto"/>
            <w:hideMark/>
          </w:tcPr>
          <w:p w14:paraId="45125CF5" w14:textId="77777777" w:rsidR="00B70CC2" w:rsidRDefault="00B70CC2">
            <w:r>
              <w:t>Initiate simple monthly KPI dashboard (stockout, expiry, delay)</w:t>
            </w:r>
          </w:p>
        </w:tc>
        <w:tc>
          <w:tcPr>
            <w:tcW w:w="0" w:type="auto"/>
            <w:hideMark/>
          </w:tcPr>
          <w:p w14:paraId="6C850DD9" w14:textId="77777777" w:rsidR="00B70CC2" w:rsidRDefault="00B70CC2">
            <w:r>
              <w:t>DTC</w:t>
            </w:r>
          </w:p>
        </w:tc>
        <w:tc>
          <w:tcPr>
            <w:tcW w:w="0" w:type="auto"/>
            <w:hideMark/>
          </w:tcPr>
          <w:p w14:paraId="47713EC9" w14:textId="77777777" w:rsidR="00B70CC2" w:rsidRDefault="00B70CC2">
            <w:r>
              <w:t>Monthly</w:t>
            </w:r>
          </w:p>
        </w:tc>
        <w:tc>
          <w:tcPr>
            <w:tcW w:w="0" w:type="auto"/>
            <w:hideMark/>
          </w:tcPr>
          <w:p w14:paraId="5E826FB9" w14:textId="77777777" w:rsidR="00B70CC2" w:rsidRDefault="00B70CC2">
            <w:r>
              <w:rPr>
                <w:rFonts w:ascii="Segoe UI Emoji" w:hAnsi="Segoe UI Emoji" w:cs="Segoe UI Emoji"/>
              </w:rPr>
              <w:t>❌</w:t>
            </w:r>
            <w:r>
              <w:t xml:space="preserve"> </w:t>
            </w:r>
            <w:r>
              <w:rPr>
                <w:rStyle w:val="Emphasis"/>
              </w:rPr>
              <w:t>Not Implemented:</w:t>
            </w:r>
            <w:r>
              <w:t xml:space="preserve"> KPI dashboard not yet initiated or shared with departments.</w:t>
            </w:r>
          </w:p>
        </w:tc>
      </w:tr>
    </w:tbl>
    <w:p w14:paraId="1EBA44B8" w14:textId="77777777" w:rsidR="00B70CC2" w:rsidRPr="00757666" w:rsidRDefault="00B70CC2" w:rsidP="00757666">
      <w:pPr>
        <w:spacing w:after="0" w:line="240" w:lineRule="auto"/>
        <w:rPr>
          <w:rFonts w:ascii="Rockwell" w:eastAsia="Times New Roman" w:hAnsi="Rockwell" w:cs="Times New Roman"/>
          <w:sz w:val="24"/>
          <w:szCs w:val="24"/>
        </w:rPr>
      </w:pPr>
    </w:p>
    <w:p w14:paraId="072EAE19" w14:textId="214ABF57" w:rsidR="00A019FB" w:rsidRPr="00757666" w:rsidRDefault="00D332C6" w:rsidP="00A019FB">
      <w:pPr>
        <w:spacing w:before="100" w:beforeAutospacing="1" w:after="100" w:afterAutospacing="1" w:line="240" w:lineRule="auto"/>
        <w:outlineLvl w:val="2"/>
        <w:rPr>
          <w:rFonts w:ascii="Rockwell" w:eastAsia="Times New Roman" w:hAnsi="Rockwell" w:cs="Times New Roman"/>
          <w:b/>
          <w:bCs/>
          <w:sz w:val="27"/>
          <w:szCs w:val="27"/>
        </w:rPr>
      </w:pPr>
      <w:bookmarkStart w:id="30" w:name="_Toc202997365"/>
      <w:r>
        <w:rPr>
          <w:rFonts w:ascii="Rockwell" w:eastAsia="Times New Roman" w:hAnsi="Rockwell" w:cs="Times New Roman"/>
          <w:b/>
          <w:bCs/>
          <w:sz w:val="27"/>
          <w:szCs w:val="27"/>
        </w:rPr>
        <w:t>6</w:t>
      </w:r>
      <w:r w:rsidR="00757666" w:rsidRPr="00757666">
        <w:rPr>
          <w:rFonts w:ascii="Rockwell" w:eastAsia="Times New Roman" w:hAnsi="Rockwell" w:cs="Times New Roman"/>
          <w:b/>
          <w:bCs/>
          <w:sz w:val="27"/>
          <w:szCs w:val="27"/>
        </w:rPr>
        <w:t xml:space="preserve">. </w:t>
      </w:r>
      <w:r w:rsidR="00A019FB" w:rsidRPr="00757666">
        <w:rPr>
          <w:rFonts w:ascii="Rockwell" w:eastAsia="Times New Roman" w:hAnsi="Rockwell" w:cs="Times New Roman"/>
          <w:b/>
          <w:bCs/>
          <w:sz w:val="27"/>
          <w:szCs w:val="27"/>
        </w:rPr>
        <w:t>Inefficiency Summary Table (Q1 2016EC)</w:t>
      </w:r>
      <w:bookmarkEnd w:id="30"/>
    </w:p>
    <w:p w14:paraId="720AD4FD" w14:textId="24D9A902" w:rsidR="00757666" w:rsidRPr="00757666" w:rsidRDefault="00757666" w:rsidP="00757666">
      <w:pPr>
        <w:spacing w:before="100" w:beforeAutospacing="1" w:after="100" w:afterAutospacing="1" w:line="240" w:lineRule="auto"/>
        <w:outlineLvl w:val="2"/>
        <w:rPr>
          <w:rFonts w:ascii="Rockwell" w:eastAsia="Times New Roman" w:hAnsi="Rockwell" w:cs="Times New Roman"/>
          <w:b/>
          <w:bCs/>
          <w:sz w:val="27"/>
          <w:szCs w:val="27"/>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2"/>
        <w:gridCol w:w="854"/>
        <w:gridCol w:w="3090"/>
        <w:gridCol w:w="1065"/>
        <w:gridCol w:w="1729"/>
      </w:tblGrid>
      <w:tr w:rsidR="00757666" w:rsidRPr="00757666" w14:paraId="73D01E1B" w14:textId="77777777" w:rsidTr="001065B7">
        <w:trPr>
          <w:tblCellSpacing w:w="15" w:type="dxa"/>
        </w:trPr>
        <w:tc>
          <w:tcPr>
            <w:tcW w:w="0" w:type="auto"/>
            <w:vAlign w:val="center"/>
            <w:hideMark/>
          </w:tcPr>
          <w:p w14:paraId="2499DBAF" w14:textId="77777777" w:rsidR="00757666" w:rsidRPr="00757666" w:rsidRDefault="00757666" w:rsidP="00757666">
            <w:pPr>
              <w:spacing w:after="0" w:line="240" w:lineRule="auto"/>
              <w:jc w:val="center"/>
              <w:rPr>
                <w:rFonts w:ascii="Rockwell" w:eastAsia="Times New Roman" w:hAnsi="Rockwell" w:cs="Times New Roman"/>
                <w:b/>
                <w:bCs/>
                <w:sz w:val="24"/>
                <w:szCs w:val="24"/>
              </w:rPr>
            </w:pPr>
            <w:r w:rsidRPr="00757666">
              <w:rPr>
                <w:rFonts w:ascii="Rockwell" w:eastAsia="Times New Roman" w:hAnsi="Rockwell" w:cs="Times New Roman"/>
                <w:b/>
                <w:bCs/>
                <w:sz w:val="24"/>
                <w:szCs w:val="24"/>
              </w:rPr>
              <w:t>Indicator</w:t>
            </w:r>
          </w:p>
        </w:tc>
        <w:tc>
          <w:tcPr>
            <w:tcW w:w="0" w:type="auto"/>
            <w:vAlign w:val="center"/>
            <w:hideMark/>
          </w:tcPr>
          <w:p w14:paraId="3D8D8019" w14:textId="77777777" w:rsidR="00757666" w:rsidRPr="00757666" w:rsidRDefault="00757666" w:rsidP="00757666">
            <w:pPr>
              <w:spacing w:after="0" w:line="240" w:lineRule="auto"/>
              <w:jc w:val="center"/>
              <w:rPr>
                <w:rFonts w:ascii="Rockwell" w:eastAsia="Times New Roman" w:hAnsi="Rockwell" w:cs="Times New Roman"/>
                <w:b/>
                <w:bCs/>
                <w:sz w:val="24"/>
                <w:szCs w:val="24"/>
              </w:rPr>
            </w:pPr>
            <w:r w:rsidRPr="00757666">
              <w:rPr>
                <w:rFonts w:ascii="Rockwell" w:eastAsia="Times New Roman" w:hAnsi="Rockwell" w:cs="Times New Roman"/>
                <w:b/>
                <w:bCs/>
                <w:sz w:val="24"/>
                <w:szCs w:val="24"/>
              </w:rPr>
              <w:t>Score (%)</w:t>
            </w:r>
          </w:p>
        </w:tc>
        <w:tc>
          <w:tcPr>
            <w:tcW w:w="0" w:type="auto"/>
            <w:vAlign w:val="center"/>
            <w:hideMark/>
          </w:tcPr>
          <w:p w14:paraId="78780968" w14:textId="77777777" w:rsidR="00757666" w:rsidRPr="00757666" w:rsidRDefault="00757666" w:rsidP="00757666">
            <w:pPr>
              <w:spacing w:after="0" w:line="240" w:lineRule="auto"/>
              <w:jc w:val="center"/>
              <w:rPr>
                <w:rFonts w:ascii="Rockwell" w:eastAsia="Times New Roman" w:hAnsi="Rockwell" w:cs="Times New Roman"/>
                <w:b/>
                <w:bCs/>
                <w:sz w:val="24"/>
                <w:szCs w:val="24"/>
              </w:rPr>
            </w:pPr>
            <w:r w:rsidRPr="00757666">
              <w:rPr>
                <w:rFonts w:ascii="Rockwell" w:eastAsia="Times New Roman" w:hAnsi="Rockwell" w:cs="Times New Roman"/>
                <w:b/>
                <w:bCs/>
                <w:sz w:val="24"/>
                <w:szCs w:val="24"/>
              </w:rPr>
              <w:t>Gaps Identified</w:t>
            </w:r>
          </w:p>
        </w:tc>
        <w:tc>
          <w:tcPr>
            <w:tcW w:w="0" w:type="auto"/>
            <w:vAlign w:val="center"/>
            <w:hideMark/>
          </w:tcPr>
          <w:p w14:paraId="300DE22E" w14:textId="77777777" w:rsidR="00757666" w:rsidRPr="00757666" w:rsidRDefault="00757666" w:rsidP="00757666">
            <w:pPr>
              <w:spacing w:after="0" w:line="240" w:lineRule="auto"/>
              <w:jc w:val="center"/>
              <w:rPr>
                <w:rFonts w:ascii="Rockwell" w:eastAsia="Times New Roman" w:hAnsi="Rockwell" w:cs="Times New Roman"/>
                <w:b/>
                <w:bCs/>
                <w:sz w:val="24"/>
                <w:szCs w:val="24"/>
              </w:rPr>
            </w:pPr>
            <w:r w:rsidRPr="00757666">
              <w:rPr>
                <w:rFonts w:ascii="Rockwell" w:eastAsia="Times New Roman" w:hAnsi="Rockwell" w:cs="Times New Roman"/>
                <w:b/>
                <w:bCs/>
                <w:sz w:val="24"/>
                <w:szCs w:val="24"/>
              </w:rPr>
              <w:t>Cost (ETB)</w:t>
            </w:r>
          </w:p>
        </w:tc>
        <w:tc>
          <w:tcPr>
            <w:tcW w:w="0" w:type="auto"/>
            <w:vAlign w:val="center"/>
            <w:hideMark/>
          </w:tcPr>
          <w:p w14:paraId="1FAABAE1" w14:textId="77777777" w:rsidR="00757666" w:rsidRPr="00757666" w:rsidRDefault="00757666" w:rsidP="00757666">
            <w:pPr>
              <w:spacing w:after="0" w:line="240" w:lineRule="auto"/>
              <w:jc w:val="center"/>
              <w:rPr>
                <w:rFonts w:ascii="Rockwell" w:eastAsia="Times New Roman" w:hAnsi="Rockwell" w:cs="Times New Roman"/>
                <w:b/>
                <w:bCs/>
                <w:sz w:val="24"/>
                <w:szCs w:val="24"/>
              </w:rPr>
            </w:pPr>
            <w:r w:rsidRPr="00757666">
              <w:rPr>
                <w:rFonts w:ascii="Rockwell" w:eastAsia="Times New Roman" w:hAnsi="Rockwell" w:cs="Times New Roman"/>
                <w:b/>
                <w:bCs/>
                <w:sz w:val="24"/>
                <w:szCs w:val="24"/>
              </w:rPr>
              <w:t>Contribution (%)</w:t>
            </w:r>
          </w:p>
        </w:tc>
      </w:tr>
      <w:tr w:rsidR="00757666" w:rsidRPr="00757666" w14:paraId="71A8CDCA" w14:textId="77777777" w:rsidTr="001065B7">
        <w:trPr>
          <w:tblCellSpacing w:w="15" w:type="dxa"/>
        </w:trPr>
        <w:tc>
          <w:tcPr>
            <w:tcW w:w="0" w:type="auto"/>
            <w:vAlign w:val="center"/>
            <w:hideMark/>
          </w:tcPr>
          <w:p w14:paraId="121FDFE2"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Procurement Efficiency</w:t>
            </w:r>
          </w:p>
        </w:tc>
        <w:tc>
          <w:tcPr>
            <w:tcW w:w="0" w:type="auto"/>
            <w:vAlign w:val="center"/>
            <w:hideMark/>
          </w:tcPr>
          <w:p w14:paraId="6BDC8E22"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80</w:t>
            </w:r>
          </w:p>
        </w:tc>
        <w:tc>
          <w:tcPr>
            <w:tcW w:w="0" w:type="auto"/>
            <w:vAlign w:val="center"/>
            <w:hideMark/>
          </w:tcPr>
          <w:p w14:paraId="07458E90"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Lack of policy review, process delays</w:t>
            </w:r>
          </w:p>
        </w:tc>
        <w:tc>
          <w:tcPr>
            <w:tcW w:w="0" w:type="auto"/>
            <w:vAlign w:val="center"/>
            <w:hideMark/>
          </w:tcPr>
          <w:p w14:paraId="127AE67C"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5,000</w:t>
            </w:r>
          </w:p>
        </w:tc>
        <w:tc>
          <w:tcPr>
            <w:tcW w:w="0" w:type="auto"/>
            <w:vAlign w:val="center"/>
            <w:hideMark/>
          </w:tcPr>
          <w:p w14:paraId="0FE8D10E"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1.5</w:t>
            </w:r>
          </w:p>
        </w:tc>
      </w:tr>
      <w:tr w:rsidR="00757666" w:rsidRPr="00757666" w14:paraId="57112137" w14:textId="77777777" w:rsidTr="001065B7">
        <w:trPr>
          <w:tblCellSpacing w:w="15" w:type="dxa"/>
        </w:trPr>
        <w:tc>
          <w:tcPr>
            <w:tcW w:w="0" w:type="auto"/>
            <w:vAlign w:val="center"/>
            <w:hideMark/>
          </w:tcPr>
          <w:p w14:paraId="73EBB810"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Inventory Management</w:t>
            </w:r>
          </w:p>
        </w:tc>
        <w:tc>
          <w:tcPr>
            <w:tcW w:w="0" w:type="auto"/>
            <w:vAlign w:val="center"/>
            <w:hideMark/>
          </w:tcPr>
          <w:p w14:paraId="35013D6B"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80</w:t>
            </w:r>
          </w:p>
        </w:tc>
        <w:tc>
          <w:tcPr>
            <w:tcW w:w="0" w:type="auto"/>
            <w:vAlign w:val="center"/>
            <w:hideMark/>
          </w:tcPr>
          <w:p w14:paraId="0B9DF23D"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Inadequate audits, under/overstocking</w:t>
            </w:r>
          </w:p>
        </w:tc>
        <w:tc>
          <w:tcPr>
            <w:tcW w:w="0" w:type="auto"/>
            <w:vAlign w:val="center"/>
            <w:hideMark/>
          </w:tcPr>
          <w:p w14:paraId="4562C2C3"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50,000</w:t>
            </w:r>
          </w:p>
        </w:tc>
        <w:tc>
          <w:tcPr>
            <w:tcW w:w="0" w:type="auto"/>
            <w:vAlign w:val="center"/>
            <w:hideMark/>
          </w:tcPr>
          <w:p w14:paraId="78D679F2"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1.4</w:t>
            </w:r>
          </w:p>
        </w:tc>
      </w:tr>
      <w:tr w:rsidR="00757666" w:rsidRPr="00757666" w14:paraId="60A48AE7" w14:textId="77777777" w:rsidTr="001065B7">
        <w:trPr>
          <w:tblCellSpacing w:w="15" w:type="dxa"/>
        </w:trPr>
        <w:tc>
          <w:tcPr>
            <w:tcW w:w="0" w:type="auto"/>
            <w:vAlign w:val="center"/>
            <w:hideMark/>
          </w:tcPr>
          <w:p w14:paraId="47340ED3"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Demand Forecasting</w:t>
            </w:r>
          </w:p>
        </w:tc>
        <w:tc>
          <w:tcPr>
            <w:tcW w:w="0" w:type="auto"/>
            <w:vAlign w:val="center"/>
            <w:hideMark/>
          </w:tcPr>
          <w:p w14:paraId="3329984F"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100</w:t>
            </w:r>
          </w:p>
        </w:tc>
        <w:tc>
          <w:tcPr>
            <w:tcW w:w="0" w:type="auto"/>
            <w:vAlign w:val="center"/>
            <w:hideMark/>
          </w:tcPr>
          <w:p w14:paraId="5DC4D881"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Prioritization not quarterly reviewed</w:t>
            </w:r>
          </w:p>
        </w:tc>
        <w:tc>
          <w:tcPr>
            <w:tcW w:w="0" w:type="auto"/>
            <w:vAlign w:val="center"/>
            <w:hideMark/>
          </w:tcPr>
          <w:p w14:paraId="63B2A37B"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6,000</w:t>
            </w:r>
          </w:p>
        </w:tc>
        <w:tc>
          <w:tcPr>
            <w:tcW w:w="0" w:type="auto"/>
            <w:vAlign w:val="center"/>
            <w:hideMark/>
          </w:tcPr>
          <w:p w14:paraId="57367E9F"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2.0</w:t>
            </w:r>
          </w:p>
        </w:tc>
      </w:tr>
      <w:tr w:rsidR="00757666" w:rsidRPr="00757666" w14:paraId="0706E266" w14:textId="77777777" w:rsidTr="001065B7">
        <w:trPr>
          <w:tblCellSpacing w:w="15" w:type="dxa"/>
        </w:trPr>
        <w:tc>
          <w:tcPr>
            <w:tcW w:w="0" w:type="auto"/>
            <w:vAlign w:val="center"/>
            <w:hideMark/>
          </w:tcPr>
          <w:p w14:paraId="2371A466"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Supplier &amp; Distribution Performance</w:t>
            </w:r>
          </w:p>
        </w:tc>
        <w:tc>
          <w:tcPr>
            <w:tcW w:w="0" w:type="auto"/>
            <w:vAlign w:val="center"/>
            <w:hideMark/>
          </w:tcPr>
          <w:p w14:paraId="59BCA6C8"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100</w:t>
            </w:r>
          </w:p>
        </w:tc>
        <w:tc>
          <w:tcPr>
            <w:tcW w:w="0" w:type="auto"/>
            <w:vAlign w:val="center"/>
            <w:hideMark/>
          </w:tcPr>
          <w:p w14:paraId="35573CAB"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Discrepancies, limited performance tracking</w:t>
            </w:r>
          </w:p>
        </w:tc>
        <w:tc>
          <w:tcPr>
            <w:tcW w:w="0" w:type="auto"/>
            <w:vAlign w:val="center"/>
            <w:hideMark/>
          </w:tcPr>
          <w:p w14:paraId="6EBF492E"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10,000</w:t>
            </w:r>
          </w:p>
        </w:tc>
        <w:tc>
          <w:tcPr>
            <w:tcW w:w="0" w:type="auto"/>
            <w:vAlign w:val="center"/>
            <w:hideMark/>
          </w:tcPr>
          <w:p w14:paraId="3B675A7B"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1.0</w:t>
            </w:r>
          </w:p>
        </w:tc>
      </w:tr>
      <w:tr w:rsidR="00757666" w:rsidRPr="00757666" w14:paraId="2692AD99" w14:textId="77777777" w:rsidTr="001065B7">
        <w:trPr>
          <w:tblCellSpacing w:w="15" w:type="dxa"/>
        </w:trPr>
        <w:tc>
          <w:tcPr>
            <w:tcW w:w="0" w:type="auto"/>
            <w:vAlign w:val="center"/>
            <w:hideMark/>
          </w:tcPr>
          <w:p w14:paraId="2E2821FF"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Financial Management &amp; Cost Efficiency</w:t>
            </w:r>
          </w:p>
        </w:tc>
        <w:tc>
          <w:tcPr>
            <w:tcW w:w="0" w:type="auto"/>
            <w:vAlign w:val="center"/>
            <w:hideMark/>
          </w:tcPr>
          <w:p w14:paraId="54ACFD4A"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60</w:t>
            </w:r>
          </w:p>
        </w:tc>
        <w:tc>
          <w:tcPr>
            <w:tcW w:w="0" w:type="auto"/>
            <w:vAlign w:val="center"/>
            <w:hideMark/>
          </w:tcPr>
          <w:p w14:paraId="0B7DEEEE"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Lack of cost-saving review mechanisms</w:t>
            </w:r>
          </w:p>
        </w:tc>
        <w:tc>
          <w:tcPr>
            <w:tcW w:w="0" w:type="auto"/>
            <w:vAlign w:val="center"/>
            <w:hideMark/>
          </w:tcPr>
          <w:p w14:paraId="7943DB47"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8,000</w:t>
            </w:r>
          </w:p>
        </w:tc>
        <w:tc>
          <w:tcPr>
            <w:tcW w:w="0" w:type="auto"/>
            <w:vAlign w:val="center"/>
            <w:hideMark/>
          </w:tcPr>
          <w:p w14:paraId="3B402330"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1.2</w:t>
            </w:r>
          </w:p>
        </w:tc>
      </w:tr>
      <w:tr w:rsidR="00757666" w:rsidRPr="00757666" w14:paraId="7E85868C" w14:textId="77777777" w:rsidTr="001065B7">
        <w:trPr>
          <w:tblCellSpacing w:w="15" w:type="dxa"/>
        </w:trPr>
        <w:tc>
          <w:tcPr>
            <w:tcW w:w="0" w:type="auto"/>
            <w:vAlign w:val="center"/>
            <w:hideMark/>
          </w:tcPr>
          <w:p w14:paraId="641A9328"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Monitoring &amp; Reporting</w:t>
            </w:r>
          </w:p>
        </w:tc>
        <w:tc>
          <w:tcPr>
            <w:tcW w:w="0" w:type="auto"/>
            <w:vAlign w:val="center"/>
            <w:hideMark/>
          </w:tcPr>
          <w:p w14:paraId="6A8C57CB"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0</w:t>
            </w:r>
          </w:p>
        </w:tc>
        <w:tc>
          <w:tcPr>
            <w:tcW w:w="0" w:type="auto"/>
            <w:vAlign w:val="center"/>
            <w:hideMark/>
          </w:tcPr>
          <w:p w14:paraId="25110706"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No KPI review or documentation</w:t>
            </w:r>
          </w:p>
        </w:tc>
        <w:tc>
          <w:tcPr>
            <w:tcW w:w="0" w:type="auto"/>
            <w:vAlign w:val="center"/>
            <w:hideMark/>
          </w:tcPr>
          <w:p w14:paraId="194749D3"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10,000</w:t>
            </w:r>
          </w:p>
        </w:tc>
        <w:tc>
          <w:tcPr>
            <w:tcW w:w="0" w:type="auto"/>
            <w:vAlign w:val="center"/>
            <w:hideMark/>
          </w:tcPr>
          <w:p w14:paraId="5EE7D28E"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1.3</w:t>
            </w:r>
          </w:p>
        </w:tc>
      </w:tr>
      <w:tr w:rsidR="00757666" w:rsidRPr="00757666" w14:paraId="251BCDCE" w14:textId="77777777" w:rsidTr="001065B7">
        <w:trPr>
          <w:tblCellSpacing w:w="15" w:type="dxa"/>
        </w:trPr>
        <w:tc>
          <w:tcPr>
            <w:tcW w:w="0" w:type="auto"/>
            <w:vAlign w:val="center"/>
            <w:hideMark/>
          </w:tcPr>
          <w:p w14:paraId="63879774"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Technology &amp; System Integration</w:t>
            </w:r>
          </w:p>
        </w:tc>
        <w:tc>
          <w:tcPr>
            <w:tcW w:w="0" w:type="auto"/>
            <w:vAlign w:val="center"/>
            <w:hideMark/>
          </w:tcPr>
          <w:p w14:paraId="63CA1AE0"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0</w:t>
            </w:r>
          </w:p>
        </w:tc>
        <w:tc>
          <w:tcPr>
            <w:tcW w:w="0" w:type="auto"/>
            <w:vAlign w:val="center"/>
            <w:hideMark/>
          </w:tcPr>
          <w:p w14:paraId="5B75E621"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EAPTS not actively used, poor digital literacy</w:t>
            </w:r>
          </w:p>
        </w:tc>
        <w:tc>
          <w:tcPr>
            <w:tcW w:w="0" w:type="auto"/>
            <w:vAlign w:val="center"/>
            <w:hideMark/>
          </w:tcPr>
          <w:p w14:paraId="550A6943"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23,000</w:t>
            </w:r>
          </w:p>
        </w:tc>
        <w:tc>
          <w:tcPr>
            <w:tcW w:w="0" w:type="auto"/>
            <w:vAlign w:val="center"/>
            <w:hideMark/>
          </w:tcPr>
          <w:p w14:paraId="0B75110D"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1.4</w:t>
            </w:r>
          </w:p>
        </w:tc>
      </w:tr>
      <w:tr w:rsidR="00757666" w:rsidRPr="00757666" w14:paraId="26CD0D1B" w14:textId="77777777" w:rsidTr="001065B7">
        <w:trPr>
          <w:tblCellSpacing w:w="15" w:type="dxa"/>
        </w:trPr>
        <w:tc>
          <w:tcPr>
            <w:tcW w:w="0" w:type="auto"/>
            <w:vAlign w:val="center"/>
            <w:hideMark/>
          </w:tcPr>
          <w:p w14:paraId="36B32683"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Communication &amp; Coordination</w:t>
            </w:r>
          </w:p>
        </w:tc>
        <w:tc>
          <w:tcPr>
            <w:tcW w:w="0" w:type="auto"/>
            <w:vAlign w:val="center"/>
            <w:hideMark/>
          </w:tcPr>
          <w:p w14:paraId="11D93ECB"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0</w:t>
            </w:r>
          </w:p>
        </w:tc>
        <w:tc>
          <w:tcPr>
            <w:tcW w:w="0" w:type="auto"/>
            <w:vAlign w:val="center"/>
            <w:hideMark/>
          </w:tcPr>
          <w:p w14:paraId="564AA4FF"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Poor link between clinical and store units</w:t>
            </w:r>
          </w:p>
        </w:tc>
        <w:tc>
          <w:tcPr>
            <w:tcW w:w="0" w:type="auto"/>
            <w:vAlign w:val="center"/>
            <w:hideMark/>
          </w:tcPr>
          <w:p w14:paraId="08A8ADC5"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10,000</w:t>
            </w:r>
          </w:p>
        </w:tc>
        <w:tc>
          <w:tcPr>
            <w:tcW w:w="0" w:type="auto"/>
            <w:vAlign w:val="center"/>
            <w:hideMark/>
          </w:tcPr>
          <w:p w14:paraId="4A1F1DF5"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1.5</w:t>
            </w:r>
          </w:p>
        </w:tc>
      </w:tr>
      <w:tr w:rsidR="00757666" w:rsidRPr="00757666" w14:paraId="48D747DD" w14:textId="77777777" w:rsidTr="001065B7">
        <w:trPr>
          <w:tblCellSpacing w:w="15" w:type="dxa"/>
        </w:trPr>
        <w:tc>
          <w:tcPr>
            <w:tcW w:w="0" w:type="auto"/>
            <w:vAlign w:val="center"/>
            <w:hideMark/>
          </w:tcPr>
          <w:p w14:paraId="237C9B21"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Waste Reduction</w:t>
            </w:r>
          </w:p>
        </w:tc>
        <w:tc>
          <w:tcPr>
            <w:tcW w:w="0" w:type="auto"/>
            <w:vAlign w:val="center"/>
            <w:hideMark/>
          </w:tcPr>
          <w:p w14:paraId="7E57FE0D"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85</w:t>
            </w:r>
          </w:p>
        </w:tc>
        <w:tc>
          <w:tcPr>
            <w:tcW w:w="0" w:type="auto"/>
            <w:vAlign w:val="center"/>
            <w:hideMark/>
          </w:tcPr>
          <w:p w14:paraId="10BA3A5A"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Limited recycling or separation</w:t>
            </w:r>
          </w:p>
        </w:tc>
        <w:tc>
          <w:tcPr>
            <w:tcW w:w="0" w:type="auto"/>
            <w:vAlign w:val="center"/>
            <w:hideMark/>
          </w:tcPr>
          <w:p w14:paraId="535D4B76"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3,000</w:t>
            </w:r>
          </w:p>
        </w:tc>
        <w:tc>
          <w:tcPr>
            <w:tcW w:w="0" w:type="auto"/>
            <w:vAlign w:val="center"/>
            <w:hideMark/>
          </w:tcPr>
          <w:p w14:paraId="3D24D39F"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1.3</w:t>
            </w:r>
          </w:p>
        </w:tc>
      </w:tr>
      <w:tr w:rsidR="00757666" w:rsidRPr="00757666" w14:paraId="2DD1D107" w14:textId="77777777" w:rsidTr="001065B7">
        <w:trPr>
          <w:tblCellSpacing w:w="15" w:type="dxa"/>
        </w:trPr>
        <w:tc>
          <w:tcPr>
            <w:tcW w:w="0" w:type="auto"/>
            <w:vAlign w:val="center"/>
            <w:hideMark/>
          </w:tcPr>
          <w:p w14:paraId="05ECBF9B"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Storage Practice</w:t>
            </w:r>
          </w:p>
        </w:tc>
        <w:tc>
          <w:tcPr>
            <w:tcW w:w="0" w:type="auto"/>
            <w:vAlign w:val="center"/>
            <w:hideMark/>
          </w:tcPr>
          <w:p w14:paraId="667F5A60"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90</w:t>
            </w:r>
          </w:p>
        </w:tc>
        <w:tc>
          <w:tcPr>
            <w:tcW w:w="0" w:type="auto"/>
            <w:vAlign w:val="center"/>
            <w:hideMark/>
          </w:tcPr>
          <w:p w14:paraId="3EBAF023"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Poor layout, no stock rotation</w:t>
            </w:r>
          </w:p>
        </w:tc>
        <w:tc>
          <w:tcPr>
            <w:tcW w:w="0" w:type="auto"/>
            <w:vAlign w:val="center"/>
            <w:hideMark/>
          </w:tcPr>
          <w:p w14:paraId="249B51B2"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1,000</w:t>
            </w:r>
          </w:p>
        </w:tc>
        <w:tc>
          <w:tcPr>
            <w:tcW w:w="0" w:type="auto"/>
            <w:vAlign w:val="center"/>
            <w:hideMark/>
          </w:tcPr>
          <w:p w14:paraId="7599F17A"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1.6</w:t>
            </w:r>
          </w:p>
        </w:tc>
      </w:tr>
      <w:tr w:rsidR="00757666" w:rsidRPr="00757666" w14:paraId="48F4FC0C" w14:textId="77777777" w:rsidTr="001065B7">
        <w:trPr>
          <w:tblCellSpacing w:w="15" w:type="dxa"/>
        </w:trPr>
        <w:tc>
          <w:tcPr>
            <w:tcW w:w="0" w:type="auto"/>
            <w:vAlign w:val="center"/>
            <w:hideMark/>
          </w:tcPr>
          <w:p w14:paraId="654CCF2F"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Dispensing Practice</w:t>
            </w:r>
          </w:p>
        </w:tc>
        <w:tc>
          <w:tcPr>
            <w:tcW w:w="0" w:type="auto"/>
            <w:vAlign w:val="center"/>
            <w:hideMark/>
          </w:tcPr>
          <w:p w14:paraId="4EB52F84"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90</w:t>
            </w:r>
          </w:p>
        </w:tc>
        <w:tc>
          <w:tcPr>
            <w:tcW w:w="0" w:type="auto"/>
            <w:vAlign w:val="center"/>
            <w:hideMark/>
          </w:tcPr>
          <w:p w14:paraId="17ECB4F2"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Poor documentation, no barcode/label check</w:t>
            </w:r>
          </w:p>
        </w:tc>
        <w:tc>
          <w:tcPr>
            <w:tcW w:w="0" w:type="auto"/>
            <w:vAlign w:val="center"/>
            <w:hideMark/>
          </w:tcPr>
          <w:p w14:paraId="6EE66128"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2,000</w:t>
            </w:r>
          </w:p>
        </w:tc>
        <w:tc>
          <w:tcPr>
            <w:tcW w:w="0" w:type="auto"/>
            <w:vAlign w:val="center"/>
            <w:hideMark/>
          </w:tcPr>
          <w:p w14:paraId="172A330B"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1.7</w:t>
            </w:r>
          </w:p>
        </w:tc>
      </w:tr>
      <w:tr w:rsidR="00757666" w:rsidRPr="00757666" w14:paraId="3E1CCD1B" w14:textId="77777777" w:rsidTr="001065B7">
        <w:trPr>
          <w:tblCellSpacing w:w="15" w:type="dxa"/>
        </w:trPr>
        <w:tc>
          <w:tcPr>
            <w:tcW w:w="0" w:type="auto"/>
            <w:vAlign w:val="center"/>
            <w:hideMark/>
          </w:tcPr>
          <w:p w14:paraId="79762409"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b/>
                <w:bCs/>
                <w:sz w:val="24"/>
                <w:szCs w:val="24"/>
              </w:rPr>
              <w:t>Total</w:t>
            </w:r>
          </w:p>
        </w:tc>
        <w:tc>
          <w:tcPr>
            <w:tcW w:w="0" w:type="auto"/>
            <w:vAlign w:val="center"/>
            <w:hideMark/>
          </w:tcPr>
          <w:p w14:paraId="445158A4"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w:t>
            </w:r>
          </w:p>
        </w:tc>
        <w:tc>
          <w:tcPr>
            <w:tcW w:w="0" w:type="auto"/>
            <w:vAlign w:val="center"/>
            <w:hideMark/>
          </w:tcPr>
          <w:p w14:paraId="7FC270A7" w14:textId="77777777" w:rsidR="00757666" w:rsidRPr="00757666" w:rsidRDefault="00757666" w:rsidP="00757666">
            <w:pPr>
              <w:spacing w:after="0" w:line="240" w:lineRule="auto"/>
              <w:rPr>
                <w:rFonts w:ascii="Rockwell" w:eastAsia="Times New Roman" w:hAnsi="Rockwell" w:cs="Times New Roman"/>
                <w:sz w:val="24"/>
                <w:szCs w:val="24"/>
              </w:rPr>
            </w:pPr>
          </w:p>
        </w:tc>
        <w:tc>
          <w:tcPr>
            <w:tcW w:w="0" w:type="auto"/>
            <w:vAlign w:val="center"/>
            <w:hideMark/>
          </w:tcPr>
          <w:p w14:paraId="6168B824"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b/>
                <w:bCs/>
                <w:sz w:val="24"/>
                <w:szCs w:val="24"/>
              </w:rPr>
              <w:t>128,000</w:t>
            </w:r>
          </w:p>
        </w:tc>
        <w:tc>
          <w:tcPr>
            <w:tcW w:w="0" w:type="auto"/>
            <w:vAlign w:val="center"/>
            <w:hideMark/>
          </w:tcPr>
          <w:p w14:paraId="096D387D"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b/>
                <w:bCs/>
                <w:sz w:val="24"/>
                <w:szCs w:val="24"/>
              </w:rPr>
              <w:t>21.0</w:t>
            </w:r>
          </w:p>
        </w:tc>
      </w:tr>
    </w:tbl>
    <w:p w14:paraId="40943F13" w14:textId="3473EA49" w:rsidR="008C13B0"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pict w14:anchorId="010DF8BB">
          <v:rect id="_x0000_i1031" style="width:0;height:1.5pt" o:hralign="center" o:hrstd="t" o:hr="t" fillcolor="#a0a0a0" stroked="f"/>
        </w:pict>
      </w:r>
    </w:p>
    <w:p w14:paraId="6D6D9D78" w14:textId="62716B46" w:rsidR="008C13B0" w:rsidRDefault="008C13B0" w:rsidP="00757666">
      <w:pPr>
        <w:spacing w:after="0" w:line="240" w:lineRule="auto"/>
        <w:rPr>
          <w:rFonts w:ascii="Rockwell" w:eastAsia="Times New Roman" w:hAnsi="Rockwell" w:cs="Times New Roman"/>
          <w:sz w:val="24"/>
          <w:szCs w:val="24"/>
        </w:rPr>
      </w:pPr>
    </w:p>
    <w:p w14:paraId="342D4781" w14:textId="1AE44196" w:rsidR="008C13B0" w:rsidRDefault="008C13B0" w:rsidP="00757666">
      <w:pPr>
        <w:spacing w:after="0" w:line="240" w:lineRule="auto"/>
        <w:rPr>
          <w:rFonts w:ascii="Rockwell" w:eastAsia="Times New Roman" w:hAnsi="Rockwell" w:cs="Times New Roman"/>
          <w:sz w:val="24"/>
          <w:szCs w:val="24"/>
        </w:rPr>
      </w:pPr>
    </w:p>
    <w:p w14:paraId="41B4DEE6" w14:textId="3F037289" w:rsidR="008C13B0" w:rsidRDefault="008C13B0" w:rsidP="00757666">
      <w:pPr>
        <w:spacing w:after="0" w:line="240" w:lineRule="auto"/>
        <w:rPr>
          <w:rFonts w:ascii="Rockwell" w:eastAsia="Times New Roman" w:hAnsi="Rockwell" w:cs="Times New Roman"/>
          <w:sz w:val="24"/>
          <w:szCs w:val="24"/>
        </w:rPr>
      </w:pPr>
      <w:r>
        <w:rPr>
          <w:rFonts w:ascii="Rockwell" w:eastAsia="Times New Roman" w:hAnsi="Rockwell" w:cs="Times New Roman"/>
          <w:sz w:val="24"/>
          <w:szCs w:val="24"/>
        </w:rPr>
        <w:lastRenderedPageBreak/>
        <w:t xml:space="preserve">Figure </w:t>
      </w:r>
      <w:proofErr w:type="gramStart"/>
      <w:r>
        <w:rPr>
          <w:rFonts w:ascii="Rockwell" w:eastAsia="Times New Roman" w:hAnsi="Rockwell" w:cs="Times New Roman"/>
          <w:sz w:val="24"/>
          <w:szCs w:val="24"/>
        </w:rPr>
        <w:t>1 ;</w:t>
      </w:r>
      <w:proofErr w:type="gramEnd"/>
      <w:r>
        <w:rPr>
          <w:rFonts w:ascii="Rockwell" w:eastAsia="Times New Roman" w:hAnsi="Rockwell" w:cs="Times New Roman"/>
          <w:sz w:val="24"/>
          <w:szCs w:val="24"/>
        </w:rPr>
        <w:t xml:space="preserve"> Supply chain inefficiency rate  quarter 2, 2016 EC</w:t>
      </w:r>
    </w:p>
    <w:p w14:paraId="024DD3DB" w14:textId="7EC5231D" w:rsidR="008C13B0" w:rsidRDefault="008C13B0" w:rsidP="00757666">
      <w:pPr>
        <w:spacing w:after="0" w:line="240" w:lineRule="auto"/>
        <w:rPr>
          <w:rFonts w:ascii="Rockwell" w:eastAsia="Times New Roman" w:hAnsi="Rockwell" w:cs="Times New Roman"/>
          <w:sz w:val="24"/>
          <w:szCs w:val="24"/>
        </w:rPr>
      </w:pPr>
    </w:p>
    <w:p w14:paraId="6BE11655" w14:textId="68B7383A" w:rsidR="008C13B0" w:rsidRDefault="008C13B0" w:rsidP="00757666">
      <w:pPr>
        <w:spacing w:after="0" w:line="240" w:lineRule="auto"/>
        <w:rPr>
          <w:rFonts w:ascii="Rockwell" w:eastAsia="Times New Roman" w:hAnsi="Rockwell" w:cs="Times New Roman"/>
          <w:sz w:val="24"/>
          <w:szCs w:val="24"/>
        </w:rPr>
      </w:pPr>
      <w:r>
        <w:rPr>
          <w:noProof/>
        </w:rPr>
        <w:drawing>
          <wp:inline distT="0" distB="0" distL="0" distR="0" wp14:anchorId="57F4FA23" wp14:editId="1500A1C9">
            <wp:extent cx="5924550" cy="6429375"/>
            <wp:effectExtent l="0" t="0" r="0" b="9525"/>
            <wp:docPr id="6" name="Chart 6">
              <a:extLst xmlns:a="http://schemas.openxmlformats.org/drawingml/2006/main">
                <a:ext uri="{FF2B5EF4-FFF2-40B4-BE49-F238E27FC236}">
                  <a16:creationId xmlns:a16="http://schemas.microsoft.com/office/drawing/2014/main" id="{9DCBEAAF-188D-420E-A218-CADB1FEECC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339BE18" w14:textId="544B5E08" w:rsidR="008C13B0" w:rsidRDefault="008C13B0" w:rsidP="00757666">
      <w:pPr>
        <w:spacing w:after="0" w:line="240" w:lineRule="auto"/>
        <w:rPr>
          <w:rFonts w:ascii="Rockwell" w:eastAsia="Times New Roman" w:hAnsi="Rockwell" w:cs="Times New Roman"/>
          <w:sz w:val="24"/>
          <w:szCs w:val="24"/>
        </w:rPr>
      </w:pPr>
    </w:p>
    <w:p w14:paraId="6A6333B8" w14:textId="7AC3F960" w:rsidR="008C13B0" w:rsidRDefault="008C13B0" w:rsidP="00757666">
      <w:pPr>
        <w:spacing w:after="0" w:line="240" w:lineRule="auto"/>
        <w:rPr>
          <w:rFonts w:ascii="Rockwell" w:eastAsia="Times New Roman" w:hAnsi="Rockwell" w:cs="Times New Roman"/>
          <w:sz w:val="24"/>
          <w:szCs w:val="24"/>
        </w:rPr>
      </w:pPr>
    </w:p>
    <w:p w14:paraId="4B42C86B" w14:textId="3B066D65" w:rsidR="008C13B0" w:rsidRDefault="008C13B0" w:rsidP="00757666">
      <w:pPr>
        <w:spacing w:after="0" w:line="240" w:lineRule="auto"/>
        <w:rPr>
          <w:rFonts w:ascii="Rockwell" w:eastAsia="Times New Roman" w:hAnsi="Rockwell" w:cs="Times New Roman"/>
          <w:sz w:val="24"/>
          <w:szCs w:val="24"/>
        </w:rPr>
      </w:pPr>
    </w:p>
    <w:p w14:paraId="009F8F51" w14:textId="137771ED" w:rsidR="008C13B0" w:rsidRDefault="008C13B0" w:rsidP="00757666">
      <w:pPr>
        <w:spacing w:after="0" w:line="240" w:lineRule="auto"/>
        <w:rPr>
          <w:rFonts w:ascii="Rockwell" w:eastAsia="Times New Roman" w:hAnsi="Rockwell" w:cs="Times New Roman"/>
          <w:sz w:val="24"/>
          <w:szCs w:val="24"/>
        </w:rPr>
      </w:pPr>
    </w:p>
    <w:p w14:paraId="685A553E" w14:textId="6C818F85" w:rsidR="008C13B0" w:rsidRDefault="008C13B0" w:rsidP="00757666">
      <w:pPr>
        <w:spacing w:after="0" w:line="240" w:lineRule="auto"/>
        <w:rPr>
          <w:rFonts w:ascii="Rockwell" w:eastAsia="Times New Roman" w:hAnsi="Rockwell" w:cs="Times New Roman"/>
          <w:sz w:val="24"/>
          <w:szCs w:val="24"/>
        </w:rPr>
      </w:pPr>
    </w:p>
    <w:p w14:paraId="416BD442" w14:textId="77777777" w:rsidR="008C13B0" w:rsidRPr="00757666" w:rsidRDefault="008C13B0" w:rsidP="00757666">
      <w:pPr>
        <w:spacing w:after="0" w:line="240" w:lineRule="auto"/>
        <w:rPr>
          <w:rFonts w:ascii="Rockwell" w:eastAsia="Times New Roman" w:hAnsi="Rockwell" w:cs="Times New Roman"/>
          <w:sz w:val="24"/>
          <w:szCs w:val="24"/>
        </w:rPr>
      </w:pPr>
    </w:p>
    <w:p w14:paraId="6C73A107" w14:textId="6CD1F063" w:rsidR="00757666" w:rsidRPr="00757666" w:rsidRDefault="00717130" w:rsidP="00757666">
      <w:pPr>
        <w:spacing w:before="100" w:beforeAutospacing="1" w:after="100" w:afterAutospacing="1" w:line="240" w:lineRule="auto"/>
        <w:outlineLvl w:val="2"/>
        <w:rPr>
          <w:rFonts w:ascii="Rockwell" w:eastAsia="Times New Roman" w:hAnsi="Rockwell" w:cs="Times New Roman"/>
          <w:b/>
          <w:bCs/>
          <w:sz w:val="27"/>
          <w:szCs w:val="27"/>
        </w:rPr>
      </w:pPr>
      <w:bookmarkStart w:id="31" w:name="_Toc202997366"/>
      <w:r>
        <w:rPr>
          <w:rFonts w:ascii="Rockwell" w:eastAsia="Times New Roman" w:hAnsi="Rockwell" w:cs="Times New Roman"/>
          <w:b/>
          <w:bCs/>
          <w:sz w:val="27"/>
          <w:szCs w:val="27"/>
        </w:rPr>
        <w:lastRenderedPageBreak/>
        <w:t>7</w:t>
      </w:r>
      <w:r w:rsidR="00757666" w:rsidRPr="00757666">
        <w:rPr>
          <w:rFonts w:ascii="Rockwell" w:eastAsia="Times New Roman" w:hAnsi="Rockwell" w:cs="Times New Roman"/>
          <w:b/>
          <w:bCs/>
          <w:sz w:val="27"/>
          <w:szCs w:val="27"/>
        </w:rPr>
        <w:t>. Risk Assessment</w:t>
      </w:r>
      <w:bookmarkEnd w:id="31"/>
    </w:p>
    <w:p w14:paraId="2AF576DD" w14:textId="77777777" w:rsidR="00757666" w:rsidRPr="00757666" w:rsidRDefault="00757666" w:rsidP="00757666">
      <w:pPr>
        <w:numPr>
          <w:ilvl w:val="0"/>
          <w:numId w:val="4"/>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b/>
          <w:bCs/>
          <w:sz w:val="24"/>
          <w:szCs w:val="24"/>
        </w:rPr>
        <w:t>Operational Delays:</w:t>
      </w:r>
      <w:r w:rsidRPr="00757666">
        <w:rPr>
          <w:rFonts w:ascii="Rockwell" w:eastAsia="Times New Roman" w:hAnsi="Rockwell" w:cs="Times New Roman"/>
          <w:sz w:val="24"/>
          <w:szCs w:val="24"/>
        </w:rPr>
        <w:t xml:space="preserve"> Resulting from poor communication and long procurement lead times</w:t>
      </w:r>
    </w:p>
    <w:p w14:paraId="25DDD6BA" w14:textId="77777777" w:rsidR="00757666" w:rsidRPr="00757666" w:rsidRDefault="00757666" w:rsidP="00757666">
      <w:pPr>
        <w:numPr>
          <w:ilvl w:val="0"/>
          <w:numId w:val="4"/>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b/>
          <w:bCs/>
          <w:sz w:val="24"/>
          <w:szCs w:val="24"/>
        </w:rPr>
        <w:t>Inventory Shortages:</w:t>
      </w:r>
      <w:r w:rsidRPr="00757666">
        <w:rPr>
          <w:rFonts w:ascii="Rockwell" w:eastAsia="Times New Roman" w:hAnsi="Rockwell" w:cs="Times New Roman"/>
          <w:sz w:val="24"/>
          <w:szCs w:val="24"/>
        </w:rPr>
        <w:t xml:space="preserve"> Due to missed prioritization</w:t>
      </w:r>
    </w:p>
    <w:p w14:paraId="4A835A43" w14:textId="77777777" w:rsidR="00757666" w:rsidRPr="00757666" w:rsidRDefault="00757666" w:rsidP="00757666">
      <w:pPr>
        <w:numPr>
          <w:ilvl w:val="0"/>
          <w:numId w:val="4"/>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b/>
          <w:bCs/>
          <w:sz w:val="24"/>
          <w:szCs w:val="24"/>
        </w:rPr>
        <w:t>Non-compliance Risks:</w:t>
      </w:r>
      <w:r w:rsidRPr="00757666">
        <w:rPr>
          <w:rFonts w:ascii="Rockwell" w:eastAsia="Times New Roman" w:hAnsi="Rockwell" w:cs="Times New Roman"/>
          <w:sz w:val="24"/>
          <w:szCs w:val="24"/>
        </w:rPr>
        <w:t xml:space="preserve"> Absence of updated SOPs and policy reviews</w:t>
      </w:r>
    </w:p>
    <w:p w14:paraId="5DBA8546" w14:textId="119B9816" w:rsidR="00757666" w:rsidRPr="00757666" w:rsidRDefault="00757666" w:rsidP="00DF0CEE">
      <w:pPr>
        <w:numPr>
          <w:ilvl w:val="0"/>
          <w:numId w:val="4"/>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b/>
          <w:bCs/>
          <w:sz w:val="24"/>
          <w:szCs w:val="24"/>
        </w:rPr>
        <w:t>Financial Wastage:</w:t>
      </w:r>
      <w:r w:rsidRPr="00757666">
        <w:rPr>
          <w:rFonts w:ascii="Rockwell" w:eastAsia="Times New Roman" w:hAnsi="Rockwell" w:cs="Times New Roman"/>
          <w:sz w:val="24"/>
          <w:szCs w:val="24"/>
        </w:rPr>
        <w:t xml:space="preserve"> Inefficiencies in procurement and poor monitoring lead to uncontrolled cost</w:t>
      </w:r>
      <w:r w:rsidRPr="00757666">
        <w:rPr>
          <w:rFonts w:ascii="Rockwell" w:eastAsia="Times New Roman" w:hAnsi="Rockwell" w:cs="Times New Roman"/>
          <w:sz w:val="24"/>
          <w:szCs w:val="24"/>
        </w:rPr>
        <w:pict w14:anchorId="30BB1754">
          <v:rect id="_x0000_i1033" style="width:0;height:1.5pt" o:hralign="center" o:hrstd="t" o:hr="t" fillcolor="#a0a0a0" stroked="f"/>
        </w:pict>
      </w:r>
    </w:p>
    <w:p w14:paraId="5797B4EE" w14:textId="77777777" w:rsidR="00757666" w:rsidRPr="00757666" w:rsidRDefault="00757666" w:rsidP="00757666">
      <w:pPr>
        <w:spacing w:before="100" w:beforeAutospacing="1" w:after="100" w:afterAutospacing="1" w:line="240" w:lineRule="auto"/>
        <w:outlineLvl w:val="2"/>
        <w:rPr>
          <w:rFonts w:ascii="Rockwell" w:eastAsia="Times New Roman" w:hAnsi="Rockwell" w:cs="Times New Roman"/>
          <w:b/>
          <w:bCs/>
          <w:sz w:val="27"/>
          <w:szCs w:val="27"/>
        </w:rPr>
      </w:pPr>
      <w:bookmarkStart w:id="32" w:name="_Toc202997367"/>
      <w:r w:rsidRPr="00757666">
        <w:rPr>
          <w:rFonts w:ascii="Rockwell" w:eastAsia="Times New Roman" w:hAnsi="Rockwell" w:cs="Times New Roman"/>
          <w:b/>
          <w:bCs/>
          <w:sz w:val="27"/>
          <w:szCs w:val="27"/>
        </w:rPr>
        <w:t>8. Discussion</w:t>
      </w:r>
      <w:bookmarkEnd w:id="32"/>
    </w:p>
    <w:p w14:paraId="7204FAE1" w14:textId="77777777" w:rsidR="00757666" w:rsidRPr="00757666" w:rsidRDefault="00757666" w:rsidP="00757666">
      <w:p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EAPTS is functional but under-utilized for analytics and reporting. Monitoring and communication remain critical gaps, with 0% performance in KPI tracking and inter-department collaboration. Procurement efficiency has slightly improved due to early partial review activities, but inconsistencies persist.</w:t>
      </w:r>
    </w:p>
    <w:p w14:paraId="44198392" w14:textId="77777777" w:rsidR="00757666" w:rsidRPr="00757666" w:rsidRDefault="00757666" w:rsidP="00757666">
      <w:p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Supplier engagement is still ad hoc. Waste and dispensing practices improved, likely due to prior quarter audits and SOP refresher sessions. However, without ongoing review and digital tracking, gains may not be sustainable.</w:t>
      </w:r>
    </w:p>
    <w:p w14:paraId="1E67FC0A" w14:textId="5B36CDCC"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pict w14:anchorId="42530C46">
          <v:rect id="_x0000_i1035" style="width:0;height:1.5pt" o:hralign="center" o:hrstd="t" o:hr="t" fillcolor="#a0a0a0" stroked="f"/>
        </w:pict>
      </w:r>
    </w:p>
    <w:p w14:paraId="163CCA6D" w14:textId="01D2ACBC" w:rsidR="00757666" w:rsidRPr="00757666" w:rsidRDefault="00717130" w:rsidP="00757666">
      <w:pPr>
        <w:spacing w:before="100" w:beforeAutospacing="1" w:after="100" w:afterAutospacing="1" w:line="240" w:lineRule="auto"/>
        <w:outlineLvl w:val="2"/>
        <w:rPr>
          <w:rFonts w:ascii="Rockwell" w:eastAsia="Times New Roman" w:hAnsi="Rockwell" w:cs="Times New Roman"/>
          <w:b/>
          <w:bCs/>
          <w:sz w:val="27"/>
          <w:szCs w:val="27"/>
        </w:rPr>
      </w:pPr>
      <w:bookmarkStart w:id="33" w:name="_Toc202997368"/>
      <w:r>
        <w:rPr>
          <w:rFonts w:ascii="Rockwell" w:eastAsia="Times New Roman" w:hAnsi="Rockwell" w:cs="Times New Roman"/>
          <w:b/>
          <w:bCs/>
          <w:sz w:val="27"/>
          <w:szCs w:val="27"/>
        </w:rPr>
        <w:t>9</w:t>
      </w:r>
      <w:r w:rsidR="00757666" w:rsidRPr="00757666">
        <w:rPr>
          <w:rFonts w:ascii="Rockwell" w:eastAsia="Times New Roman" w:hAnsi="Rockwell" w:cs="Times New Roman"/>
          <w:b/>
          <w:bCs/>
          <w:sz w:val="27"/>
          <w:szCs w:val="27"/>
        </w:rPr>
        <w:t>. Action Plan (Q2 2016EC)</w:t>
      </w:r>
      <w:bookmarkEnd w:id="3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2"/>
        <w:gridCol w:w="1794"/>
        <w:gridCol w:w="2583"/>
        <w:gridCol w:w="1675"/>
        <w:gridCol w:w="1166"/>
      </w:tblGrid>
      <w:tr w:rsidR="00757666" w:rsidRPr="00757666" w14:paraId="65D1D4CD" w14:textId="77777777" w:rsidTr="00EE7B9B">
        <w:trPr>
          <w:tblCellSpacing w:w="15" w:type="dxa"/>
        </w:trPr>
        <w:tc>
          <w:tcPr>
            <w:tcW w:w="0" w:type="auto"/>
            <w:vAlign w:val="center"/>
            <w:hideMark/>
          </w:tcPr>
          <w:p w14:paraId="352E7351"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Identified Gap</w:t>
            </w:r>
          </w:p>
        </w:tc>
        <w:tc>
          <w:tcPr>
            <w:tcW w:w="0" w:type="auto"/>
            <w:vAlign w:val="center"/>
            <w:hideMark/>
          </w:tcPr>
          <w:p w14:paraId="520ABB59"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Root Cause</w:t>
            </w:r>
          </w:p>
        </w:tc>
        <w:tc>
          <w:tcPr>
            <w:tcW w:w="0" w:type="auto"/>
            <w:vAlign w:val="center"/>
            <w:hideMark/>
          </w:tcPr>
          <w:p w14:paraId="00C225C5"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Strategic Intervention</w:t>
            </w:r>
          </w:p>
        </w:tc>
        <w:tc>
          <w:tcPr>
            <w:tcW w:w="0" w:type="auto"/>
            <w:vAlign w:val="center"/>
            <w:hideMark/>
          </w:tcPr>
          <w:p w14:paraId="332FA147"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Responsible Unit</w:t>
            </w:r>
          </w:p>
        </w:tc>
        <w:tc>
          <w:tcPr>
            <w:tcW w:w="0" w:type="auto"/>
            <w:vAlign w:val="center"/>
            <w:hideMark/>
          </w:tcPr>
          <w:p w14:paraId="454AE8CD"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Timeline</w:t>
            </w:r>
          </w:p>
        </w:tc>
      </w:tr>
      <w:tr w:rsidR="00757666" w:rsidRPr="00757666" w14:paraId="4F9A0D67" w14:textId="77777777" w:rsidTr="00EE7B9B">
        <w:trPr>
          <w:tblCellSpacing w:w="15" w:type="dxa"/>
        </w:trPr>
        <w:tc>
          <w:tcPr>
            <w:tcW w:w="0" w:type="auto"/>
            <w:vAlign w:val="center"/>
            <w:hideMark/>
          </w:tcPr>
          <w:p w14:paraId="3DDDBA34"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EAPTS under-utilized</w:t>
            </w:r>
          </w:p>
        </w:tc>
        <w:tc>
          <w:tcPr>
            <w:tcW w:w="0" w:type="auto"/>
            <w:vAlign w:val="center"/>
            <w:hideMark/>
          </w:tcPr>
          <w:p w14:paraId="7E3D2EC9"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Lack of training &amp; supervision</w:t>
            </w:r>
          </w:p>
        </w:tc>
        <w:tc>
          <w:tcPr>
            <w:tcW w:w="0" w:type="auto"/>
            <w:vAlign w:val="center"/>
            <w:hideMark/>
          </w:tcPr>
          <w:p w14:paraId="0C38C351"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Monthly EAPTS reviews &amp; accountability loop</w:t>
            </w:r>
          </w:p>
        </w:tc>
        <w:tc>
          <w:tcPr>
            <w:tcW w:w="0" w:type="auto"/>
            <w:vAlign w:val="center"/>
            <w:hideMark/>
          </w:tcPr>
          <w:p w14:paraId="78A9BC49"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Pharmacy Unit</w:t>
            </w:r>
          </w:p>
        </w:tc>
        <w:tc>
          <w:tcPr>
            <w:tcW w:w="0" w:type="auto"/>
            <w:vAlign w:val="center"/>
            <w:hideMark/>
          </w:tcPr>
          <w:p w14:paraId="22A92FC3"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Monthly</w:t>
            </w:r>
          </w:p>
        </w:tc>
      </w:tr>
      <w:tr w:rsidR="00757666" w:rsidRPr="00757666" w14:paraId="25A0E432" w14:textId="77777777" w:rsidTr="00EE7B9B">
        <w:trPr>
          <w:tblCellSpacing w:w="15" w:type="dxa"/>
        </w:trPr>
        <w:tc>
          <w:tcPr>
            <w:tcW w:w="0" w:type="auto"/>
            <w:vAlign w:val="center"/>
            <w:hideMark/>
          </w:tcPr>
          <w:p w14:paraId="6400FFC8"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Physical count inconsistencies</w:t>
            </w:r>
          </w:p>
        </w:tc>
        <w:tc>
          <w:tcPr>
            <w:tcW w:w="0" w:type="auto"/>
            <w:vAlign w:val="center"/>
            <w:hideMark/>
          </w:tcPr>
          <w:p w14:paraId="156193EB"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No routine audit culture</w:t>
            </w:r>
          </w:p>
        </w:tc>
        <w:tc>
          <w:tcPr>
            <w:tcW w:w="0" w:type="auto"/>
            <w:vAlign w:val="center"/>
            <w:hideMark/>
          </w:tcPr>
          <w:p w14:paraId="5B74664D"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Quarterly audits with pharmacy–store joint team</w:t>
            </w:r>
          </w:p>
        </w:tc>
        <w:tc>
          <w:tcPr>
            <w:tcW w:w="0" w:type="auto"/>
            <w:vAlign w:val="center"/>
            <w:hideMark/>
          </w:tcPr>
          <w:p w14:paraId="1B858033"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Pharmacy &amp; DTC</w:t>
            </w:r>
          </w:p>
        </w:tc>
        <w:tc>
          <w:tcPr>
            <w:tcW w:w="0" w:type="auto"/>
            <w:vAlign w:val="center"/>
            <w:hideMark/>
          </w:tcPr>
          <w:p w14:paraId="6B93F167"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Quarterly</w:t>
            </w:r>
          </w:p>
        </w:tc>
      </w:tr>
      <w:tr w:rsidR="00757666" w:rsidRPr="00757666" w14:paraId="24617467" w14:textId="77777777" w:rsidTr="00EE7B9B">
        <w:trPr>
          <w:tblCellSpacing w:w="15" w:type="dxa"/>
        </w:trPr>
        <w:tc>
          <w:tcPr>
            <w:tcW w:w="0" w:type="auto"/>
            <w:vAlign w:val="center"/>
            <w:hideMark/>
          </w:tcPr>
          <w:p w14:paraId="285F1BAC"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No procurement review</w:t>
            </w:r>
          </w:p>
        </w:tc>
        <w:tc>
          <w:tcPr>
            <w:tcW w:w="0" w:type="auto"/>
            <w:vAlign w:val="center"/>
            <w:hideMark/>
          </w:tcPr>
          <w:p w14:paraId="63B5503A"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Weak oversight</w:t>
            </w:r>
          </w:p>
        </w:tc>
        <w:tc>
          <w:tcPr>
            <w:tcW w:w="0" w:type="auto"/>
            <w:vAlign w:val="center"/>
            <w:hideMark/>
          </w:tcPr>
          <w:p w14:paraId="3DD3AA7F"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Structured monthly procurement review meetings</w:t>
            </w:r>
          </w:p>
        </w:tc>
        <w:tc>
          <w:tcPr>
            <w:tcW w:w="0" w:type="auto"/>
            <w:vAlign w:val="center"/>
            <w:hideMark/>
          </w:tcPr>
          <w:p w14:paraId="7C40936A"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DTC &amp; Procurement</w:t>
            </w:r>
          </w:p>
        </w:tc>
        <w:tc>
          <w:tcPr>
            <w:tcW w:w="0" w:type="auto"/>
            <w:vAlign w:val="center"/>
            <w:hideMark/>
          </w:tcPr>
          <w:p w14:paraId="54643C12"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Monthly</w:t>
            </w:r>
          </w:p>
        </w:tc>
      </w:tr>
      <w:tr w:rsidR="00757666" w:rsidRPr="00757666" w14:paraId="57D9337D" w14:textId="77777777" w:rsidTr="00EE7B9B">
        <w:trPr>
          <w:tblCellSpacing w:w="15" w:type="dxa"/>
        </w:trPr>
        <w:tc>
          <w:tcPr>
            <w:tcW w:w="0" w:type="auto"/>
            <w:vAlign w:val="center"/>
            <w:hideMark/>
          </w:tcPr>
          <w:p w14:paraId="49BB628B"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No supplier evaluation</w:t>
            </w:r>
          </w:p>
        </w:tc>
        <w:tc>
          <w:tcPr>
            <w:tcW w:w="0" w:type="auto"/>
            <w:vAlign w:val="center"/>
            <w:hideMark/>
          </w:tcPr>
          <w:p w14:paraId="34C04125"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No scheduled review</w:t>
            </w:r>
          </w:p>
        </w:tc>
        <w:tc>
          <w:tcPr>
            <w:tcW w:w="0" w:type="auto"/>
            <w:vAlign w:val="center"/>
            <w:hideMark/>
          </w:tcPr>
          <w:p w14:paraId="4E8FE954"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Hold biannual supplier roundtable discussions</w:t>
            </w:r>
          </w:p>
        </w:tc>
        <w:tc>
          <w:tcPr>
            <w:tcW w:w="0" w:type="auto"/>
            <w:vAlign w:val="center"/>
            <w:hideMark/>
          </w:tcPr>
          <w:p w14:paraId="01F720E6"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Procurement Office</w:t>
            </w:r>
          </w:p>
        </w:tc>
        <w:tc>
          <w:tcPr>
            <w:tcW w:w="0" w:type="auto"/>
            <w:vAlign w:val="center"/>
            <w:hideMark/>
          </w:tcPr>
          <w:p w14:paraId="00B5C1D2"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Biannual</w:t>
            </w:r>
          </w:p>
        </w:tc>
      </w:tr>
      <w:tr w:rsidR="00757666" w:rsidRPr="00757666" w14:paraId="34B62FC7" w14:textId="77777777" w:rsidTr="00EE7B9B">
        <w:trPr>
          <w:tblCellSpacing w:w="15" w:type="dxa"/>
        </w:trPr>
        <w:tc>
          <w:tcPr>
            <w:tcW w:w="0" w:type="auto"/>
            <w:vAlign w:val="center"/>
            <w:hideMark/>
          </w:tcPr>
          <w:p w14:paraId="4299149A"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Staff unaware of SOPs</w:t>
            </w:r>
          </w:p>
        </w:tc>
        <w:tc>
          <w:tcPr>
            <w:tcW w:w="0" w:type="auto"/>
            <w:vAlign w:val="center"/>
            <w:hideMark/>
          </w:tcPr>
          <w:p w14:paraId="05B828A6"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No refresher trainings</w:t>
            </w:r>
          </w:p>
        </w:tc>
        <w:tc>
          <w:tcPr>
            <w:tcW w:w="0" w:type="auto"/>
            <w:vAlign w:val="center"/>
            <w:hideMark/>
          </w:tcPr>
          <w:p w14:paraId="04FC0D79"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Quarterly on-site SOP and logistics refresher trainings</w:t>
            </w:r>
          </w:p>
        </w:tc>
        <w:tc>
          <w:tcPr>
            <w:tcW w:w="0" w:type="auto"/>
            <w:vAlign w:val="center"/>
            <w:hideMark/>
          </w:tcPr>
          <w:p w14:paraId="549D9207"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SMT &amp; DTC</w:t>
            </w:r>
          </w:p>
        </w:tc>
        <w:tc>
          <w:tcPr>
            <w:tcW w:w="0" w:type="auto"/>
            <w:vAlign w:val="center"/>
            <w:hideMark/>
          </w:tcPr>
          <w:p w14:paraId="3BF803CA"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Quarterly</w:t>
            </w:r>
          </w:p>
        </w:tc>
      </w:tr>
      <w:tr w:rsidR="00757666" w:rsidRPr="00757666" w14:paraId="1C53F67A" w14:textId="77777777" w:rsidTr="00EE7B9B">
        <w:trPr>
          <w:tblCellSpacing w:w="15" w:type="dxa"/>
        </w:trPr>
        <w:tc>
          <w:tcPr>
            <w:tcW w:w="0" w:type="auto"/>
            <w:vAlign w:val="center"/>
            <w:hideMark/>
          </w:tcPr>
          <w:p w14:paraId="4C53C580"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lastRenderedPageBreak/>
              <w:t>No emergency protocol used</w:t>
            </w:r>
          </w:p>
        </w:tc>
        <w:tc>
          <w:tcPr>
            <w:tcW w:w="0" w:type="auto"/>
            <w:vAlign w:val="center"/>
            <w:hideMark/>
          </w:tcPr>
          <w:p w14:paraId="44CCA208"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Lack of clarity on roles</w:t>
            </w:r>
          </w:p>
        </w:tc>
        <w:tc>
          <w:tcPr>
            <w:tcW w:w="0" w:type="auto"/>
            <w:vAlign w:val="center"/>
            <w:hideMark/>
          </w:tcPr>
          <w:p w14:paraId="7970E146"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Finalize and disseminate emergency SOP</w:t>
            </w:r>
          </w:p>
        </w:tc>
        <w:tc>
          <w:tcPr>
            <w:tcW w:w="0" w:type="auto"/>
            <w:vAlign w:val="center"/>
            <w:hideMark/>
          </w:tcPr>
          <w:p w14:paraId="7A7F287F"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DTC</w:t>
            </w:r>
          </w:p>
        </w:tc>
        <w:tc>
          <w:tcPr>
            <w:tcW w:w="0" w:type="auto"/>
            <w:vAlign w:val="center"/>
            <w:hideMark/>
          </w:tcPr>
          <w:p w14:paraId="7B4189E4"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1 Month</w:t>
            </w:r>
          </w:p>
        </w:tc>
      </w:tr>
      <w:tr w:rsidR="00757666" w:rsidRPr="00757666" w14:paraId="5892C937" w14:textId="77777777" w:rsidTr="00EE7B9B">
        <w:trPr>
          <w:tblCellSpacing w:w="15" w:type="dxa"/>
        </w:trPr>
        <w:tc>
          <w:tcPr>
            <w:tcW w:w="0" w:type="auto"/>
            <w:vAlign w:val="center"/>
            <w:hideMark/>
          </w:tcPr>
          <w:p w14:paraId="5C236988"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No quarterly prioritization</w:t>
            </w:r>
          </w:p>
        </w:tc>
        <w:tc>
          <w:tcPr>
            <w:tcW w:w="0" w:type="auto"/>
            <w:vAlign w:val="center"/>
            <w:hideMark/>
          </w:tcPr>
          <w:p w14:paraId="55945D9F"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No process in place</w:t>
            </w:r>
          </w:p>
        </w:tc>
        <w:tc>
          <w:tcPr>
            <w:tcW w:w="0" w:type="auto"/>
            <w:vAlign w:val="center"/>
            <w:hideMark/>
          </w:tcPr>
          <w:p w14:paraId="37D88716"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Review consumption and adjust orders quarterly</w:t>
            </w:r>
          </w:p>
        </w:tc>
        <w:tc>
          <w:tcPr>
            <w:tcW w:w="0" w:type="auto"/>
            <w:vAlign w:val="center"/>
            <w:hideMark/>
          </w:tcPr>
          <w:p w14:paraId="08C3272B"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DTC &amp; Pharmacy</w:t>
            </w:r>
          </w:p>
        </w:tc>
        <w:tc>
          <w:tcPr>
            <w:tcW w:w="0" w:type="auto"/>
            <w:vAlign w:val="center"/>
            <w:hideMark/>
          </w:tcPr>
          <w:p w14:paraId="41C25DBC"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Quarterly</w:t>
            </w:r>
          </w:p>
        </w:tc>
      </w:tr>
      <w:tr w:rsidR="00757666" w:rsidRPr="00757666" w14:paraId="0E83D05B" w14:textId="77777777" w:rsidTr="00EE7B9B">
        <w:trPr>
          <w:tblCellSpacing w:w="15" w:type="dxa"/>
        </w:trPr>
        <w:tc>
          <w:tcPr>
            <w:tcW w:w="0" w:type="auto"/>
            <w:vAlign w:val="center"/>
            <w:hideMark/>
          </w:tcPr>
          <w:p w14:paraId="123E2D9B"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KPIs not tracked</w:t>
            </w:r>
          </w:p>
        </w:tc>
        <w:tc>
          <w:tcPr>
            <w:tcW w:w="0" w:type="auto"/>
            <w:vAlign w:val="center"/>
            <w:hideMark/>
          </w:tcPr>
          <w:p w14:paraId="766858FD"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No dashboard</w:t>
            </w:r>
          </w:p>
        </w:tc>
        <w:tc>
          <w:tcPr>
            <w:tcW w:w="0" w:type="auto"/>
            <w:vAlign w:val="center"/>
            <w:hideMark/>
          </w:tcPr>
          <w:p w14:paraId="1C2ADF45"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Launch simple KPI dashboard on Excel</w:t>
            </w:r>
          </w:p>
        </w:tc>
        <w:tc>
          <w:tcPr>
            <w:tcW w:w="0" w:type="auto"/>
            <w:vAlign w:val="center"/>
            <w:hideMark/>
          </w:tcPr>
          <w:p w14:paraId="33C40933"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DTC</w:t>
            </w:r>
          </w:p>
        </w:tc>
        <w:tc>
          <w:tcPr>
            <w:tcW w:w="0" w:type="auto"/>
            <w:vAlign w:val="center"/>
            <w:hideMark/>
          </w:tcPr>
          <w:p w14:paraId="02A1A6AC"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Monthly</w:t>
            </w:r>
          </w:p>
        </w:tc>
      </w:tr>
    </w:tbl>
    <w:p w14:paraId="71DCEB8E"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pict w14:anchorId="070AB99B">
          <v:rect id="_x0000_i1036" style="width:0;height:1.5pt" o:hralign="center" o:hrstd="t" o:hr="t" fillcolor="#a0a0a0" stroked="f"/>
        </w:pict>
      </w:r>
    </w:p>
    <w:p w14:paraId="434595C8" w14:textId="54185CE6" w:rsidR="00757666" w:rsidRPr="00757666" w:rsidRDefault="00757666" w:rsidP="00757666">
      <w:pPr>
        <w:spacing w:before="100" w:beforeAutospacing="1" w:after="100" w:afterAutospacing="1" w:line="240" w:lineRule="auto"/>
        <w:outlineLvl w:val="2"/>
        <w:rPr>
          <w:rFonts w:ascii="Rockwell" w:eastAsia="Times New Roman" w:hAnsi="Rockwell" w:cs="Times New Roman"/>
          <w:b/>
          <w:bCs/>
          <w:sz w:val="27"/>
          <w:szCs w:val="27"/>
        </w:rPr>
      </w:pPr>
      <w:bookmarkStart w:id="34" w:name="_Toc202997369"/>
      <w:r w:rsidRPr="00757666">
        <w:rPr>
          <w:rFonts w:ascii="Rockwell" w:eastAsia="Times New Roman" w:hAnsi="Rockwell" w:cs="Times New Roman"/>
          <w:b/>
          <w:bCs/>
          <w:sz w:val="27"/>
          <w:szCs w:val="27"/>
        </w:rPr>
        <w:t>1</w:t>
      </w:r>
      <w:r w:rsidR="00717130">
        <w:rPr>
          <w:rFonts w:ascii="Rockwell" w:eastAsia="Times New Roman" w:hAnsi="Rockwell" w:cs="Times New Roman"/>
          <w:b/>
          <w:bCs/>
          <w:sz w:val="27"/>
          <w:szCs w:val="27"/>
        </w:rPr>
        <w:t>0</w:t>
      </w:r>
      <w:r w:rsidRPr="00757666">
        <w:rPr>
          <w:rFonts w:ascii="Rockwell" w:eastAsia="Times New Roman" w:hAnsi="Rockwell" w:cs="Times New Roman"/>
          <w:b/>
          <w:bCs/>
          <w:sz w:val="27"/>
          <w:szCs w:val="27"/>
        </w:rPr>
        <w:t>. Recommendations</w:t>
      </w:r>
      <w:bookmarkEnd w:id="34"/>
    </w:p>
    <w:p w14:paraId="5F8FE269" w14:textId="77777777" w:rsidR="00757666" w:rsidRPr="00757666" w:rsidRDefault="00757666" w:rsidP="00757666">
      <w:pPr>
        <w:numPr>
          <w:ilvl w:val="0"/>
          <w:numId w:val="6"/>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b/>
          <w:bCs/>
          <w:sz w:val="24"/>
          <w:szCs w:val="24"/>
        </w:rPr>
        <w:t>Strengthen KPI Monitoring:</w:t>
      </w:r>
      <w:r w:rsidRPr="00757666">
        <w:rPr>
          <w:rFonts w:ascii="Rockwell" w:eastAsia="Times New Roman" w:hAnsi="Rockwell" w:cs="Times New Roman"/>
          <w:sz w:val="24"/>
          <w:szCs w:val="24"/>
        </w:rPr>
        <w:t xml:space="preserve"> Introduce routine dashboard with trend analysis</w:t>
      </w:r>
    </w:p>
    <w:p w14:paraId="2DEDBE4C" w14:textId="77777777" w:rsidR="00757666" w:rsidRPr="00757666" w:rsidRDefault="00757666" w:rsidP="00757666">
      <w:pPr>
        <w:numPr>
          <w:ilvl w:val="0"/>
          <w:numId w:val="6"/>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b/>
          <w:bCs/>
          <w:sz w:val="24"/>
          <w:szCs w:val="24"/>
        </w:rPr>
        <w:t>Institutionalize Supplier Review:</w:t>
      </w:r>
      <w:r w:rsidRPr="00757666">
        <w:rPr>
          <w:rFonts w:ascii="Rockwell" w:eastAsia="Times New Roman" w:hAnsi="Rockwell" w:cs="Times New Roman"/>
          <w:sz w:val="24"/>
          <w:szCs w:val="24"/>
        </w:rPr>
        <w:t xml:space="preserve"> Formalize review schedule linked to contract renewal</w:t>
      </w:r>
    </w:p>
    <w:p w14:paraId="14AA2F85" w14:textId="77777777" w:rsidR="00757666" w:rsidRPr="00757666" w:rsidRDefault="00757666" w:rsidP="00757666">
      <w:pPr>
        <w:numPr>
          <w:ilvl w:val="0"/>
          <w:numId w:val="6"/>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b/>
          <w:bCs/>
          <w:sz w:val="24"/>
          <w:szCs w:val="24"/>
        </w:rPr>
        <w:t>Boost EAPTS Use:</w:t>
      </w:r>
      <w:r w:rsidRPr="00757666">
        <w:rPr>
          <w:rFonts w:ascii="Rockwell" w:eastAsia="Times New Roman" w:hAnsi="Rockwell" w:cs="Times New Roman"/>
          <w:sz w:val="24"/>
          <w:szCs w:val="24"/>
        </w:rPr>
        <w:t xml:space="preserve"> Reinforce accountability, ensure regular report interpretation</w:t>
      </w:r>
    </w:p>
    <w:p w14:paraId="5FEDC6D9" w14:textId="77777777" w:rsidR="00757666" w:rsidRPr="00757666" w:rsidRDefault="00757666" w:rsidP="00757666">
      <w:pPr>
        <w:numPr>
          <w:ilvl w:val="0"/>
          <w:numId w:val="6"/>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b/>
          <w:bCs/>
          <w:sz w:val="24"/>
          <w:szCs w:val="24"/>
        </w:rPr>
        <w:t>Enhance Communication:</w:t>
      </w:r>
      <w:r w:rsidRPr="00757666">
        <w:rPr>
          <w:rFonts w:ascii="Rockwell" w:eastAsia="Times New Roman" w:hAnsi="Rockwell" w:cs="Times New Roman"/>
          <w:sz w:val="24"/>
          <w:szCs w:val="24"/>
        </w:rPr>
        <w:t xml:space="preserve"> Schedule joint logistics-clinical reviews monthly</w:t>
      </w:r>
    </w:p>
    <w:p w14:paraId="3FF26240" w14:textId="77777777" w:rsidR="00757666" w:rsidRPr="00757666" w:rsidRDefault="00757666" w:rsidP="00757666">
      <w:pPr>
        <w:numPr>
          <w:ilvl w:val="0"/>
          <w:numId w:val="6"/>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b/>
          <w:bCs/>
          <w:sz w:val="24"/>
          <w:szCs w:val="24"/>
        </w:rPr>
        <w:t>Prioritization Every Quarter:</w:t>
      </w:r>
      <w:r w:rsidRPr="00757666">
        <w:rPr>
          <w:rFonts w:ascii="Rockwell" w:eastAsia="Times New Roman" w:hAnsi="Rockwell" w:cs="Times New Roman"/>
          <w:sz w:val="24"/>
          <w:szCs w:val="24"/>
        </w:rPr>
        <w:t xml:space="preserve"> Make it part of DTC quarterly meeting agenda</w:t>
      </w:r>
    </w:p>
    <w:p w14:paraId="50B00EE9" w14:textId="77777777" w:rsidR="00757666" w:rsidRPr="00757666" w:rsidRDefault="00757666" w:rsidP="00757666">
      <w:pPr>
        <w:numPr>
          <w:ilvl w:val="0"/>
          <w:numId w:val="6"/>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b/>
          <w:bCs/>
          <w:sz w:val="24"/>
          <w:szCs w:val="24"/>
        </w:rPr>
        <w:t>Digital SOP Repository:</w:t>
      </w:r>
      <w:r w:rsidRPr="00757666">
        <w:rPr>
          <w:rFonts w:ascii="Rockwell" w:eastAsia="Times New Roman" w:hAnsi="Rockwell" w:cs="Times New Roman"/>
          <w:sz w:val="24"/>
          <w:szCs w:val="24"/>
        </w:rPr>
        <w:t xml:space="preserve"> Share updated SOPs via hospital LAN or WhatsApp</w:t>
      </w:r>
    </w:p>
    <w:p w14:paraId="0D38DC6F" w14:textId="77777777" w:rsidR="00757666" w:rsidRP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pict w14:anchorId="417F14C6">
          <v:rect id="_x0000_i1037" style="width:0;height:1.5pt" o:hralign="center" o:hrstd="t" o:hr="t" fillcolor="#a0a0a0" stroked="f"/>
        </w:pict>
      </w:r>
    </w:p>
    <w:p w14:paraId="596D555B" w14:textId="29135935" w:rsidR="00757666" w:rsidRPr="00757666" w:rsidRDefault="00757666" w:rsidP="00757666">
      <w:pPr>
        <w:spacing w:before="100" w:beforeAutospacing="1" w:after="100" w:afterAutospacing="1" w:line="240" w:lineRule="auto"/>
        <w:outlineLvl w:val="2"/>
        <w:rPr>
          <w:rFonts w:ascii="Rockwell" w:eastAsia="Times New Roman" w:hAnsi="Rockwell" w:cs="Times New Roman"/>
          <w:b/>
          <w:bCs/>
          <w:sz w:val="27"/>
          <w:szCs w:val="27"/>
        </w:rPr>
      </w:pPr>
      <w:bookmarkStart w:id="35" w:name="_Toc202997370"/>
      <w:r w:rsidRPr="00757666">
        <w:rPr>
          <w:rFonts w:ascii="Rockwell" w:eastAsia="Times New Roman" w:hAnsi="Rockwell" w:cs="Times New Roman"/>
          <w:b/>
          <w:bCs/>
          <w:sz w:val="27"/>
          <w:szCs w:val="27"/>
        </w:rPr>
        <w:t>1</w:t>
      </w:r>
      <w:r w:rsidR="00717130">
        <w:rPr>
          <w:rFonts w:ascii="Rockwell" w:eastAsia="Times New Roman" w:hAnsi="Rockwell" w:cs="Times New Roman"/>
          <w:b/>
          <w:bCs/>
          <w:sz w:val="27"/>
          <w:szCs w:val="27"/>
        </w:rPr>
        <w:t>1</w:t>
      </w:r>
      <w:r w:rsidRPr="00757666">
        <w:rPr>
          <w:rFonts w:ascii="Rockwell" w:eastAsia="Times New Roman" w:hAnsi="Rockwell" w:cs="Times New Roman"/>
          <w:b/>
          <w:bCs/>
          <w:sz w:val="27"/>
          <w:szCs w:val="27"/>
        </w:rPr>
        <w:t>. Conclusion</w:t>
      </w:r>
      <w:bookmarkEnd w:id="35"/>
    </w:p>
    <w:p w14:paraId="52706564" w14:textId="77777777" w:rsidR="00757666" w:rsidRPr="00757666" w:rsidRDefault="00757666" w:rsidP="00757666">
      <w:p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Quarter 2, 2016EC saw marginal progress in supply chain efficiency. While the overall performance is still within the moderate range (efficiency score: 64%), the 1% rise in inefficiency to 21% warrants attention. With structured interventions in digital utilization, performance tracking, and team-based review, the hospital can expect significant efficiency gains in future quarters.</w:t>
      </w:r>
    </w:p>
    <w:p w14:paraId="3CEE854B" w14:textId="7E844B62" w:rsidR="00757666" w:rsidRDefault="00757666" w:rsidP="00757666">
      <w:pPr>
        <w:spacing w:after="0"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pict w14:anchorId="434CC2E0">
          <v:rect id="_x0000_i1038" style="width:0;height:1.5pt" o:hralign="center" o:hrstd="t" o:hr="t" fillcolor="#a0a0a0" stroked="f"/>
        </w:pict>
      </w:r>
    </w:p>
    <w:p w14:paraId="344CDACD" w14:textId="0372A90B" w:rsidR="00714A7E" w:rsidRDefault="00714A7E" w:rsidP="00757666">
      <w:pPr>
        <w:spacing w:after="0" w:line="240" w:lineRule="auto"/>
        <w:rPr>
          <w:rFonts w:ascii="Rockwell" w:eastAsia="Times New Roman" w:hAnsi="Rockwell" w:cs="Times New Roman"/>
          <w:sz w:val="24"/>
          <w:szCs w:val="24"/>
        </w:rPr>
      </w:pPr>
    </w:p>
    <w:p w14:paraId="60CBB1CF" w14:textId="635089B2" w:rsidR="00714A7E" w:rsidRDefault="00714A7E" w:rsidP="00757666">
      <w:pPr>
        <w:spacing w:after="0" w:line="240" w:lineRule="auto"/>
        <w:rPr>
          <w:rFonts w:ascii="Rockwell" w:eastAsia="Times New Roman" w:hAnsi="Rockwell" w:cs="Times New Roman"/>
          <w:sz w:val="24"/>
          <w:szCs w:val="24"/>
        </w:rPr>
      </w:pPr>
    </w:p>
    <w:p w14:paraId="23BF5CBD" w14:textId="39C98BD5" w:rsidR="00714A7E" w:rsidRDefault="00714A7E" w:rsidP="00757666">
      <w:pPr>
        <w:spacing w:after="0" w:line="240" w:lineRule="auto"/>
        <w:rPr>
          <w:rFonts w:ascii="Rockwell" w:eastAsia="Times New Roman" w:hAnsi="Rockwell" w:cs="Times New Roman"/>
          <w:sz w:val="24"/>
          <w:szCs w:val="24"/>
        </w:rPr>
      </w:pPr>
    </w:p>
    <w:p w14:paraId="040638C2" w14:textId="312461AC" w:rsidR="00714A7E" w:rsidRDefault="00714A7E" w:rsidP="00757666">
      <w:pPr>
        <w:spacing w:after="0" w:line="240" w:lineRule="auto"/>
        <w:rPr>
          <w:rFonts w:ascii="Rockwell" w:eastAsia="Times New Roman" w:hAnsi="Rockwell" w:cs="Times New Roman"/>
          <w:sz w:val="24"/>
          <w:szCs w:val="24"/>
        </w:rPr>
      </w:pPr>
    </w:p>
    <w:p w14:paraId="5BC3D0F5" w14:textId="5522B4C4" w:rsidR="00714A7E" w:rsidRDefault="00714A7E" w:rsidP="00757666">
      <w:pPr>
        <w:spacing w:after="0" w:line="240" w:lineRule="auto"/>
        <w:rPr>
          <w:rFonts w:ascii="Rockwell" w:eastAsia="Times New Roman" w:hAnsi="Rockwell" w:cs="Times New Roman"/>
          <w:sz w:val="24"/>
          <w:szCs w:val="24"/>
        </w:rPr>
      </w:pPr>
    </w:p>
    <w:p w14:paraId="2F7DAB94" w14:textId="5A37AC27" w:rsidR="00714A7E" w:rsidRDefault="00714A7E" w:rsidP="00757666">
      <w:pPr>
        <w:spacing w:after="0" w:line="240" w:lineRule="auto"/>
        <w:rPr>
          <w:rFonts w:ascii="Rockwell" w:eastAsia="Times New Roman" w:hAnsi="Rockwell" w:cs="Times New Roman"/>
          <w:sz w:val="24"/>
          <w:szCs w:val="24"/>
        </w:rPr>
      </w:pPr>
    </w:p>
    <w:p w14:paraId="24D43E45" w14:textId="2199ADCB" w:rsidR="00714A7E" w:rsidRDefault="00714A7E" w:rsidP="00757666">
      <w:pPr>
        <w:spacing w:after="0" w:line="240" w:lineRule="auto"/>
        <w:rPr>
          <w:rFonts w:ascii="Rockwell" w:eastAsia="Times New Roman" w:hAnsi="Rockwell" w:cs="Times New Roman"/>
          <w:sz w:val="24"/>
          <w:szCs w:val="24"/>
        </w:rPr>
      </w:pPr>
    </w:p>
    <w:p w14:paraId="1FACFB25" w14:textId="5A15D49F" w:rsidR="00714A7E" w:rsidRDefault="00714A7E" w:rsidP="00757666">
      <w:pPr>
        <w:spacing w:after="0" w:line="240" w:lineRule="auto"/>
        <w:rPr>
          <w:rFonts w:ascii="Rockwell" w:eastAsia="Times New Roman" w:hAnsi="Rockwell" w:cs="Times New Roman"/>
          <w:sz w:val="24"/>
          <w:szCs w:val="24"/>
        </w:rPr>
      </w:pPr>
    </w:p>
    <w:p w14:paraId="128AB3A0" w14:textId="009D7916" w:rsidR="00714A7E" w:rsidRDefault="00714A7E" w:rsidP="00757666">
      <w:pPr>
        <w:spacing w:after="0" w:line="240" w:lineRule="auto"/>
        <w:rPr>
          <w:rFonts w:ascii="Rockwell" w:eastAsia="Times New Roman" w:hAnsi="Rockwell" w:cs="Times New Roman"/>
          <w:sz w:val="24"/>
          <w:szCs w:val="24"/>
        </w:rPr>
      </w:pPr>
    </w:p>
    <w:p w14:paraId="343AFA77" w14:textId="12CC0E5B" w:rsidR="00714A7E" w:rsidRDefault="00714A7E" w:rsidP="00757666">
      <w:pPr>
        <w:spacing w:after="0" w:line="240" w:lineRule="auto"/>
        <w:rPr>
          <w:rFonts w:ascii="Rockwell" w:eastAsia="Times New Roman" w:hAnsi="Rockwell" w:cs="Times New Roman"/>
          <w:sz w:val="24"/>
          <w:szCs w:val="24"/>
        </w:rPr>
      </w:pPr>
    </w:p>
    <w:p w14:paraId="394F6857" w14:textId="29BED6EC" w:rsidR="00714A7E" w:rsidRDefault="00714A7E" w:rsidP="00757666">
      <w:pPr>
        <w:spacing w:after="0" w:line="240" w:lineRule="auto"/>
        <w:rPr>
          <w:rFonts w:ascii="Rockwell" w:eastAsia="Times New Roman" w:hAnsi="Rockwell" w:cs="Times New Roman"/>
          <w:sz w:val="24"/>
          <w:szCs w:val="24"/>
        </w:rPr>
      </w:pPr>
    </w:p>
    <w:p w14:paraId="1947ECE3" w14:textId="0ED3F309" w:rsidR="00714A7E" w:rsidRDefault="00714A7E" w:rsidP="00757666">
      <w:pPr>
        <w:spacing w:after="0" w:line="240" w:lineRule="auto"/>
        <w:rPr>
          <w:rFonts w:ascii="Rockwell" w:eastAsia="Times New Roman" w:hAnsi="Rockwell" w:cs="Times New Roman"/>
          <w:sz w:val="24"/>
          <w:szCs w:val="24"/>
        </w:rPr>
      </w:pPr>
    </w:p>
    <w:p w14:paraId="741F60C8" w14:textId="77777777" w:rsidR="00714A7E" w:rsidRPr="00757666" w:rsidRDefault="00714A7E" w:rsidP="00757666">
      <w:pPr>
        <w:spacing w:after="0" w:line="240" w:lineRule="auto"/>
        <w:rPr>
          <w:rFonts w:ascii="Rockwell" w:eastAsia="Times New Roman" w:hAnsi="Rockwell" w:cs="Times New Roman"/>
          <w:sz w:val="24"/>
          <w:szCs w:val="24"/>
        </w:rPr>
      </w:pPr>
    </w:p>
    <w:p w14:paraId="257C7187" w14:textId="1258D5A4" w:rsidR="00757666" w:rsidRPr="00757666" w:rsidRDefault="00757666" w:rsidP="00757666">
      <w:pPr>
        <w:spacing w:before="100" w:beforeAutospacing="1" w:after="100" w:afterAutospacing="1" w:line="240" w:lineRule="auto"/>
        <w:outlineLvl w:val="2"/>
        <w:rPr>
          <w:rFonts w:ascii="Rockwell" w:eastAsia="Times New Roman" w:hAnsi="Rockwell" w:cs="Times New Roman"/>
          <w:b/>
          <w:bCs/>
          <w:sz w:val="27"/>
          <w:szCs w:val="27"/>
        </w:rPr>
      </w:pPr>
      <w:bookmarkStart w:id="36" w:name="_Toc202997371"/>
      <w:r w:rsidRPr="00757666">
        <w:rPr>
          <w:rFonts w:ascii="Rockwell" w:eastAsia="Times New Roman" w:hAnsi="Rockwell" w:cs="Times New Roman"/>
          <w:b/>
          <w:bCs/>
          <w:sz w:val="27"/>
          <w:szCs w:val="27"/>
        </w:rPr>
        <w:t>1</w:t>
      </w:r>
      <w:r w:rsidR="00717130">
        <w:rPr>
          <w:rFonts w:ascii="Rockwell" w:eastAsia="Times New Roman" w:hAnsi="Rockwell" w:cs="Times New Roman"/>
          <w:b/>
          <w:bCs/>
          <w:sz w:val="27"/>
          <w:szCs w:val="27"/>
        </w:rPr>
        <w:t>2</w:t>
      </w:r>
      <w:r w:rsidRPr="00757666">
        <w:rPr>
          <w:rFonts w:ascii="Rockwell" w:eastAsia="Times New Roman" w:hAnsi="Rockwell" w:cs="Times New Roman"/>
          <w:b/>
          <w:bCs/>
          <w:sz w:val="27"/>
          <w:szCs w:val="27"/>
        </w:rPr>
        <w:t>. References</w:t>
      </w:r>
      <w:bookmarkEnd w:id="36"/>
    </w:p>
    <w:p w14:paraId="321C155F" w14:textId="77777777" w:rsidR="00757666" w:rsidRPr="00757666" w:rsidRDefault="00757666" w:rsidP="00757666">
      <w:pPr>
        <w:numPr>
          <w:ilvl w:val="0"/>
          <w:numId w:val="7"/>
        </w:numPr>
        <w:spacing w:before="100" w:beforeAutospacing="1" w:after="100" w:afterAutospacing="1" w:line="240" w:lineRule="auto"/>
        <w:rPr>
          <w:rFonts w:ascii="Rockwell" w:eastAsia="Times New Roman" w:hAnsi="Rockwell" w:cs="Times New Roman"/>
          <w:sz w:val="24"/>
          <w:szCs w:val="24"/>
        </w:rPr>
      </w:pPr>
      <w:proofErr w:type="gramStart"/>
      <w:r w:rsidRPr="00757666">
        <w:rPr>
          <w:rFonts w:ascii="Rockwell" w:eastAsia="Times New Roman" w:hAnsi="Rockwell" w:cs="Times New Roman"/>
          <w:sz w:val="24"/>
          <w:szCs w:val="24"/>
        </w:rPr>
        <w:t>WHO.</w:t>
      </w:r>
      <w:proofErr w:type="gramEnd"/>
      <w:r w:rsidRPr="00757666">
        <w:rPr>
          <w:rFonts w:ascii="Rockwell" w:eastAsia="Times New Roman" w:hAnsi="Rockwell" w:cs="Times New Roman"/>
          <w:sz w:val="24"/>
          <w:szCs w:val="24"/>
        </w:rPr>
        <w:t xml:space="preserve"> (2017). </w:t>
      </w:r>
      <w:r w:rsidRPr="00757666">
        <w:rPr>
          <w:rFonts w:ascii="Rockwell" w:eastAsia="Times New Roman" w:hAnsi="Rockwell" w:cs="Times New Roman"/>
          <w:i/>
          <w:iCs/>
          <w:sz w:val="24"/>
          <w:szCs w:val="24"/>
        </w:rPr>
        <w:t>Health System Strengthening: Supply Chain Toolkit</w:t>
      </w:r>
      <w:r w:rsidRPr="00757666">
        <w:rPr>
          <w:rFonts w:ascii="Rockwell" w:eastAsia="Times New Roman" w:hAnsi="Rockwell" w:cs="Times New Roman"/>
          <w:sz w:val="24"/>
          <w:szCs w:val="24"/>
        </w:rPr>
        <w:t>. Geneva.</w:t>
      </w:r>
    </w:p>
    <w:p w14:paraId="7A6CA25E" w14:textId="77777777" w:rsidR="00757666" w:rsidRPr="00757666" w:rsidRDefault="00757666" w:rsidP="00757666">
      <w:pPr>
        <w:numPr>
          <w:ilvl w:val="0"/>
          <w:numId w:val="7"/>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 xml:space="preserve">USAID | DELIVER PROJECT. (2011). </w:t>
      </w:r>
      <w:r w:rsidRPr="00757666">
        <w:rPr>
          <w:rFonts w:ascii="Rockwell" w:eastAsia="Times New Roman" w:hAnsi="Rockwell" w:cs="Times New Roman"/>
          <w:i/>
          <w:iCs/>
          <w:sz w:val="24"/>
          <w:szCs w:val="24"/>
        </w:rPr>
        <w:t>Logistics Indicators Assessment Tool (LIAT)</w:t>
      </w:r>
      <w:r w:rsidRPr="00757666">
        <w:rPr>
          <w:rFonts w:ascii="Rockwell" w:eastAsia="Times New Roman" w:hAnsi="Rockwell" w:cs="Times New Roman"/>
          <w:sz w:val="24"/>
          <w:szCs w:val="24"/>
        </w:rPr>
        <w:t>.</w:t>
      </w:r>
    </w:p>
    <w:p w14:paraId="349DED94" w14:textId="77777777" w:rsidR="00757666" w:rsidRPr="00757666" w:rsidRDefault="00757666" w:rsidP="00757666">
      <w:pPr>
        <w:numPr>
          <w:ilvl w:val="0"/>
          <w:numId w:val="7"/>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 xml:space="preserve">UNICEF Supply Division. (2019). </w:t>
      </w:r>
      <w:r w:rsidRPr="00757666">
        <w:rPr>
          <w:rFonts w:ascii="Rockwell" w:eastAsia="Times New Roman" w:hAnsi="Rockwell" w:cs="Times New Roman"/>
          <w:i/>
          <w:iCs/>
          <w:sz w:val="24"/>
          <w:szCs w:val="24"/>
        </w:rPr>
        <w:t>Inventory Management Best Practices</w:t>
      </w:r>
      <w:r w:rsidRPr="00757666">
        <w:rPr>
          <w:rFonts w:ascii="Rockwell" w:eastAsia="Times New Roman" w:hAnsi="Rockwell" w:cs="Times New Roman"/>
          <w:sz w:val="24"/>
          <w:szCs w:val="24"/>
        </w:rPr>
        <w:t>.</w:t>
      </w:r>
    </w:p>
    <w:p w14:paraId="29B0234E" w14:textId="77777777" w:rsidR="00757666" w:rsidRPr="00757666" w:rsidRDefault="00757666" w:rsidP="00757666">
      <w:pPr>
        <w:numPr>
          <w:ilvl w:val="0"/>
          <w:numId w:val="7"/>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 xml:space="preserve">Ethiopia EPSA. (2022). </w:t>
      </w:r>
      <w:r w:rsidRPr="00757666">
        <w:rPr>
          <w:rFonts w:ascii="Rockwell" w:eastAsia="Times New Roman" w:hAnsi="Rockwell" w:cs="Times New Roman"/>
          <w:i/>
          <w:iCs/>
          <w:sz w:val="24"/>
          <w:szCs w:val="24"/>
        </w:rPr>
        <w:t>EAPTS User Manual</w:t>
      </w:r>
      <w:r w:rsidRPr="00757666">
        <w:rPr>
          <w:rFonts w:ascii="Rockwell" w:eastAsia="Times New Roman" w:hAnsi="Rockwell" w:cs="Times New Roman"/>
          <w:sz w:val="24"/>
          <w:szCs w:val="24"/>
        </w:rPr>
        <w:t>.</w:t>
      </w:r>
    </w:p>
    <w:p w14:paraId="65472753" w14:textId="77777777" w:rsidR="00757666" w:rsidRPr="00757666" w:rsidRDefault="00757666" w:rsidP="00757666">
      <w:pPr>
        <w:numPr>
          <w:ilvl w:val="0"/>
          <w:numId w:val="7"/>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 xml:space="preserve">MSH. (2012). </w:t>
      </w:r>
      <w:r w:rsidRPr="00757666">
        <w:rPr>
          <w:rFonts w:ascii="Rockwell" w:eastAsia="Times New Roman" w:hAnsi="Rockwell" w:cs="Times New Roman"/>
          <w:i/>
          <w:iCs/>
          <w:sz w:val="24"/>
          <w:szCs w:val="24"/>
        </w:rPr>
        <w:t>Quantifying the Cost of Inefficiency in Public Health Supply Chains</w:t>
      </w:r>
      <w:r w:rsidRPr="00757666">
        <w:rPr>
          <w:rFonts w:ascii="Rockwell" w:eastAsia="Times New Roman" w:hAnsi="Rockwell" w:cs="Times New Roman"/>
          <w:sz w:val="24"/>
          <w:szCs w:val="24"/>
        </w:rPr>
        <w:t>.</w:t>
      </w:r>
    </w:p>
    <w:p w14:paraId="75BC79A2" w14:textId="77777777" w:rsidR="00757666" w:rsidRPr="00757666" w:rsidRDefault="00757666" w:rsidP="00757666">
      <w:pPr>
        <w:numPr>
          <w:ilvl w:val="0"/>
          <w:numId w:val="7"/>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 xml:space="preserve">Global Fund. (2021). </w:t>
      </w:r>
      <w:r w:rsidRPr="00757666">
        <w:rPr>
          <w:rFonts w:ascii="Rockwell" w:eastAsia="Times New Roman" w:hAnsi="Rockwell" w:cs="Times New Roman"/>
          <w:i/>
          <w:iCs/>
          <w:sz w:val="24"/>
          <w:szCs w:val="24"/>
        </w:rPr>
        <w:t>Procurement and Supply Chain Management Toolkit</w:t>
      </w:r>
      <w:r w:rsidRPr="00757666">
        <w:rPr>
          <w:rFonts w:ascii="Rockwell" w:eastAsia="Times New Roman" w:hAnsi="Rockwell" w:cs="Times New Roman"/>
          <w:sz w:val="24"/>
          <w:szCs w:val="24"/>
        </w:rPr>
        <w:t>.</w:t>
      </w:r>
    </w:p>
    <w:p w14:paraId="5A933DED" w14:textId="77777777" w:rsidR="00757666" w:rsidRPr="00757666" w:rsidRDefault="00757666" w:rsidP="00757666">
      <w:pPr>
        <w:numPr>
          <w:ilvl w:val="0"/>
          <w:numId w:val="7"/>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 xml:space="preserve">Gavi. (2020). </w:t>
      </w:r>
      <w:r w:rsidRPr="00757666">
        <w:rPr>
          <w:rFonts w:ascii="Rockwell" w:eastAsia="Times New Roman" w:hAnsi="Rockwell" w:cs="Times New Roman"/>
          <w:i/>
          <w:iCs/>
          <w:sz w:val="24"/>
          <w:szCs w:val="24"/>
        </w:rPr>
        <w:t>Digital Transformation of Vaccine Supply Chains</w:t>
      </w:r>
      <w:r w:rsidRPr="00757666">
        <w:rPr>
          <w:rFonts w:ascii="Rockwell" w:eastAsia="Times New Roman" w:hAnsi="Rockwell" w:cs="Times New Roman"/>
          <w:sz w:val="24"/>
          <w:szCs w:val="24"/>
        </w:rPr>
        <w:t>.</w:t>
      </w:r>
    </w:p>
    <w:p w14:paraId="5DBB9386" w14:textId="77777777" w:rsidR="00757666" w:rsidRPr="00757666" w:rsidRDefault="00757666" w:rsidP="00757666">
      <w:pPr>
        <w:numPr>
          <w:ilvl w:val="0"/>
          <w:numId w:val="7"/>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 xml:space="preserve">Ethiopia FMOH. (2021). </w:t>
      </w:r>
      <w:r w:rsidRPr="00757666">
        <w:rPr>
          <w:rFonts w:ascii="Rockwell" w:eastAsia="Times New Roman" w:hAnsi="Rockwell" w:cs="Times New Roman"/>
          <w:i/>
          <w:iCs/>
          <w:sz w:val="24"/>
          <w:szCs w:val="24"/>
        </w:rPr>
        <w:t>Health Commodity Management Manual</w:t>
      </w:r>
      <w:r w:rsidRPr="00757666">
        <w:rPr>
          <w:rFonts w:ascii="Rockwell" w:eastAsia="Times New Roman" w:hAnsi="Rockwell" w:cs="Times New Roman"/>
          <w:sz w:val="24"/>
          <w:szCs w:val="24"/>
        </w:rPr>
        <w:t>.</w:t>
      </w:r>
    </w:p>
    <w:p w14:paraId="00176123" w14:textId="77777777" w:rsidR="00757666" w:rsidRPr="00757666" w:rsidRDefault="00757666" w:rsidP="00757666">
      <w:pPr>
        <w:numPr>
          <w:ilvl w:val="0"/>
          <w:numId w:val="7"/>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 xml:space="preserve">GS1. (2020). </w:t>
      </w:r>
      <w:r w:rsidRPr="00757666">
        <w:rPr>
          <w:rFonts w:ascii="Rockwell" w:eastAsia="Times New Roman" w:hAnsi="Rockwell" w:cs="Times New Roman"/>
          <w:i/>
          <w:iCs/>
          <w:sz w:val="24"/>
          <w:szCs w:val="24"/>
        </w:rPr>
        <w:t>Standards in Healthcare Supply Chains</w:t>
      </w:r>
      <w:r w:rsidRPr="00757666">
        <w:rPr>
          <w:rFonts w:ascii="Rockwell" w:eastAsia="Times New Roman" w:hAnsi="Rockwell" w:cs="Times New Roman"/>
          <w:sz w:val="24"/>
          <w:szCs w:val="24"/>
        </w:rPr>
        <w:t>.</w:t>
      </w:r>
    </w:p>
    <w:p w14:paraId="1BF62CF2" w14:textId="77777777" w:rsidR="00757666" w:rsidRPr="00757666" w:rsidRDefault="00757666" w:rsidP="00757666">
      <w:pPr>
        <w:numPr>
          <w:ilvl w:val="0"/>
          <w:numId w:val="7"/>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 xml:space="preserve">APICS. (2020). </w:t>
      </w:r>
      <w:r w:rsidRPr="00757666">
        <w:rPr>
          <w:rFonts w:ascii="Rockwell" w:eastAsia="Times New Roman" w:hAnsi="Rockwell" w:cs="Times New Roman"/>
          <w:i/>
          <w:iCs/>
          <w:sz w:val="24"/>
          <w:szCs w:val="24"/>
        </w:rPr>
        <w:t>APICS Dictionary, 16th Edition</w:t>
      </w:r>
      <w:r w:rsidRPr="00757666">
        <w:rPr>
          <w:rFonts w:ascii="Rockwell" w:eastAsia="Times New Roman" w:hAnsi="Rockwell" w:cs="Times New Roman"/>
          <w:sz w:val="24"/>
          <w:szCs w:val="24"/>
        </w:rPr>
        <w:t>.</w:t>
      </w:r>
    </w:p>
    <w:p w14:paraId="4E27005A" w14:textId="77777777" w:rsidR="00757666" w:rsidRPr="00757666" w:rsidRDefault="00757666" w:rsidP="00757666">
      <w:pPr>
        <w:numPr>
          <w:ilvl w:val="0"/>
          <w:numId w:val="7"/>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 xml:space="preserve">Management Sciences for Health. (2017). </w:t>
      </w:r>
      <w:r w:rsidRPr="00757666">
        <w:rPr>
          <w:rFonts w:ascii="Rockwell" w:eastAsia="Times New Roman" w:hAnsi="Rockwell" w:cs="Times New Roman"/>
          <w:i/>
          <w:iCs/>
          <w:sz w:val="24"/>
          <w:szCs w:val="24"/>
        </w:rPr>
        <w:t>Supply Chain Performance Assessment</w:t>
      </w:r>
      <w:r w:rsidRPr="00757666">
        <w:rPr>
          <w:rFonts w:ascii="Rockwell" w:eastAsia="Times New Roman" w:hAnsi="Rockwell" w:cs="Times New Roman"/>
          <w:sz w:val="24"/>
          <w:szCs w:val="24"/>
        </w:rPr>
        <w:t>.</w:t>
      </w:r>
    </w:p>
    <w:p w14:paraId="49456C43" w14:textId="77777777" w:rsidR="00757666" w:rsidRPr="00757666" w:rsidRDefault="00757666" w:rsidP="00757666">
      <w:pPr>
        <w:numPr>
          <w:ilvl w:val="0"/>
          <w:numId w:val="7"/>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 xml:space="preserve">World Bank. (2020). </w:t>
      </w:r>
      <w:r w:rsidRPr="00757666">
        <w:rPr>
          <w:rFonts w:ascii="Rockwell" w:eastAsia="Times New Roman" w:hAnsi="Rockwell" w:cs="Times New Roman"/>
          <w:i/>
          <w:iCs/>
          <w:sz w:val="24"/>
          <w:szCs w:val="24"/>
        </w:rPr>
        <w:t>Public Procurement Assessment Report: Ethiopia</w:t>
      </w:r>
      <w:r w:rsidRPr="00757666">
        <w:rPr>
          <w:rFonts w:ascii="Rockwell" w:eastAsia="Times New Roman" w:hAnsi="Rockwell" w:cs="Times New Roman"/>
          <w:sz w:val="24"/>
          <w:szCs w:val="24"/>
        </w:rPr>
        <w:t>.</w:t>
      </w:r>
    </w:p>
    <w:p w14:paraId="075731F1" w14:textId="77777777" w:rsidR="00757666" w:rsidRPr="00757666" w:rsidRDefault="00757666" w:rsidP="00757666">
      <w:pPr>
        <w:numPr>
          <w:ilvl w:val="0"/>
          <w:numId w:val="7"/>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 xml:space="preserve">PATH. (2018). </w:t>
      </w:r>
      <w:r w:rsidRPr="00757666">
        <w:rPr>
          <w:rFonts w:ascii="Rockwell" w:eastAsia="Times New Roman" w:hAnsi="Rockwell" w:cs="Times New Roman"/>
          <w:i/>
          <w:iCs/>
          <w:sz w:val="24"/>
          <w:szCs w:val="24"/>
        </w:rPr>
        <w:t>Digital Health Supply Chain Interventions</w:t>
      </w:r>
      <w:r w:rsidRPr="00757666">
        <w:rPr>
          <w:rFonts w:ascii="Rockwell" w:eastAsia="Times New Roman" w:hAnsi="Rockwell" w:cs="Times New Roman"/>
          <w:sz w:val="24"/>
          <w:szCs w:val="24"/>
        </w:rPr>
        <w:t>.</w:t>
      </w:r>
    </w:p>
    <w:p w14:paraId="372397BC" w14:textId="77777777" w:rsidR="00757666" w:rsidRPr="00757666" w:rsidRDefault="00757666" w:rsidP="00757666">
      <w:pPr>
        <w:numPr>
          <w:ilvl w:val="0"/>
          <w:numId w:val="7"/>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 xml:space="preserve">OECD. (2016). </w:t>
      </w:r>
      <w:r w:rsidRPr="00757666">
        <w:rPr>
          <w:rFonts w:ascii="Rockwell" w:eastAsia="Times New Roman" w:hAnsi="Rockwell" w:cs="Times New Roman"/>
          <w:i/>
          <w:iCs/>
          <w:sz w:val="24"/>
          <w:szCs w:val="24"/>
        </w:rPr>
        <w:t>Public Procurement Review of Ethiopia</w:t>
      </w:r>
      <w:r w:rsidRPr="00757666">
        <w:rPr>
          <w:rFonts w:ascii="Rockwell" w:eastAsia="Times New Roman" w:hAnsi="Rockwell" w:cs="Times New Roman"/>
          <w:sz w:val="24"/>
          <w:szCs w:val="24"/>
        </w:rPr>
        <w:t>.</w:t>
      </w:r>
    </w:p>
    <w:p w14:paraId="6B80CF13" w14:textId="77777777" w:rsidR="00757666" w:rsidRPr="00757666" w:rsidRDefault="00757666" w:rsidP="00757666">
      <w:pPr>
        <w:numPr>
          <w:ilvl w:val="0"/>
          <w:numId w:val="7"/>
        </w:numPr>
        <w:spacing w:before="100" w:beforeAutospacing="1" w:after="100" w:afterAutospacing="1" w:line="240" w:lineRule="auto"/>
        <w:rPr>
          <w:rFonts w:ascii="Rockwell" w:eastAsia="Times New Roman" w:hAnsi="Rockwell" w:cs="Times New Roman"/>
          <w:sz w:val="24"/>
          <w:szCs w:val="24"/>
        </w:rPr>
      </w:pPr>
      <w:proofErr w:type="gramStart"/>
      <w:r w:rsidRPr="00757666">
        <w:rPr>
          <w:rFonts w:ascii="Rockwell" w:eastAsia="Times New Roman" w:hAnsi="Rockwell" w:cs="Times New Roman"/>
          <w:sz w:val="24"/>
          <w:szCs w:val="24"/>
        </w:rPr>
        <w:t>WHO.</w:t>
      </w:r>
      <w:proofErr w:type="gramEnd"/>
      <w:r w:rsidRPr="00757666">
        <w:rPr>
          <w:rFonts w:ascii="Rockwell" w:eastAsia="Times New Roman" w:hAnsi="Rockwell" w:cs="Times New Roman"/>
          <w:sz w:val="24"/>
          <w:szCs w:val="24"/>
        </w:rPr>
        <w:t xml:space="preserve"> (2015). </w:t>
      </w:r>
      <w:r w:rsidRPr="00757666">
        <w:rPr>
          <w:rFonts w:ascii="Rockwell" w:eastAsia="Times New Roman" w:hAnsi="Rockwell" w:cs="Times New Roman"/>
          <w:i/>
          <w:iCs/>
          <w:sz w:val="24"/>
          <w:szCs w:val="24"/>
        </w:rPr>
        <w:t>Medicines Supply Chain and Logistics Management Guidelines</w:t>
      </w:r>
      <w:r w:rsidRPr="00757666">
        <w:rPr>
          <w:rFonts w:ascii="Rockwell" w:eastAsia="Times New Roman" w:hAnsi="Rockwell" w:cs="Times New Roman"/>
          <w:sz w:val="24"/>
          <w:szCs w:val="24"/>
        </w:rPr>
        <w:t>.</w:t>
      </w:r>
    </w:p>
    <w:p w14:paraId="47950C8E" w14:textId="77777777" w:rsidR="00757666" w:rsidRPr="00757666" w:rsidRDefault="00757666" w:rsidP="00757666">
      <w:pPr>
        <w:numPr>
          <w:ilvl w:val="0"/>
          <w:numId w:val="7"/>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 xml:space="preserve">USAID. (2020). </w:t>
      </w:r>
      <w:r w:rsidRPr="00757666">
        <w:rPr>
          <w:rFonts w:ascii="Rockwell" w:eastAsia="Times New Roman" w:hAnsi="Rockwell" w:cs="Times New Roman"/>
          <w:i/>
          <w:iCs/>
          <w:sz w:val="24"/>
          <w:szCs w:val="24"/>
        </w:rPr>
        <w:t>Visibility and Analytics Network (VAN) Overview</w:t>
      </w:r>
      <w:r w:rsidRPr="00757666">
        <w:rPr>
          <w:rFonts w:ascii="Rockwell" w:eastAsia="Times New Roman" w:hAnsi="Rockwell" w:cs="Times New Roman"/>
          <w:sz w:val="24"/>
          <w:szCs w:val="24"/>
        </w:rPr>
        <w:t>.</w:t>
      </w:r>
    </w:p>
    <w:p w14:paraId="3C0F78C8" w14:textId="77777777" w:rsidR="00757666" w:rsidRPr="00757666" w:rsidRDefault="00757666" w:rsidP="00757666">
      <w:pPr>
        <w:numPr>
          <w:ilvl w:val="0"/>
          <w:numId w:val="7"/>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 xml:space="preserve">JSI Research &amp; Training Institute. (2019). </w:t>
      </w:r>
      <w:r w:rsidRPr="00757666">
        <w:rPr>
          <w:rFonts w:ascii="Rockwell" w:eastAsia="Times New Roman" w:hAnsi="Rockwell" w:cs="Times New Roman"/>
          <w:i/>
          <w:iCs/>
          <w:sz w:val="24"/>
          <w:szCs w:val="24"/>
        </w:rPr>
        <w:t>Improving Commodity Availability</w:t>
      </w:r>
      <w:r w:rsidRPr="00757666">
        <w:rPr>
          <w:rFonts w:ascii="Rockwell" w:eastAsia="Times New Roman" w:hAnsi="Rockwell" w:cs="Times New Roman"/>
          <w:sz w:val="24"/>
          <w:szCs w:val="24"/>
        </w:rPr>
        <w:t>.</w:t>
      </w:r>
    </w:p>
    <w:p w14:paraId="3899584A" w14:textId="77777777" w:rsidR="00757666" w:rsidRPr="00757666" w:rsidRDefault="00757666" w:rsidP="00757666">
      <w:pPr>
        <w:numPr>
          <w:ilvl w:val="0"/>
          <w:numId w:val="7"/>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 xml:space="preserve">SAPICS. (2019). </w:t>
      </w:r>
      <w:r w:rsidRPr="00757666">
        <w:rPr>
          <w:rFonts w:ascii="Rockwell" w:eastAsia="Times New Roman" w:hAnsi="Rockwell" w:cs="Times New Roman"/>
          <w:i/>
          <w:iCs/>
          <w:sz w:val="24"/>
          <w:szCs w:val="24"/>
        </w:rPr>
        <w:t>Public Health Supply Chain Conference Proceedings</w:t>
      </w:r>
      <w:r w:rsidRPr="00757666">
        <w:rPr>
          <w:rFonts w:ascii="Rockwell" w:eastAsia="Times New Roman" w:hAnsi="Rockwell" w:cs="Times New Roman"/>
          <w:sz w:val="24"/>
          <w:szCs w:val="24"/>
        </w:rPr>
        <w:t>.</w:t>
      </w:r>
    </w:p>
    <w:p w14:paraId="6DDCDB3B" w14:textId="77777777" w:rsidR="00757666" w:rsidRPr="00757666" w:rsidRDefault="00757666" w:rsidP="00757666">
      <w:pPr>
        <w:numPr>
          <w:ilvl w:val="0"/>
          <w:numId w:val="7"/>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 xml:space="preserve">Ethiopian Pharmaceutical Association. (2021). </w:t>
      </w:r>
      <w:r w:rsidRPr="00757666">
        <w:rPr>
          <w:rFonts w:ascii="Rockwell" w:eastAsia="Times New Roman" w:hAnsi="Rockwell" w:cs="Times New Roman"/>
          <w:i/>
          <w:iCs/>
          <w:sz w:val="24"/>
          <w:szCs w:val="24"/>
        </w:rPr>
        <w:t>Pharmacy Practice Guidelines</w:t>
      </w:r>
      <w:r w:rsidRPr="00757666">
        <w:rPr>
          <w:rFonts w:ascii="Rockwell" w:eastAsia="Times New Roman" w:hAnsi="Rockwell" w:cs="Times New Roman"/>
          <w:sz w:val="24"/>
          <w:szCs w:val="24"/>
        </w:rPr>
        <w:t>.</w:t>
      </w:r>
    </w:p>
    <w:p w14:paraId="4CD36A28" w14:textId="77777777" w:rsidR="00757666" w:rsidRPr="00757666" w:rsidRDefault="00757666" w:rsidP="00757666">
      <w:pPr>
        <w:numPr>
          <w:ilvl w:val="0"/>
          <w:numId w:val="7"/>
        </w:numPr>
        <w:spacing w:before="100" w:beforeAutospacing="1" w:after="100" w:afterAutospacing="1" w:line="240" w:lineRule="auto"/>
        <w:rPr>
          <w:rFonts w:ascii="Rockwell" w:eastAsia="Times New Roman" w:hAnsi="Rockwell" w:cs="Times New Roman"/>
          <w:sz w:val="24"/>
          <w:szCs w:val="24"/>
        </w:rPr>
      </w:pPr>
      <w:r w:rsidRPr="00757666">
        <w:rPr>
          <w:rFonts w:ascii="Rockwell" w:eastAsia="Times New Roman" w:hAnsi="Rockwell" w:cs="Times New Roman"/>
          <w:sz w:val="24"/>
          <w:szCs w:val="24"/>
        </w:rPr>
        <w:t xml:space="preserve">McKinsey &amp; Company. (2020). </w:t>
      </w:r>
      <w:r w:rsidRPr="00757666">
        <w:rPr>
          <w:rFonts w:ascii="Rockwell" w:eastAsia="Times New Roman" w:hAnsi="Rockwell" w:cs="Times New Roman"/>
          <w:i/>
          <w:iCs/>
          <w:sz w:val="24"/>
          <w:szCs w:val="24"/>
        </w:rPr>
        <w:t>Transforming Public Procurement with Digital Tools</w:t>
      </w:r>
      <w:r w:rsidRPr="00757666">
        <w:rPr>
          <w:rFonts w:ascii="Rockwell" w:eastAsia="Times New Roman" w:hAnsi="Rockwell" w:cs="Times New Roman"/>
          <w:sz w:val="24"/>
          <w:szCs w:val="24"/>
        </w:rPr>
        <w:t>.</w:t>
      </w:r>
    </w:p>
    <w:p w14:paraId="2944101B" w14:textId="77777777" w:rsidR="00757666" w:rsidRPr="00E6599C" w:rsidRDefault="00757666">
      <w:pPr>
        <w:rPr>
          <w:rFonts w:ascii="Rockwell" w:hAnsi="Rockwell"/>
        </w:rPr>
      </w:pPr>
    </w:p>
    <w:sectPr w:rsidR="00757666" w:rsidRPr="00E6599C" w:rsidSect="007A36AA">
      <w:footerReference w:type="default" r:id="rId10"/>
      <w:footerReference w:type="first" r:id="rId11"/>
      <w:pgSz w:w="12240" w:h="15840"/>
      <w:pgMar w:top="1440" w:right="1440" w:bottom="1440" w:left="1440" w:header="720" w:footer="720" w:gutter="0"/>
      <w:pgBorders w:offsetFrom="page">
        <w:top w:val="single" w:sz="48" w:space="24" w:color="00B050"/>
        <w:left w:val="single" w:sz="48" w:space="24" w:color="00B050"/>
        <w:bottom w:val="single" w:sz="48" w:space="24" w:color="00B050"/>
        <w:right w:val="single" w:sz="48" w:space="24" w:color="00B050"/>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4C1E4" w14:textId="77777777" w:rsidR="0015146D" w:rsidRDefault="0015146D" w:rsidP="00966F92">
      <w:pPr>
        <w:spacing w:after="0" w:line="240" w:lineRule="auto"/>
      </w:pPr>
      <w:r>
        <w:separator/>
      </w:r>
    </w:p>
  </w:endnote>
  <w:endnote w:type="continuationSeparator" w:id="0">
    <w:p w14:paraId="695CA1CA" w14:textId="77777777" w:rsidR="0015146D" w:rsidRDefault="0015146D" w:rsidP="00966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Rockwell">
    <w:panose1 w:val="02060603020205020403"/>
    <w:charset w:val="00"/>
    <w:family w:val="roman"/>
    <w:pitch w:val="variable"/>
    <w:sig w:usb0="00000007" w:usb1="00000000" w:usb2="00000000" w:usb3="00000000" w:csb0="00000003"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9683842"/>
      <w:docPartObj>
        <w:docPartGallery w:val="Page Numbers (Bottom of Page)"/>
        <w:docPartUnique/>
      </w:docPartObj>
    </w:sdtPr>
    <w:sdtContent>
      <w:p w14:paraId="7E6A78B5" w14:textId="651E579A" w:rsidR="00966F92" w:rsidRDefault="00966F92">
        <w:pPr>
          <w:pStyle w:val="Footer"/>
        </w:pPr>
        <w:r>
          <w:rPr>
            <w:noProof/>
          </w:rPr>
          <mc:AlternateContent>
            <mc:Choice Requires="wps">
              <w:drawing>
                <wp:anchor distT="0" distB="0" distL="114300" distR="114300" simplePos="0" relativeHeight="251660288" behindDoc="0" locked="0" layoutInCell="1" allowOverlap="1" wp14:anchorId="6DBB374D" wp14:editId="2AF8E643">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7F6668DA" w14:textId="77777777" w:rsidR="00966F92" w:rsidRDefault="00966F92">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DBB374D"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14:paraId="7F6668DA" w14:textId="77777777" w:rsidR="00966F92" w:rsidRDefault="00966F92">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424580AE" wp14:editId="5673B862">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B949391"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" strokecolor="gray" strokeweight="1pt">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0237003"/>
      <w:docPartObj>
        <w:docPartGallery w:val="Page Numbers (Bottom of Page)"/>
        <w:docPartUnique/>
      </w:docPartObj>
    </w:sdtPr>
    <w:sdtContent>
      <w:p w14:paraId="52932ED0" w14:textId="6A8F59B9" w:rsidR="007A36AA" w:rsidRDefault="007A36AA">
        <w:pPr>
          <w:pStyle w:val="Footer"/>
        </w:pPr>
        <w:r>
          <w:rPr>
            <w:noProof/>
          </w:rPr>
          <mc:AlternateContent>
            <mc:Choice Requires="wps">
              <w:drawing>
                <wp:anchor distT="0" distB="0" distL="114300" distR="114300" simplePos="0" relativeHeight="251663360" behindDoc="0" locked="0" layoutInCell="1" allowOverlap="1" wp14:anchorId="7377B208" wp14:editId="48F2D6E7">
                  <wp:simplePos x="0" y="0"/>
                  <wp:positionH relativeFrom="margin">
                    <wp:align>center</wp:align>
                  </wp:positionH>
                  <wp:positionV relativeFrom="bottomMargin">
                    <wp:align>center</wp:align>
                  </wp:positionV>
                  <wp:extent cx="551815" cy="238760"/>
                  <wp:effectExtent l="19050" t="19050" r="19685" b="18415"/>
                  <wp:wrapNone/>
                  <wp:docPr id="5" name="Double Bracket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60A9077C" w14:textId="77777777" w:rsidR="007A36AA" w:rsidRDefault="007A36AA">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7377B208"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5" o:spid="_x0000_s1027"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" filled="t" strokecolor="gray" strokeweight="2.25pt">
                  <v:textbox inset=",0,,0">
                    <w:txbxContent>
                      <w:p w14:paraId="60A9077C" w14:textId="77777777" w:rsidR="007A36AA" w:rsidRDefault="007A36AA">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51F5E041" wp14:editId="47FE13A1">
                  <wp:simplePos x="0" y="0"/>
                  <wp:positionH relativeFrom="margin">
                    <wp:align>center</wp:align>
                  </wp:positionH>
                  <wp:positionV relativeFrom="bottomMargin">
                    <wp:align>center</wp:align>
                  </wp:positionV>
                  <wp:extent cx="5518150" cy="0"/>
                  <wp:effectExtent l="9525" t="9525" r="6350" b="952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3BFA72C" id="_x0000_t32" coordsize="21600,21600" o:spt="32" o:oned="t" path="m,l21600,21600e" filled="f">
                  <v:path arrowok="t" fillok="f" o:connecttype="none"/>
                  <o:lock v:ext="edit" shapetype="t"/>
                </v:shapetype>
                <v:shape id="Straight Arrow Connector 4"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71CBA" w14:textId="77777777" w:rsidR="0015146D" w:rsidRDefault="0015146D" w:rsidP="00966F92">
      <w:pPr>
        <w:spacing w:after="0" w:line="240" w:lineRule="auto"/>
      </w:pPr>
      <w:r>
        <w:separator/>
      </w:r>
    </w:p>
  </w:footnote>
  <w:footnote w:type="continuationSeparator" w:id="0">
    <w:p w14:paraId="61BCBCBF" w14:textId="77777777" w:rsidR="0015146D" w:rsidRDefault="0015146D" w:rsidP="00966F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14B8"/>
    <w:multiLevelType w:val="multilevel"/>
    <w:tmpl w:val="067C0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53B24"/>
    <w:multiLevelType w:val="multilevel"/>
    <w:tmpl w:val="31FC0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16203"/>
    <w:multiLevelType w:val="multilevel"/>
    <w:tmpl w:val="917E1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C9340E"/>
    <w:multiLevelType w:val="multilevel"/>
    <w:tmpl w:val="90A20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D7E3E"/>
    <w:multiLevelType w:val="multilevel"/>
    <w:tmpl w:val="D8386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C7782"/>
    <w:multiLevelType w:val="multilevel"/>
    <w:tmpl w:val="0B68E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B5E39"/>
    <w:multiLevelType w:val="multilevel"/>
    <w:tmpl w:val="FB26A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845EA"/>
    <w:multiLevelType w:val="multilevel"/>
    <w:tmpl w:val="EC08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546EE3"/>
    <w:multiLevelType w:val="multilevel"/>
    <w:tmpl w:val="8F289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86005"/>
    <w:multiLevelType w:val="multilevel"/>
    <w:tmpl w:val="DF3A6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76769"/>
    <w:multiLevelType w:val="multilevel"/>
    <w:tmpl w:val="E4565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5783A"/>
    <w:multiLevelType w:val="multilevel"/>
    <w:tmpl w:val="1696E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2301D"/>
    <w:multiLevelType w:val="multilevel"/>
    <w:tmpl w:val="ECCC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2A5A4B"/>
    <w:multiLevelType w:val="multilevel"/>
    <w:tmpl w:val="8AD8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35798"/>
    <w:multiLevelType w:val="multilevel"/>
    <w:tmpl w:val="45621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D5038D"/>
    <w:multiLevelType w:val="multilevel"/>
    <w:tmpl w:val="BB683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393C2D"/>
    <w:multiLevelType w:val="multilevel"/>
    <w:tmpl w:val="A8149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333F38"/>
    <w:multiLevelType w:val="multilevel"/>
    <w:tmpl w:val="02887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344E2E"/>
    <w:multiLevelType w:val="multilevel"/>
    <w:tmpl w:val="FCFCE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665FC"/>
    <w:multiLevelType w:val="multilevel"/>
    <w:tmpl w:val="618CC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0A1ECB"/>
    <w:multiLevelType w:val="multilevel"/>
    <w:tmpl w:val="33A8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FA4630"/>
    <w:multiLevelType w:val="multilevel"/>
    <w:tmpl w:val="B73C0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BF7138"/>
    <w:multiLevelType w:val="multilevel"/>
    <w:tmpl w:val="8986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14DD3"/>
    <w:multiLevelType w:val="multilevel"/>
    <w:tmpl w:val="B8484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717E63"/>
    <w:multiLevelType w:val="multilevel"/>
    <w:tmpl w:val="BB06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925733"/>
    <w:multiLevelType w:val="multilevel"/>
    <w:tmpl w:val="FB745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6F4CA7"/>
    <w:multiLevelType w:val="multilevel"/>
    <w:tmpl w:val="B68A7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6766F8"/>
    <w:multiLevelType w:val="multilevel"/>
    <w:tmpl w:val="2536E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5C2C40"/>
    <w:multiLevelType w:val="multilevel"/>
    <w:tmpl w:val="9DEE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3"/>
  </w:num>
  <w:num w:numId="3">
    <w:abstractNumId w:val="24"/>
  </w:num>
  <w:num w:numId="4">
    <w:abstractNumId w:val="22"/>
  </w:num>
  <w:num w:numId="5">
    <w:abstractNumId w:val="20"/>
  </w:num>
  <w:num w:numId="6">
    <w:abstractNumId w:val="7"/>
  </w:num>
  <w:num w:numId="7">
    <w:abstractNumId w:val="2"/>
  </w:num>
  <w:num w:numId="8">
    <w:abstractNumId w:val="6"/>
    <w:lvlOverride w:ilvl="0"/>
    <w:lvlOverride w:ilvl="1"/>
    <w:lvlOverride w:ilvl="2"/>
    <w:lvlOverride w:ilvl="3"/>
    <w:lvlOverride w:ilvl="4"/>
    <w:lvlOverride w:ilvl="5"/>
    <w:lvlOverride w:ilvl="6"/>
    <w:lvlOverride w:ilvl="7"/>
    <w:lvlOverride w:ilvl="8"/>
  </w:num>
  <w:num w:numId="9">
    <w:abstractNumId w:val="15"/>
    <w:lvlOverride w:ilvl="0"/>
    <w:lvlOverride w:ilvl="1"/>
    <w:lvlOverride w:ilvl="2"/>
    <w:lvlOverride w:ilvl="3"/>
    <w:lvlOverride w:ilvl="4"/>
    <w:lvlOverride w:ilvl="5"/>
    <w:lvlOverride w:ilvl="6"/>
    <w:lvlOverride w:ilvl="7"/>
    <w:lvlOverride w:ilvl="8"/>
  </w:num>
  <w:num w:numId="10">
    <w:abstractNumId w:val="4"/>
    <w:lvlOverride w:ilvl="0"/>
    <w:lvlOverride w:ilvl="1"/>
    <w:lvlOverride w:ilvl="2"/>
    <w:lvlOverride w:ilvl="3"/>
    <w:lvlOverride w:ilvl="4"/>
    <w:lvlOverride w:ilvl="5"/>
    <w:lvlOverride w:ilvl="6"/>
    <w:lvlOverride w:ilvl="7"/>
    <w:lvlOverride w:ilvl="8"/>
  </w:num>
  <w:num w:numId="11">
    <w:abstractNumId w:val="16"/>
    <w:lvlOverride w:ilvl="0"/>
    <w:lvlOverride w:ilvl="1"/>
    <w:lvlOverride w:ilvl="2"/>
    <w:lvlOverride w:ilvl="3"/>
    <w:lvlOverride w:ilvl="4"/>
    <w:lvlOverride w:ilvl="5"/>
    <w:lvlOverride w:ilvl="6"/>
    <w:lvlOverride w:ilvl="7"/>
    <w:lvlOverride w:ilvl="8"/>
  </w:num>
  <w:num w:numId="12">
    <w:abstractNumId w:val="18"/>
    <w:lvlOverride w:ilvl="0"/>
    <w:lvlOverride w:ilvl="1"/>
    <w:lvlOverride w:ilvl="2"/>
    <w:lvlOverride w:ilvl="3"/>
    <w:lvlOverride w:ilvl="4"/>
    <w:lvlOverride w:ilvl="5"/>
    <w:lvlOverride w:ilvl="6"/>
    <w:lvlOverride w:ilvl="7"/>
    <w:lvlOverride w:ilvl="8"/>
  </w:num>
  <w:num w:numId="13">
    <w:abstractNumId w:val="17"/>
    <w:lvlOverride w:ilvl="0"/>
    <w:lvlOverride w:ilvl="1"/>
    <w:lvlOverride w:ilvl="2"/>
    <w:lvlOverride w:ilvl="3"/>
    <w:lvlOverride w:ilvl="4"/>
    <w:lvlOverride w:ilvl="5"/>
    <w:lvlOverride w:ilvl="6"/>
    <w:lvlOverride w:ilvl="7"/>
    <w:lvlOverride w:ilvl="8"/>
  </w:num>
  <w:num w:numId="14">
    <w:abstractNumId w:val="21"/>
    <w:lvlOverride w:ilvl="0"/>
    <w:lvlOverride w:ilvl="1"/>
    <w:lvlOverride w:ilvl="2"/>
    <w:lvlOverride w:ilvl="3"/>
    <w:lvlOverride w:ilvl="4"/>
    <w:lvlOverride w:ilvl="5"/>
    <w:lvlOverride w:ilvl="6"/>
    <w:lvlOverride w:ilvl="7"/>
    <w:lvlOverride w:ilvl="8"/>
  </w:num>
  <w:num w:numId="15">
    <w:abstractNumId w:val="27"/>
    <w:lvlOverride w:ilvl="0"/>
    <w:lvlOverride w:ilvl="1"/>
    <w:lvlOverride w:ilvl="2"/>
    <w:lvlOverride w:ilvl="3"/>
    <w:lvlOverride w:ilvl="4"/>
    <w:lvlOverride w:ilvl="5"/>
    <w:lvlOverride w:ilvl="6"/>
    <w:lvlOverride w:ilvl="7"/>
    <w:lvlOverride w:ilvl="8"/>
  </w:num>
  <w:num w:numId="16">
    <w:abstractNumId w:val="9"/>
    <w:lvlOverride w:ilvl="0"/>
    <w:lvlOverride w:ilvl="1"/>
    <w:lvlOverride w:ilvl="2"/>
    <w:lvlOverride w:ilvl="3"/>
    <w:lvlOverride w:ilvl="4"/>
    <w:lvlOverride w:ilvl="5"/>
    <w:lvlOverride w:ilvl="6"/>
    <w:lvlOverride w:ilvl="7"/>
    <w:lvlOverride w:ilvl="8"/>
  </w:num>
  <w:num w:numId="17">
    <w:abstractNumId w:val="0"/>
    <w:lvlOverride w:ilvl="0"/>
    <w:lvlOverride w:ilvl="1"/>
    <w:lvlOverride w:ilvl="2"/>
    <w:lvlOverride w:ilvl="3"/>
    <w:lvlOverride w:ilvl="4"/>
    <w:lvlOverride w:ilvl="5"/>
    <w:lvlOverride w:ilvl="6"/>
    <w:lvlOverride w:ilvl="7"/>
    <w:lvlOverride w:ilvl="8"/>
  </w:num>
  <w:num w:numId="18">
    <w:abstractNumId w:val="5"/>
    <w:lvlOverride w:ilvl="0"/>
    <w:lvlOverride w:ilvl="1"/>
    <w:lvlOverride w:ilvl="2"/>
    <w:lvlOverride w:ilvl="3"/>
    <w:lvlOverride w:ilvl="4"/>
    <w:lvlOverride w:ilvl="5"/>
    <w:lvlOverride w:ilvl="6"/>
    <w:lvlOverride w:ilvl="7"/>
    <w:lvlOverride w:ilvl="8"/>
  </w:num>
  <w:num w:numId="19">
    <w:abstractNumId w:val="8"/>
    <w:lvlOverride w:ilvl="0"/>
    <w:lvlOverride w:ilvl="1"/>
    <w:lvlOverride w:ilvl="2"/>
    <w:lvlOverride w:ilvl="3"/>
    <w:lvlOverride w:ilvl="4"/>
    <w:lvlOverride w:ilvl="5"/>
    <w:lvlOverride w:ilvl="6"/>
    <w:lvlOverride w:ilvl="7"/>
    <w:lvlOverride w:ilvl="8"/>
  </w:num>
  <w:num w:numId="20">
    <w:abstractNumId w:val="25"/>
    <w:lvlOverride w:ilvl="0"/>
    <w:lvlOverride w:ilvl="1"/>
    <w:lvlOverride w:ilvl="2"/>
    <w:lvlOverride w:ilvl="3"/>
    <w:lvlOverride w:ilvl="4"/>
    <w:lvlOverride w:ilvl="5"/>
    <w:lvlOverride w:ilvl="6"/>
    <w:lvlOverride w:ilvl="7"/>
    <w:lvlOverride w:ilvl="8"/>
  </w:num>
  <w:num w:numId="21">
    <w:abstractNumId w:val="23"/>
    <w:lvlOverride w:ilvl="0"/>
    <w:lvlOverride w:ilvl="1"/>
    <w:lvlOverride w:ilvl="2"/>
    <w:lvlOverride w:ilvl="3"/>
    <w:lvlOverride w:ilvl="4"/>
    <w:lvlOverride w:ilvl="5"/>
    <w:lvlOverride w:ilvl="6"/>
    <w:lvlOverride w:ilvl="7"/>
    <w:lvlOverride w:ilvl="8"/>
  </w:num>
  <w:num w:numId="22">
    <w:abstractNumId w:val="3"/>
    <w:lvlOverride w:ilvl="0"/>
    <w:lvlOverride w:ilvl="1"/>
    <w:lvlOverride w:ilvl="2"/>
    <w:lvlOverride w:ilvl="3"/>
    <w:lvlOverride w:ilvl="4"/>
    <w:lvlOverride w:ilvl="5"/>
    <w:lvlOverride w:ilvl="6"/>
    <w:lvlOverride w:ilvl="7"/>
    <w:lvlOverride w:ilvl="8"/>
  </w:num>
  <w:num w:numId="23">
    <w:abstractNumId w:val="19"/>
    <w:lvlOverride w:ilvl="0"/>
    <w:lvlOverride w:ilvl="1"/>
    <w:lvlOverride w:ilvl="2"/>
    <w:lvlOverride w:ilvl="3"/>
    <w:lvlOverride w:ilvl="4"/>
    <w:lvlOverride w:ilvl="5"/>
    <w:lvlOverride w:ilvl="6"/>
    <w:lvlOverride w:ilvl="7"/>
    <w:lvlOverride w:ilvl="8"/>
  </w:num>
  <w:num w:numId="24">
    <w:abstractNumId w:val="11"/>
    <w:lvlOverride w:ilvl="0"/>
    <w:lvlOverride w:ilvl="1"/>
    <w:lvlOverride w:ilvl="2"/>
    <w:lvlOverride w:ilvl="3"/>
    <w:lvlOverride w:ilvl="4"/>
    <w:lvlOverride w:ilvl="5"/>
    <w:lvlOverride w:ilvl="6"/>
    <w:lvlOverride w:ilvl="7"/>
    <w:lvlOverride w:ilvl="8"/>
  </w:num>
  <w:num w:numId="25">
    <w:abstractNumId w:val="1"/>
    <w:lvlOverride w:ilvl="0"/>
    <w:lvlOverride w:ilvl="1"/>
    <w:lvlOverride w:ilvl="2"/>
    <w:lvlOverride w:ilvl="3"/>
    <w:lvlOverride w:ilvl="4"/>
    <w:lvlOverride w:ilvl="5"/>
    <w:lvlOverride w:ilvl="6"/>
    <w:lvlOverride w:ilvl="7"/>
    <w:lvlOverride w:ilvl="8"/>
  </w:num>
  <w:num w:numId="26">
    <w:abstractNumId w:val="14"/>
    <w:lvlOverride w:ilvl="0"/>
    <w:lvlOverride w:ilvl="1"/>
    <w:lvlOverride w:ilvl="2"/>
    <w:lvlOverride w:ilvl="3"/>
    <w:lvlOverride w:ilvl="4"/>
    <w:lvlOverride w:ilvl="5"/>
    <w:lvlOverride w:ilvl="6"/>
    <w:lvlOverride w:ilvl="7"/>
    <w:lvlOverride w:ilvl="8"/>
  </w:num>
  <w:num w:numId="27">
    <w:abstractNumId w:val="28"/>
    <w:lvlOverride w:ilvl="0"/>
    <w:lvlOverride w:ilvl="1"/>
    <w:lvlOverride w:ilvl="2"/>
    <w:lvlOverride w:ilvl="3"/>
    <w:lvlOverride w:ilvl="4"/>
    <w:lvlOverride w:ilvl="5"/>
    <w:lvlOverride w:ilvl="6"/>
    <w:lvlOverride w:ilvl="7"/>
    <w:lvlOverride w:ilvl="8"/>
  </w:num>
  <w:num w:numId="28">
    <w:abstractNumId w:val="10"/>
    <w:lvlOverride w:ilvl="0"/>
    <w:lvlOverride w:ilvl="1"/>
    <w:lvlOverride w:ilvl="2"/>
    <w:lvlOverride w:ilvl="3"/>
    <w:lvlOverride w:ilvl="4"/>
    <w:lvlOverride w:ilvl="5"/>
    <w:lvlOverride w:ilvl="6"/>
    <w:lvlOverride w:ilvl="7"/>
    <w:lvlOverride w:ilvl="8"/>
  </w:num>
  <w:num w:numId="29">
    <w:abstractNumId w:val="2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666"/>
    <w:rsid w:val="00067F56"/>
    <w:rsid w:val="001065B7"/>
    <w:rsid w:val="00144230"/>
    <w:rsid w:val="0015146D"/>
    <w:rsid w:val="001A0A6B"/>
    <w:rsid w:val="0021482C"/>
    <w:rsid w:val="002F16D5"/>
    <w:rsid w:val="00436F75"/>
    <w:rsid w:val="004406EB"/>
    <w:rsid w:val="00470160"/>
    <w:rsid w:val="00645735"/>
    <w:rsid w:val="006B3639"/>
    <w:rsid w:val="006C4C3B"/>
    <w:rsid w:val="006E28A1"/>
    <w:rsid w:val="00714A7E"/>
    <w:rsid w:val="00717130"/>
    <w:rsid w:val="00752974"/>
    <w:rsid w:val="00757666"/>
    <w:rsid w:val="007A36AA"/>
    <w:rsid w:val="008C13B0"/>
    <w:rsid w:val="008E7AC5"/>
    <w:rsid w:val="00966F92"/>
    <w:rsid w:val="009F71B2"/>
    <w:rsid w:val="00A019FB"/>
    <w:rsid w:val="00B70CC2"/>
    <w:rsid w:val="00D22D54"/>
    <w:rsid w:val="00D332C6"/>
    <w:rsid w:val="00DF0CEE"/>
    <w:rsid w:val="00E324CB"/>
    <w:rsid w:val="00E6599C"/>
    <w:rsid w:val="00EE7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DB51C3"/>
  <w15:chartTrackingRefBased/>
  <w15:docId w15:val="{BEFC50A1-E68B-4736-ACFE-3325918C0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4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7576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5766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576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7666"/>
    <w:rPr>
      <w:b/>
      <w:bCs/>
    </w:rPr>
  </w:style>
  <w:style w:type="character" w:styleId="Emphasis">
    <w:name w:val="Emphasis"/>
    <w:basedOn w:val="DefaultParagraphFont"/>
    <w:uiPriority w:val="20"/>
    <w:qFormat/>
    <w:rsid w:val="00757666"/>
    <w:rPr>
      <w:i/>
      <w:iCs/>
    </w:rPr>
  </w:style>
  <w:style w:type="character" w:customStyle="1" w:styleId="Heading1Char">
    <w:name w:val="Heading 1 Char"/>
    <w:basedOn w:val="DefaultParagraphFont"/>
    <w:link w:val="Heading1"/>
    <w:uiPriority w:val="9"/>
    <w:rsid w:val="00E324C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24CB"/>
    <w:pPr>
      <w:outlineLvl w:val="9"/>
    </w:pPr>
  </w:style>
  <w:style w:type="paragraph" w:styleId="TOC3">
    <w:name w:val="toc 3"/>
    <w:basedOn w:val="Normal"/>
    <w:next w:val="Normal"/>
    <w:autoRedefine/>
    <w:uiPriority w:val="39"/>
    <w:unhideWhenUsed/>
    <w:rsid w:val="00E324CB"/>
    <w:pPr>
      <w:spacing w:after="100"/>
      <w:ind w:left="440"/>
    </w:pPr>
  </w:style>
  <w:style w:type="character" w:styleId="Hyperlink">
    <w:name w:val="Hyperlink"/>
    <w:basedOn w:val="DefaultParagraphFont"/>
    <w:uiPriority w:val="99"/>
    <w:unhideWhenUsed/>
    <w:rsid w:val="00E324CB"/>
    <w:rPr>
      <w:color w:val="0563C1" w:themeColor="hyperlink"/>
      <w:u w:val="single"/>
    </w:rPr>
  </w:style>
  <w:style w:type="paragraph" w:styleId="Header">
    <w:name w:val="header"/>
    <w:basedOn w:val="Normal"/>
    <w:link w:val="HeaderChar"/>
    <w:uiPriority w:val="99"/>
    <w:unhideWhenUsed/>
    <w:rsid w:val="00966F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6F92"/>
  </w:style>
  <w:style w:type="paragraph" w:styleId="Footer">
    <w:name w:val="footer"/>
    <w:basedOn w:val="Normal"/>
    <w:link w:val="FooterChar"/>
    <w:uiPriority w:val="99"/>
    <w:unhideWhenUsed/>
    <w:rsid w:val="00966F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6F92"/>
  </w:style>
  <w:style w:type="paragraph" w:styleId="TOC2">
    <w:name w:val="toc 2"/>
    <w:basedOn w:val="Normal"/>
    <w:next w:val="Normal"/>
    <w:autoRedefine/>
    <w:uiPriority w:val="39"/>
    <w:unhideWhenUsed/>
    <w:rsid w:val="009F71B2"/>
    <w:pPr>
      <w:spacing w:after="100"/>
      <w:ind w:left="220"/>
    </w:pPr>
  </w:style>
  <w:style w:type="table" w:styleId="TableGrid">
    <w:name w:val="Table Grid"/>
    <w:basedOn w:val="TableNormal"/>
    <w:uiPriority w:val="39"/>
    <w:rsid w:val="00B70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70CC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01435">
      <w:bodyDiv w:val="1"/>
      <w:marLeft w:val="0"/>
      <w:marRight w:val="0"/>
      <w:marTop w:val="0"/>
      <w:marBottom w:val="0"/>
      <w:divBdr>
        <w:top w:val="none" w:sz="0" w:space="0" w:color="auto"/>
        <w:left w:val="none" w:sz="0" w:space="0" w:color="auto"/>
        <w:bottom w:val="none" w:sz="0" w:space="0" w:color="auto"/>
        <w:right w:val="none" w:sz="0" w:space="0" w:color="auto"/>
      </w:divBdr>
    </w:div>
    <w:div w:id="83961048">
      <w:bodyDiv w:val="1"/>
      <w:marLeft w:val="0"/>
      <w:marRight w:val="0"/>
      <w:marTop w:val="0"/>
      <w:marBottom w:val="0"/>
      <w:divBdr>
        <w:top w:val="none" w:sz="0" w:space="0" w:color="auto"/>
        <w:left w:val="none" w:sz="0" w:space="0" w:color="auto"/>
        <w:bottom w:val="none" w:sz="0" w:space="0" w:color="auto"/>
        <w:right w:val="none" w:sz="0" w:space="0" w:color="auto"/>
      </w:divBdr>
    </w:div>
    <w:div w:id="534200909">
      <w:bodyDiv w:val="1"/>
      <w:marLeft w:val="0"/>
      <w:marRight w:val="0"/>
      <w:marTop w:val="0"/>
      <w:marBottom w:val="0"/>
      <w:divBdr>
        <w:top w:val="none" w:sz="0" w:space="0" w:color="auto"/>
        <w:left w:val="none" w:sz="0" w:space="0" w:color="auto"/>
        <w:bottom w:val="none" w:sz="0" w:space="0" w:color="auto"/>
        <w:right w:val="none" w:sz="0" w:space="0" w:color="auto"/>
      </w:divBdr>
    </w:div>
    <w:div w:id="1987473179">
      <w:bodyDiv w:val="1"/>
      <w:marLeft w:val="0"/>
      <w:marRight w:val="0"/>
      <w:marTop w:val="0"/>
      <w:marBottom w:val="0"/>
      <w:divBdr>
        <w:top w:val="none" w:sz="0" w:space="0" w:color="auto"/>
        <w:left w:val="none" w:sz="0" w:space="0" w:color="auto"/>
        <w:bottom w:val="none" w:sz="0" w:space="0" w:color="auto"/>
        <w:right w:val="none" w:sz="0" w:space="0" w:color="auto"/>
      </w:divBdr>
    </w:div>
    <w:div w:id="2036155786">
      <w:bodyDiv w:val="1"/>
      <w:marLeft w:val="0"/>
      <w:marRight w:val="0"/>
      <w:marTop w:val="0"/>
      <w:marBottom w:val="0"/>
      <w:divBdr>
        <w:top w:val="none" w:sz="0" w:space="0" w:color="auto"/>
        <w:left w:val="none" w:sz="0" w:space="0" w:color="auto"/>
        <w:bottom w:val="none" w:sz="0" w:space="0" w:color="auto"/>
        <w:right w:val="none" w:sz="0" w:space="0" w:color="auto"/>
      </w:divBdr>
      <w:divsChild>
        <w:div w:id="411589356">
          <w:marLeft w:val="0"/>
          <w:marRight w:val="0"/>
          <w:marTop w:val="0"/>
          <w:marBottom w:val="0"/>
          <w:divBdr>
            <w:top w:val="none" w:sz="0" w:space="0" w:color="auto"/>
            <w:left w:val="none" w:sz="0" w:space="0" w:color="auto"/>
            <w:bottom w:val="none" w:sz="0" w:space="0" w:color="auto"/>
            <w:right w:val="none" w:sz="0" w:space="0" w:color="auto"/>
          </w:divBdr>
        </w:div>
        <w:div w:id="1445424226">
          <w:marLeft w:val="0"/>
          <w:marRight w:val="0"/>
          <w:marTop w:val="0"/>
          <w:marBottom w:val="0"/>
          <w:divBdr>
            <w:top w:val="none" w:sz="0" w:space="0" w:color="auto"/>
            <w:left w:val="none" w:sz="0" w:space="0" w:color="auto"/>
            <w:bottom w:val="none" w:sz="0" w:space="0" w:color="auto"/>
            <w:right w:val="none" w:sz="0" w:space="0" w:color="auto"/>
          </w:divBdr>
        </w:div>
        <w:div w:id="117797731">
          <w:marLeft w:val="0"/>
          <w:marRight w:val="0"/>
          <w:marTop w:val="0"/>
          <w:marBottom w:val="0"/>
          <w:divBdr>
            <w:top w:val="none" w:sz="0" w:space="0" w:color="auto"/>
            <w:left w:val="none" w:sz="0" w:space="0" w:color="auto"/>
            <w:bottom w:val="none" w:sz="0" w:space="0" w:color="auto"/>
            <w:right w:val="none" w:sz="0" w:space="0" w:color="auto"/>
          </w:divBdr>
        </w:div>
        <w:div w:id="1268778613">
          <w:marLeft w:val="0"/>
          <w:marRight w:val="0"/>
          <w:marTop w:val="0"/>
          <w:marBottom w:val="0"/>
          <w:divBdr>
            <w:top w:val="none" w:sz="0" w:space="0" w:color="auto"/>
            <w:left w:val="none" w:sz="0" w:space="0" w:color="auto"/>
            <w:bottom w:val="none" w:sz="0" w:space="0" w:color="auto"/>
            <w:right w:val="none" w:sz="0" w:space="0" w:color="auto"/>
          </w:divBdr>
        </w:div>
        <w:div w:id="294650313">
          <w:marLeft w:val="0"/>
          <w:marRight w:val="0"/>
          <w:marTop w:val="0"/>
          <w:marBottom w:val="0"/>
          <w:divBdr>
            <w:top w:val="none" w:sz="0" w:space="0" w:color="auto"/>
            <w:left w:val="none" w:sz="0" w:space="0" w:color="auto"/>
            <w:bottom w:val="none" w:sz="0" w:space="0" w:color="auto"/>
            <w:right w:val="none" w:sz="0" w:space="0" w:color="auto"/>
          </w:divBdr>
        </w:div>
        <w:div w:id="1254315559">
          <w:marLeft w:val="0"/>
          <w:marRight w:val="0"/>
          <w:marTop w:val="0"/>
          <w:marBottom w:val="0"/>
          <w:divBdr>
            <w:top w:val="none" w:sz="0" w:space="0" w:color="auto"/>
            <w:left w:val="none" w:sz="0" w:space="0" w:color="auto"/>
            <w:bottom w:val="none" w:sz="0" w:space="0" w:color="auto"/>
            <w:right w:val="none" w:sz="0" w:space="0" w:color="auto"/>
          </w:divBdr>
        </w:div>
        <w:div w:id="1308822808">
          <w:marLeft w:val="0"/>
          <w:marRight w:val="0"/>
          <w:marTop w:val="0"/>
          <w:marBottom w:val="0"/>
          <w:divBdr>
            <w:top w:val="none" w:sz="0" w:space="0" w:color="auto"/>
            <w:left w:val="none" w:sz="0" w:space="0" w:color="auto"/>
            <w:bottom w:val="none" w:sz="0" w:space="0" w:color="auto"/>
            <w:right w:val="none" w:sz="0" w:space="0" w:color="auto"/>
          </w:divBdr>
        </w:div>
        <w:div w:id="363336751">
          <w:marLeft w:val="0"/>
          <w:marRight w:val="0"/>
          <w:marTop w:val="0"/>
          <w:marBottom w:val="0"/>
          <w:divBdr>
            <w:top w:val="none" w:sz="0" w:space="0" w:color="auto"/>
            <w:left w:val="none" w:sz="0" w:space="0" w:color="auto"/>
            <w:bottom w:val="none" w:sz="0" w:space="0" w:color="auto"/>
            <w:right w:val="none" w:sz="0" w:space="0" w:color="auto"/>
          </w:divBdr>
        </w:div>
        <w:div w:id="569734315">
          <w:marLeft w:val="0"/>
          <w:marRight w:val="0"/>
          <w:marTop w:val="0"/>
          <w:marBottom w:val="0"/>
          <w:divBdr>
            <w:top w:val="none" w:sz="0" w:space="0" w:color="auto"/>
            <w:left w:val="none" w:sz="0" w:space="0" w:color="auto"/>
            <w:bottom w:val="none" w:sz="0" w:space="0" w:color="auto"/>
            <w:right w:val="none" w:sz="0" w:space="0" w:color="auto"/>
          </w:divBdr>
        </w:div>
        <w:div w:id="1886719023">
          <w:marLeft w:val="0"/>
          <w:marRight w:val="0"/>
          <w:marTop w:val="0"/>
          <w:marBottom w:val="0"/>
          <w:divBdr>
            <w:top w:val="none" w:sz="0" w:space="0" w:color="auto"/>
            <w:left w:val="none" w:sz="0" w:space="0" w:color="auto"/>
            <w:bottom w:val="none" w:sz="0" w:space="0" w:color="auto"/>
            <w:right w:val="none" w:sz="0" w:space="0" w:color="auto"/>
          </w:divBdr>
        </w:div>
        <w:div w:id="1823505750">
          <w:marLeft w:val="0"/>
          <w:marRight w:val="0"/>
          <w:marTop w:val="0"/>
          <w:marBottom w:val="0"/>
          <w:divBdr>
            <w:top w:val="none" w:sz="0" w:space="0" w:color="auto"/>
            <w:left w:val="none" w:sz="0" w:space="0" w:color="auto"/>
            <w:bottom w:val="none" w:sz="0" w:space="0" w:color="auto"/>
            <w:right w:val="none" w:sz="0" w:space="0" w:color="auto"/>
          </w:divBdr>
        </w:div>
        <w:div w:id="1814592108">
          <w:marLeft w:val="0"/>
          <w:marRight w:val="0"/>
          <w:marTop w:val="0"/>
          <w:marBottom w:val="0"/>
          <w:divBdr>
            <w:top w:val="none" w:sz="0" w:space="0" w:color="auto"/>
            <w:left w:val="none" w:sz="0" w:space="0" w:color="auto"/>
            <w:bottom w:val="none" w:sz="0" w:space="0" w:color="auto"/>
            <w:right w:val="none" w:sz="0" w:space="0" w:color="auto"/>
          </w:divBdr>
        </w:div>
        <w:div w:id="901327988">
          <w:marLeft w:val="0"/>
          <w:marRight w:val="0"/>
          <w:marTop w:val="0"/>
          <w:marBottom w:val="0"/>
          <w:divBdr>
            <w:top w:val="none" w:sz="0" w:space="0" w:color="auto"/>
            <w:left w:val="none" w:sz="0" w:space="0" w:color="auto"/>
            <w:bottom w:val="none" w:sz="0" w:space="0" w:color="auto"/>
            <w:right w:val="none" w:sz="0" w:space="0" w:color="auto"/>
          </w:divBdr>
        </w:div>
        <w:div w:id="21467015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tx>
            <c:strRef>
              <c:f>[Book1]Sheet1!$D$2</c:f>
              <c:strCache>
                <c:ptCount val="1"/>
                <c:pt idx="0">
                  <c:v>Cost (ETB)</c:v>
                </c:pt>
              </c:strCache>
            </c:strRef>
          </c:tx>
          <c:spPr>
            <a:solidFill>
              <a:schemeClr val="accent1"/>
            </a:solidFill>
            <a:ln>
              <a:noFill/>
            </a:ln>
            <a:effectLst/>
            <a:sp3d/>
          </c:spPr>
          <c:invertIfNegative val="0"/>
          <c:cat>
            <c:strRef>
              <c:f>[Book1]Sheet1!$A$3:$C$13</c:f>
              <c:strCache>
                <c:ptCount val="11"/>
                <c:pt idx="0">
                  <c:v>Procurement Efficiency</c:v>
                </c:pt>
                <c:pt idx="1">
                  <c:v>Inventory Management</c:v>
                </c:pt>
                <c:pt idx="2">
                  <c:v>Demand Forecasting</c:v>
                </c:pt>
                <c:pt idx="3">
                  <c:v>Supplier &amp; Distribution Performance</c:v>
                </c:pt>
                <c:pt idx="4">
                  <c:v>Financial Management &amp; Cost Efficiency</c:v>
                </c:pt>
                <c:pt idx="5">
                  <c:v>Monitoring &amp; Reporting</c:v>
                </c:pt>
                <c:pt idx="6">
                  <c:v>Technology &amp; System Integration</c:v>
                </c:pt>
                <c:pt idx="7">
                  <c:v>Communication &amp; Coordination</c:v>
                </c:pt>
                <c:pt idx="8">
                  <c:v>Waste Reduction</c:v>
                </c:pt>
                <c:pt idx="9">
                  <c:v>Storage Practice</c:v>
                </c:pt>
                <c:pt idx="10">
                  <c:v>Dispensing Practice</c:v>
                </c:pt>
              </c:strCache>
            </c:strRef>
          </c:cat>
          <c:val>
            <c:numRef>
              <c:f>[Book1]Sheet1!$D$3:$D$13</c:f>
            </c:numRef>
          </c:val>
          <c:extLst>
            <c:ext xmlns:c16="http://schemas.microsoft.com/office/drawing/2014/chart" uri="{C3380CC4-5D6E-409C-BE32-E72D297353CC}">
              <c16:uniqueId val="{00000000-ABFE-47EA-BA84-D831649FEBC2}"/>
            </c:ext>
          </c:extLst>
        </c:ser>
        <c:ser>
          <c:idx val="1"/>
          <c:order val="1"/>
          <c:tx>
            <c:strRef>
              <c:f>[Book1]Sheet1!$E$2</c:f>
              <c:strCache>
                <c:ptCount val="1"/>
                <c:pt idx="0">
                  <c:v>Contribution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[Book1]Sheet1!$A$3:$C$13</c:f>
              <c:strCache>
                <c:ptCount val="11"/>
                <c:pt idx="0">
                  <c:v>Procurement Efficiency</c:v>
                </c:pt>
                <c:pt idx="1">
                  <c:v>Inventory Management</c:v>
                </c:pt>
                <c:pt idx="2">
                  <c:v>Demand Forecasting</c:v>
                </c:pt>
                <c:pt idx="3">
                  <c:v>Supplier &amp; Distribution Performance</c:v>
                </c:pt>
                <c:pt idx="4">
                  <c:v>Financial Management &amp; Cost Efficiency</c:v>
                </c:pt>
                <c:pt idx="5">
                  <c:v>Monitoring &amp; Reporting</c:v>
                </c:pt>
                <c:pt idx="6">
                  <c:v>Technology &amp; System Integration</c:v>
                </c:pt>
                <c:pt idx="7">
                  <c:v>Communication &amp; Coordination</c:v>
                </c:pt>
                <c:pt idx="8">
                  <c:v>Waste Reduction</c:v>
                </c:pt>
                <c:pt idx="9">
                  <c:v>Storage Practice</c:v>
                </c:pt>
                <c:pt idx="10">
                  <c:v>Dispensing Practice</c:v>
                </c:pt>
              </c:strCache>
            </c:strRef>
          </c:cat>
          <c:val>
            <c:numRef>
              <c:f>[Book1]Sheet1!$E$3:$E$13</c:f>
              <c:numCache>
                <c:formatCode>General</c:formatCode>
                <c:ptCount val="11"/>
                <c:pt idx="0">
                  <c:v>1.5</c:v>
                </c:pt>
                <c:pt idx="1">
                  <c:v>1.4</c:v>
                </c:pt>
                <c:pt idx="2">
                  <c:v>2</c:v>
                </c:pt>
                <c:pt idx="3">
                  <c:v>1</c:v>
                </c:pt>
                <c:pt idx="4">
                  <c:v>1.2</c:v>
                </c:pt>
                <c:pt idx="5">
                  <c:v>1.3</c:v>
                </c:pt>
                <c:pt idx="6">
                  <c:v>1.4</c:v>
                </c:pt>
                <c:pt idx="7">
                  <c:v>1.5</c:v>
                </c:pt>
                <c:pt idx="8">
                  <c:v>1.3</c:v>
                </c:pt>
                <c:pt idx="9">
                  <c:v>1.6</c:v>
                </c:pt>
                <c:pt idx="10">
                  <c:v>1.7</c:v>
                </c:pt>
              </c:numCache>
            </c:numRef>
          </c:val>
          <c:extLst>
            <c:ext xmlns:c16="http://schemas.microsoft.com/office/drawing/2014/chart" uri="{C3380CC4-5D6E-409C-BE32-E72D297353CC}">
              <c16:uniqueId val="{00000001-ABFE-47EA-BA84-D831649FEBC2}"/>
            </c:ext>
          </c:extLst>
        </c:ser>
        <c:dLbls>
          <c:showLegendKey val="0"/>
          <c:showVal val="0"/>
          <c:showCatName val="0"/>
          <c:showSerName val="0"/>
          <c:showPercent val="0"/>
          <c:showBubbleSize val="0"/>
        </c:dLbls>
        <c:gapWidth val="150"/>
        <c:shape val="box"/>
        <c:axId val="1405296063"/>
        <c:axId val="1405296895"/>
        <c:axId val="1404205983"/>
      </c:bar3DChart>
      <c:catAx>
        <c:axId val="140529606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crossAx val="1405296895"/>
        <c:crosses val="autoZero"/>
        <c:auto val="1"/>
        <c:lblAlgn val="ctr"/>
        <c:lblOffset val="100"/>
        <c:noMultiLvlLbl val="0"/>
      </c:catAx>
      <c:valAx>
        <c:axId val="14052968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5296063"/>
        <c:crosses val="autoZero"/>
        <c:crossBetween val="between"/>
      </c:valAx>
      <c:serAx>
        <c:axId val="1404205983"/>
        <c:scaling>
          <c:orientation val="minMax"/>
        </c:scaling>
        <c:delete val="1"/>
        <c:axPos val="b"/>
        <c:majorTickMark val="none"/>
        <c:minorTickMark val="none"/>
        <c:tickLblPos val="nextTo"/>
        <c:crossAx val="1405296895"/>
        <c:crosses val="autoZero"/>
      </c:ser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F7415-AF84-4A4A-AF36-8BC74AE8E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12</Pages>
  <Words>2147</Words>
  <Characters>12244</Characters>
  <Application>Microsoft Office Word</Application>
  <DocSecurity>0</DocSecurity>
  <Lines>102</Lines>
  <Paragraphs>28</Paragraphs>
  <ScaleCrop>false</ScaleCrop>
  <Company/>
  <LinksUpToDate>false</LinksUpToDate>
  <CharactersWithSpaces>14363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45</cp:revision>
  <dcterms:created xsi:type="dcterms:W3CDTF">2025-07-09T19:46:00Z</dcterms:created>
  <dcterms:modified xsi:type="dcterms:W3CDTF">2025-07-09T20:56:00Z</dcterms:modified>
</cp:coreProperties>
</file>