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9E20A" w14:textId="465F8E5F" w:rsidR="00A16E12" w:rsidRPr="00A16E12" w:rsidRDefault="005A6399" w:rsidP="005A6399">
      <w:pPr>
        <w:spacing w:after="0" w:line="240" w:lineRule="auto"/>
        <w:jc w:val="center"/>
        <w:rPr>
          <w:rFonts w:ascii="Rockwell" w:eastAsia="Times New Roman" w:hAnsi="Rockwell" w:cs="Times New Roman"/>
          <w:sz w:val="24"/>
          <w:szCs w:val="24"/>
        </w:rPr>
      </w:pPr>
      <w:r>
        <w:rPr>
          <w:rFonts w:ascii="Rockwell" w:eastAsia="Times New Roman" w:hAnsi="Rockwell" w:cs="Times New Roman"/>
          <w:noProof/>
          <w:sz w:val="24"/>
          <w:szCs w:val="24"/>
        </w:rPr>
        <w:drawing>
          <wp:inline distT="0" distB="0" distL="0" distR="0" wp14:anchorId="5AE5A861" wp14:editId="22B14E9D">
            <wp:extent cx="1819529" cy="169568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819529" cy="1695687"/>
                    </a:xfrm>
                    <a:prstGeom prst="rect">
                      <a:avLst/>
                    </a:prstGeom>
                  </pic:spPr>
                </pic:pic>
              </a:graphicData>
            </a:graphic>
          </wp:inline>
        </w:drawing>
      </w:r>
      <w:r w:rsidR="00A16E12" w:rsidRPr="00A16E12">
        <w:rPr>
          <w:rFonts w:ascii="Rockwell" w:eastAsia="Times New Roman" w:hAnsi="Rockwell" w:cs="Times New Roman"/>
          <w:sz w:val="24"/>
          <w:szCs w:val="24"/>
        </w:rPr>
        <w:pict w14:anchorId="45B7E9E7">
          <v:rect id="_x0000_i1025" style="width:0;height:1.5pt" o:hralign="center" o:hrstd="t" o:hr="t" fillcolor="#a0a0a0" stroked="f"/>
        </w:pict>
      </w:r>
    </w:p>
    <w:p w14:paraId="3A018B13" w14:textId="77777777" w:rsidR="00A16E12" w:rsidRPr="00A16E12" w:rsidRDefault="00A16E12" w:rsidP="0045408F">
      <w:pPr>
        <w:spacing w:before="100" w:beforeAutospacing="1" w:after="100" w:afterAutospacing="1" w:line="240" w:lineRule="auto"/>
        <w:jc w:val="center"/>
        <w:outlineLvl w:val="0"/>
        <w:rPr>
          <w:rFonts w:ascii="Rockwell" w:eastAsia="Times New Roman" w:hAnsi="Rockwell" w:cs="Times New Roman"/>
          <w:b/>
          <w:bCs/>
          <w:kern w:val="36"/>
          <w:sz w:val="64"/>
          <w:szCs w:val="64"/>
        </w:rPr>
      </w:pPr>
      <w:bookmarkStart w:id="0" w:name="_Toc203009149"/>
      <w:r w:rsidRPr="00A16E12">
        <w:rPr>
          <w:rFonts w:ascii="Rockwell" w:eastAsia="Times New Roman" w:hAnsi="Rockwell" w:cs="Times New Roman"/>
          <w:b/>
          <w:bCs/>
          <w:kern w:val="36"/>
          <w:sz w:val="64"/>
          <w:szCs w:val="64"/>
        </w:rPr>
        <w:t>DEDER GENERAL HOSPITAL</w:t>
      </w:r>
      <w:bookmarkEnd w:id="0"/>
    </w:p>
    <w:p w14:paraId="684131E4" w14:textId="77777777" w:rsidR="00A16E12" w:rsidRPr="00A16E12" w:rsidRDefault="00A16E12" w:rsidP="0045408F">
      <w:pPr>
        <w:spacing w:before="100" w:beforeAutospacing="1" w:after="100" w:afterAutospacing="1" w:line="240" w:lineRule="auto"/>
        <w:jc w:val="center"/>
        <w:outlineLvl w:val="1"/>
        <w:rPr>
          <w:rFonts w:ascii="Rockwell" w:eastAsia="Times New Roman" w:hAnsi="Rockwell" w:cs="Times New Roman"/>
          <w:b/>
          <w:bCs/>
          <w:sz w:val="36"/>
          <w:szCs w:val="36"/>
        </w:rPr>
      </w:pPr>
      <w:bookmarkStart w:id="1" w:name="_Toc203009150"/>
      <w:r w:rsidRPr="00A16E12">
        <w:rPr>
          <w:rFonts w:ascii="Rockwell" w:eastAsia="Times New Roman" w:hAnsi="Rockwell" w:cs="Times New Roman"/>
          <w:b/>
          <w:bCs/>
          <w:sz w:val="36"/>
          <w:szCs w:val="36"/>
        </w:rPr>
        <w:t>SUPPLY CHAIN INEFFICIENCY ASSESSMENT REPORT</w:t>
      </w:r>
      <w:bookmarkEnd w:id="1"/>
    </w:p>
    <w:p w14:paraId="2823D770" w14:textId="77777777" w:rsidR="00A16E12" w:rsidRPr="00A16E12" w:rsidRDefault="00A16E12" w:rsidP="00A16E12">
      <w:pPr>
        <w:spacing w:before="100" w:beforeAutospacing="1" w:after="100" w:afterAutospacing="1" w:line="240" w:lineRule="auto"/>
        <w:rPr>
          <w:rFonts w:ascii="Rockwell" w:eastAsia="Times New Roman" w:hAnsi="Rockwell" w:cs="Times New Roman"/>
          <w:sz w:val="36"/>
          <w:szCs w:val="36"/>
        </w:rPr>
      </w:pPr>
      <w:r w:rsidRPr="00A16E12">
        <w:rPr>
          <w:rFonts w:ascii="Rockwell" w:eastAsia="Times New Roman" w:hAnsi="Rockwell" w:cs="Times New Roman"/>
          <w:b/>
          <w:bCs/>
          <w:sz w:val="36"/>
          <w:szCs w:val="36"/>
        </w:rPr>
        <w:t>Quarter 3, 2016EC</w:t>
      </w:r>
    </w:p>
    <w:p w14:paraId="20F30A75" w14:textId="6A0C531F" w:rsidR="0045408F" w:rsidRDefault="00F75E4D" w:rsidP="00A16E12">
      <w:pPr>
        <w:spacing w:before="100" w:beforeAutospacing="1" w:after="100" w:afterAutospacing="1" w:line="240" w:lineRule="auto"/>
        <w:rPr>
          <w:rFonts w:ascii="Rockwell" w:eastAsia="Times New Roman" w:hAnsi="Rockwell" w:cs="Times New Roman"/>
          <w:sz w:val="32"/>
          <w:szCs w:val="32"/>
        </w:rPr>
      </w:pPr>
      <w:r w:rsidRPr="00A16E12">
        <w:rPr>
          <w:rFonts w:ascii="Rockwell" w:eastAsia="Times New Roman" w:hAnsi="Rockwell" w:cs="Times New Roman"/>
          <w:b/>
          <w:bCs/>
          <w:sz w:val="32"/>
          <w:szCs w:val="32"/>
        </w:rPr>
        <w:t>BY:</w:t>
      </w:r>
      <w:r w:rsidRPr="00A16E12">
        <w:rPr>
          <w:rFonts w:ascii="Rockwell" w:eastAsia="Times New Roman" w:hAnsi="Rockwell" w:cs="Times New Roman"/>
          <w:sz w:val="32"/>
          <w:szCs w:val="32"/>
        </w:rPr>
        <w:t xml:space="preserve"> DTC COMMITTEE</w:t>
      </w:r>
    </w:p>
    <w:p w14:paraId="3807769F" w14:textId="77777777" w:rsidR="0045408F" w:rsidRDefault="0045408F" w:rsidP="00A16E12">
      <w:pPr>
        <w:spacing w:before="100" w:beforeAutospacing="1" w:after="100" w:afterAutospacing="1" w:line="240" w:lineRule="auto"/>
        <w:rPr>
          <w:rFonts w:ascii="Rockwell" w:eastAsia="Times New Roman" w:hAnsi="Rockwell" w:cs="Times New Roman"/>
          <w:sz w:val="32"/>
          <w:szCs w:val="32"/>
        </w:rPr>
      </w:pPr>
    </w:p>
    <w:p w14:paraId="6F8F2D9C" w14:textId="77777777" w:rsidR="0045408F" w:rsidRDefault="0045408F" w:rsidP="00A16E12">
      <w:pPr>
        <w:spacing w:before="100" w:beforeAutospacing="1" w:after="100" w:afterAutospacing="1" w:line="240" w:lineRule="auto"/>
        <w:rPr>
          <w:rFonts w:ascii="Rockwell" w:eastAsia="Times New Roman" w:hAnsi="Rockwell" w:cs="Times New Roman"/>
          <w:sz w:val="32"/>
          <w:szCs w:val="32"/>
        </w:rPr>
      </w:pPr>
    </w:p>
    <w:p w14:paraId="3C84F555" w14:textId="77777777" w:rsidR="0045408F" w:rsidRDefault="0045408F" w:rsidP="00A16E12">
      <w:pPr>
        <w:spacing w:before="100" w:beforeAutospacing="1" w:after="100" w:afterAutospacing="1" w:line="240" w:lineRule="auto"/>
        <w:rPr>
          <w:rFonts w:ascii="Rockwell" w:eastAsia="Times New Roman" w:hAnsi="Rockwell" w:cs="Times New Roman"/>
          <w:sz w:val="32"/>
          <w:szCs w:val="32"/>
        </w:rPr>
      </w:pPr>
    </w:p>
    <w:p w14:paraId="3673713C" w14:textId="77777777" w:rsidR="0045408F" w:rsidRDefault="0045408F" w:rsidP="00A16E12">
      <w:pPr>
        <w:spacing w:before="100" w:beforeAutospacing="1" w:after="100" w:afterAutospacing="1" w:line="240" w:lineRule="auto"/>
        <w:rPr>
          <w:rFonts w:ascii="Rockwell" w:eastAsia="Times New Roman" w:hAnsi="Rockwell" w:cs="Times New Roman"/>
          <w:sz w:val="32"/>
          <w:szCs w:val="32"/>
        </w:rPr>
      </w:pPr>
    </w:p>
    <w:p w14:paraId="785D0669" w14:textId="77777777" w:rsidR="0045408F" w:rsidRDefault="0045408F" w:rsidP="00A16E12">
      <w:pPr>
        <w:spacing w:before="100" w:beforeAutospacing="1" w:after="100" w:afterAutospacing="1" w:line="240" w:lineRule="auto"/>
        <w:rPr>
          <w:rFonts w:ascii="Rockwell" w:eastAsia="Times New Roman" w:hAnsi="Rockwell" w:cs="Times New Roman"/>
          <w:sz w:val="32"/>
          <w:szCs w:val="32"/>
        </w:rPr>
      </w:pPr>
    </w:p>
    <w:p w14:paraId="020CB4D7" w14:textId="6E5BA574" w:rsidR="00A16E12" w:rsidRDefault="00A16E12" w:rsidP="005A6399">
      <w:pPr>
        <w:spacing w:before="100" w:beforeAutospacing="1" w:after="100" w:afterAutospacing="1" w:line="240" w:lineRule="auto"/>
        <w:rPr>
          <w:rFonts w:ascii="Rockwell" w:eastAsia="Times New Roman" w:hAnsi="Rockwell" w:cs="Times New Roman"/>
          <w:b/>
          <w:bCs/>
          <w:sz w:val="24"/>
          <w:szCs w:val="24"/>
        </w:rPr>
      </w:pPr>
      <w:r w:rsidRPr="00A16E12">
        <w:rPr>
          <w:rFonts w:ascii="Rockwell" w:eastAsia="Times New Roman" w:hAnsi="Rockwell" w:cs="Times New Roman"/>
          <w:sz w:val="24"/>
          <w:szCs w:val="24"/>
        </w:rPr>
        <w:br/>
      </w:r>
    </w:p>
    <w:p w14:paraId="10F1D79B" w14:textId="0E9EAA5F" w:rsidR="0045408F" w:rsidRDefault="00F75E4D" w:rsidP="0045408F">
      <w:pPr>
        <w:spacing w:before="100" w:beforeAutospacing="1" w:after="100" w:afterAutospacing="1" w:line="240" w:lineRule="auto"/>
        <w:jc w:val="right"/>
        <w:rPr>
          <w:rFonts w:ascii="Rockwell" w:eastAsia="Times New Roman" w:hAnsi="Rockwell" w:cs="Times New Roman"/>
          <w:b/>
          <w:bCs/>
          <w:sz w:val="24"/>
          <w:szCs w:val="24"/>
        </w:rPr>
      </w:pPr>
      <w:r>
        <w:rPr>
          <w:rFonts w:ascii="Rockwell" w:eastAsia="Times New Roman" w:hAnsi="Rockwell" w:cs="Times New Roman"/>
          <w:b/>
          <w:bCs/>
          <w:sz w:val="24"/>
          <w:szCs w:val="24"/>
        </w:rPr>
        <w:t>MIYAZIYA 2016EC</w:t>
      </w:r>
    </w:p>
    <w:p w14:paraId="5DCEF2D2" w14:textId="2453755F" w:rsidR="0045408F" w:rsidRDefault="00F75E4D" w:rsidP="0045408F">
      <w:pPr>
        <w:spacing w:before="100" w:beforeAutospacing="1" w:after="100" w:afterAutospacing="1" w:line="240" w:lineRule="auto"/>
        <w:jc w:val="right"/>
        <w:rPr>
          <w:rFonts w:ascii="Rockwell" w:eastAsia="Times New Roman" w:hAnsi="Rockwell" w:cs="Times New Roman"/>
          <w:b/>
          <w:bCs/>
          <w:sz w:val="24"/>
          <w:szCs w:val="24"/>
        </w:rPr>
      </w:pPr>
      <w:r w:rsidRPr="00A16E12">
        <w:rPr>
          <w:rFonts w:ascii="Rockwell" w:eastAsia="Times New Roman" w:hAnsi="Rockwell" w:cs="Times New Roman"/>
          <w:b/>
          <w:bCs/>
          <w:sz w:val="24"/>
          <w:szCs w:val="24"/>
        </w:rPr>
        <w:t>DADAR, ETHIOPIA</w:t>
      </w:r>
    </w:p>
    <w:p w14:paraId="5542A473" w14:textId="77777777" w:rsidR="00F75E4D" w:rsidRPr="00A16E12" w:rsidRDefault="00F75E4D" w:rsidP="00F63778">
      <w:pPr>
        <w:spacing w:before="100" w:beforeAutospacing="1" w:after="100" w:afterAutospacing="1" w:line="240" w:lineRule="auto"/>
        <w:rPr>
          <w:rFonts w:ascii="Rockwell" w:eastAsia="Times New Roman" w:hAnsi="Rockwell" w:cs="Times New Roman"/>
          <w:sz w:val="24"/>
          <w:szCs w:val="24"/>
        </w:rPr>
      </w:pPr>
    </w:p>
    <w:p w14:paraId="3C8244B8"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3B950DC6">
          <v:rect id="_x0000_i1026" style="width:0;height:1.5pt" o:hralign="center" o:hrstd="t" o:hr="t" fillcolor="#a0a0a0" stroked="f"/>
        </w:pict>
      </w:r>
    </w:p>
    <w:p w14:paraId="6C930B8E" w14:textId="77777777" w:rsidR="00A16E12" w:rsidRPr="00A16E12" w:rsidRDefault="00A16E12" w:rsidP="00A16E12">
      <w:pPr>
        <w:spacing w:before="100" w:beforeAutospacing="1" w:after="100" w:afterAutospacing="1" w:line="240" w:lineRule="auto"/>
        <w:outlineLvl w:val="1"/>
        <w:rPr>
          <w:rFonts w:ascii="Rockwell" w:eastAsia="Times New Roman" w:hAnsi="Rockwell" w:cs="Times New Roman"/>
          <w:b/>
          <w:bCs/>
          <w:sz w:val="36"/>
          <w:szCs w:val="36"/>
        </w:rPr>
      </w:pPr>
      <w:bookmarkStart w:id="2" w:name="_Toc203009151"/>
      <w:r w:rsidRPr="00A16E12">
        <w:rPr>
          <w:rFonts w:ascii="Rockwell" w:eastAsia="Times New Roman" w:hAnsi="Rockwell" w:cs="Times New Roman"/>
          <w:b/>
          <w:bCs/>
          <w:sz w:val="36"/>
          <w:szCs w:val="36"/>
        </w:rPr>
        <w:lastRenderedPageBreak/>
        <w:t>Contents</w:t>
      </w:r>
      <w:bookmarkEnd w:id="2"/>
    </w:p>
    <w:sdt>
      <w:sdtPr>
        <w:id w:val="-16640482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F0E80E8" w14:textId="5CCF33AD" w:rsidR="00E064C9" w:rsidRDefault="00E064C9">
          <w:pPr>
            <w:pStyle w:val="TOCHeading"/>
          </w:pPr>
          <w:r>
            <w:t>Contents</w:t>
          </w:r>
        </w:p>
        <w:p w14:paraId="7A4337DF" w14:textId="3D88ED99" w:rsidR="00E064C9" w:rsidRDefault="00E064C9" w:rsidP="00E064C9">
          <w:pPr>
            <w:pStyle w:val="TOC1"/>
            <w:tabs>
              <w:tab w:val="right" w:leader="dot" w:pos="9350"/>
            </w:tabs>
            <w:rPr>
              <w:noProof/>
            </w:rPr>
          </w:pPr>
          <w:r>
            <w:fldChar w:fldCharType="begin"/>
          </w:r>
          <w:r>
            <w:instrText xml:space="preserve"> TOC \o "1-3" \h \z \u </w:instrText>
          </w:r>
          <w:r>
            <w:fldChar w:fldCharType="separate"/>
          </w:r>
        </w:p>
        <w:p w14:paraId="7FC3640A" w14:textId="1A6EA764" w:rsidR="00E064C9" w:rsidRDefault="00E064C9">
          <w:pPr>
            <w:pStyle w:val="TOC2"/>
            <w:tabs>
              <w:tab w:val="right" w:leader="dot" w:pos="9350"/>
            </w:tabs>
            <w:rPr>
              <w:noProof/>
            </w:rPr>
          </w:pPr>
          <w:hyperlink w:anchor="_Toc203009152" w:history="1">
            <w:r w:rsidRPr="00E66A1D">
              <w:rPr>
                <w:rStyle w:val="Hyperlink"/>
                <w:rFonts w:ascii="Rockwell" w:eastAsia="Times New Roman" w:hAnsi="Rockwell" w:cs="Times New Roman"/>
                <w:b/>
                <w:bCs/>
                <w:noProof/>
              </w:rPr>
              <w:t>1. Executive Summary</w:t>
            </w:r>
            <w:r>
              <w:rPr>
                <w:noProof/>
                <w:webHidden/>
              </w:rPr>
              <w:tab/>
            </w:r>
            <w:r>
              <w:rPr>
                <w:noProof/>
                <w:webHidden/>
              </w:rPr>
              <w:fldChar w:fldCharType="begin"/>
            </w:r>
            <w:r>
              <w:rPr>
                <w:noProof/>
                <w:webHidden/>
              </w:rPr>
              <w:instrText xml:space="preserve"> PAGEREF _Toc203009152 \h </w:instrText>
            </w:r>
            <w:r>
              <w:rPr>
                <w:noProof/>
                <w:webHidden/>
              </w:rPr>
            </w:r>
            <w:r>
              <w:rPr>
                <w:noProof/>
                <w:webHidden/>
              </w:rPr>
              <w:fldChar w:fldCharType="separate"/>
            </w:r>
            <w:r w:rsidR="009B34A8">
              <w:rPr>
                <w:noProof/>
                <w:webHidden/>
              </w:rPr>
              <w:t>2</w:t>
            </w:r>
            <w:r>
              <w:rPr>
                <w:noProof/>
                <w:webHidden/>
              </w:rPr>
              <w:fldChar w:fldCharType="end"/>
            </w:r>
          </w:hyperlink>
        </w:p>
        <w:p w14:paraId="05E1C18E" w14:textId="1C7FD594" w:rsidR="00E064C9" w:rsidRDefault="00E064C9">
          <w:pPr>
            <w:pStyle w:val="TOC2"/>
            <w:tabs>
              <w:tab w:val="right" w:leader="dot" w:pos="9350"/>
            </w:tabs>
            <w:rPr>
              <w:noProof/>
            </w:rPr>
          </w:pPr>
          <w:hyperlink w:anchor="_Toc203009153" w:history="1">
            <w:r w:rsidRPr="00E66A1D">
              <w:rPr>
                <w:rStyle w:val="Hyperlink"/>
                <w:rFonts w:ascii="Rockwell" w:eastAsia="Times New Roman" w:hAnsi="Rockwell" w:cs="Times New Roman"/>
                <w:b/>
                <w:bCs/>
                <w:noProof/>
              </w:rPr>
              <w:t>2. Introduction</w:t>
            </w:r>
            <w:r>
              <w:rPr>
                <w:noProof/>
                <w:webHidden/>
              </w:rPr>
              <w:tab/>
            </w:r>
            <w:r>
              <w:rPr>
                <w:noProof/>
                <w:webHidden/>
              </w:rPr>
              <w:fldChar w:fldCharType="begin"/>
            </w:r>
            <w:r>
              <w:rPr>
                <w:noProof/>
                <w:webHidden/>
              </w:rPr>
              <w:instrText xml:space="preserve"> PAGEREF _Toc203009153 \h </w:instrText>
            </w:r>
            <w:r>
              <w:rPr>
                <w:noProof/>
                <w:webHidden/>
              </w:rPr>
            </w:r>
            <w:r>
              <w:rPr>
                <w:noProof/>
                <w:webHidden/>
              </w:rPr>
              <w:fldChar w:fldCharType="separate"/>
            </w:r>
            <w:r w:rsidR="009B34A8">
              <w:rPr>
                <w:noProof/>
                <w:webHidden/>
              </w:rPr>
              <w:t>2</w:t>
            </w:r>
            <w:r>
              <w:rPr>
                <w:noProof/>
                <w:webHidden/>
              </w:rPr>
              <w:fldChar w:fldCharType="end"/>
            </w:r>
          </w:hyperlink>
        </w:p>
        <w:p w14:paraId="40CB2A0B" w14:textId="513145E6" w:rsidR="00E064C9" w:rsidRDefault="00E064C9">
          <w:pPr>
            <w:pStyle w:val="TOC2"/>
            <w:tabs>
              <w:tab w:val="right" w:leader="dot" w:pos="9350"/>
            </w:tabs>
            <w:rPr>
              <w:noProof/>
            </w:rPr>
          </w:pPr>
          <w:hyperlink w:anchor="_Toc203009154" w:history="1">
            <w:r w:rsidRPr="00E66A1D">
              <w:rPr>
                <w:rStyle w:val="Hyperlink"/>
                <w:rFonts w:ascii="Rockwell" w:eastAsia="Times New Roman" w:hAnsi="Rockwell" w:cs="Times New Roman"/>
                <w:b/>
                <w:bCs/>
                <w:noProof/>
              </w:rPr>
              <w:t>3. Objectives of the Assessment</w:t>
            </w:r>
            <w:r>
              <w:rPr>
                <w:noProof/>
                <w:webHidden/>
              </w:rPr>
              <w:tab/>
            </w:r>
            <w:r>
              <w:rPr>
                <w:noProof/>
                <w:webHidden/>
              </w:rPr>
              <w:fldChar w:fldCharType="begin"/>
            </w:r>
            <w:r>
              <w:rPr>
                <w:noProof/>
                <w:webHidden/>
              </w:rPr>
              <w:instrText xml:space="preserve"> PAGEREF _Toc203009154 \h </w:instrText>
            </w:r>
            <w:r>
              <w:rPr>
                <w:noProof/>
                <w:webHidden/>
              </w:rPr>
            </w:r>
            <w:r>
              <w:rPr>
                <w:noProof/>
                <w:webHidden/>
              </w:rPr>
              <w:fldChar w:fldCharType="separate"/>
            </w:r>
            <w:r w:rsidR="009B34A8">
              <w:rPr>
                <w:noProof/>
                <w:webHidden/>
              </w:rPr>
              <w:t>2</w:t>
            </w:r>
            <w:r>
              <w:rPr>
                <w:noProof/>
                <w:webHidden/>
              </w:rPr>
              <w:fldChar w:fldCharType="end"/>
            </w:r>
          </w:hyperlink>
        </w:p>
        <w:p w14:paraId="4D18D072" w14:textId="1E8D705D" w:rsidR="00E064C9" w:rsidRDefault="00E064C9">
          <w:pPr>
            <w:pStyle w:val="TOC2"/>
            <w:tabs>
              <w:tab w:val="right" w:leader="dot" w:pos="9350"/>
            </w:tabs>
            <w:rPr>
              <w:noProof/>
            </w:rPr>
          </w:pPr>
          <w:hyperlink w:anchor="_Toc203009155" w:history="1">
            <w:r w:rsidRPr="00E66A1D">
              <w:rPr>
                <w:rStyle w:val="Hyperlink"/>
                <w:rFonts w:ascii="Rockwell" w:eastAsia="Times New Roman" w:hAnsi="Rockwell" w:cs="Times New Roman"/>
                <w:b/>
                <w:bCs/>
                <w:noProof/>
              </w:rPr>
              <w:t>4. Methodology</w:t>
            </w:r>
            <w:r>
              <w:rPr>
                <w:noProof/>
                <w:webHidden/>
              </w:rPr>
              <w:tab/>
            </w:r>
            <w:r>
              <w:rPr>
                <w:noProof/>
                <w:webHidden/>
              </w:rPr>
              <w:fldChar w:fldCharType="begin"/>
            </w:r>
            <w:r>
              <w:rPr>
                <w:noProof/>
                <w:webHidden/>
              </w:rPr>
              <w:instrText xml:space="preserve"> PAGEREF _Toc203009155 \h </w:instrText>
            </w:r>
            <w:r>
              <w:rPr>
                <w:noProof/>
                <w:webHidden/>
              </w:rPr>
            </w:r>
            <w:r>
              <w:rPr>
                <w:noProof/>
                <w:webHidden/>
              </w:rPr>
              <w:fldChar w:fldCharType="separate"/>
            </w:r>
            <w:r w:rsidR="009B34A8">
              <w:rPr>
                <w:noProof/>
                <w:webHidden/>
              </w:rPr>
              <w:t>2</w:t>
            </w:r>
            <w:r>
              <w:rPr>
                <w:noProof/>
                <w:webHidden/>
              </w:rPr>
              <w:fldChar w:fldCharType="end"/>
            </w:r>
          </w:hyperlink>
        </w:p>
        <w:p w14:paraId="4C018732" w14:textId="6114BE9D" w:rsidR="00E064C9" w:rsidRDefault="00E064C9">
          <w:pPr>
            <w:pStyle w:val="TOC2"/>
            <w:tabs>
              <w:tab w:val="right" w:leader="dot" w:pos="9350"/>
            </w:tabs>
            <w:rPr>
              <w:noProof/>
            </w:rPr>
          </w:pPr>
          <w:hyperlink w:anchor="_Toc203009156" w:history="1">
            <w:r w:rsidRPr="00E66A1D">
              <w:rPr>
                <w:rStyle w:val="Hyperlink"/>
                <w:rFonts w:ascii="Rockwell" w:eastAsia="Times New Roman" w:hAnsi="Rockwell" w:cs="Times New Roman"/>
                <w:b/>
                <w:bCs/>
                <w:noProof/>
              </w:rPr>
              <w:t>5. Cost Calculation Formulas</w:t>
            </w:r>
            <w:r>
              <w:rPr>
                <w:noProof/>
                <w:webHidden/>
              </w:rPr>
              <w:tab/>
            </w:r>
            <w:r>
              <w:rPr>
                <w:noProof/>
                <w:webHidden/>
              </w:rPr>
              <w:fldChar w:fldCharType="begin"/>
            </w:r>
            <w:r>
              <w:rPr>
                <w:noProof/>
                <w:webHidden/>
              </w:rPr>
              <w:instrText xml:space="preserve"> PAGEREF _Toc203009156 \h </w:instrText>
            </w:r>
            <w:r>
              <w:rPr>
                <w:noProof/>
                <w:webHidden/>
              </w:rPr>
            </w:r>
            <w:r>
              <w:rPr>
                <w:noProof/>
                <w:webHidden/>
              </w:rPr>
              <w:fldChar w:fldCharType="separate"/>
            </w:r>
            <w:r w:rsidR="009B34A8">
              <w:rPr>
                <w:noProof/>
                <w:webHidden/>
              </w:rPr>
              <w:t>3</w:t>
            </w:r>
            <w:r>
              <w:rPr>
                <w:noProof/>
                <w:webHidden/>
              </w:rPr>
              <w:fldChar w:fldCharType="end"/>
            </w:r>
          </w:hyperlink>
        </w:p>
        <w:p w14:paraId="71AC6493" w14:textId="2B22DACE" w:rsidR="00E064C9" w:rsidRDefault="00E064C9">
          <w:pPr>
            <w:pStyle w:val="TOC2"/>
            <w:tabs>
              <w:tab w:val="right" w:leader="dot" w:pos="9350"/>
            </w:tabs>
            <w:rPr>
              <w:noProof/>
            </w:rPr>
          </w:pPr>
          <w:hyperlink w:anchor="_Toc203009157" w:history="1">
            <w:r w:rsidRPr="00E66A1D">
              <w:rPr>
                <w:rStyle w:val="Hyperlink"/>
                <w:rFonts w:ascii="Rockwell" w:eastAsia="Times New Roman" w:hAnsi="Rockwell" w:cs="Times New Roman"/>
                <w:b/>
                <w:bCs/>
                <w:noProof/>
              </w:rPr>
              <w:t>6. Inefficiency Summary Table (Q3 2016EC)</w:t>
            </w:r>
            <w:r>
              <w:rPr>
                <w:noProof/>
                <w:webHidden/>
              </w:rPr>
              <w:tab/>
            </w:r>
            <w:r>
              <w:rPr>
                <w:noProof/>
                <w:webHidden/>
              </w:rPr>
              <w:fldChar w:fldCharType="begin"/>
            </w:r>
            <w:r>
              <w:rPr>
                <w:noProof/>
                <w:webHidden/>
              </w:rPr>
              <w:instrText xml:space="preserve"> PAGEREF _Toc203009157 \h </w:instrText>
            </w:r>
            <w:r>
              <w:rPr>
                <w:noProof/>
                <w:webHidden/>
              </w:rPr>
            </w:r>
            <w:r>
              <w:rPr>
                <w:noProof/>
                <w:webHidden/>
              </w:rPr>
              <w:fldChar w:fldCharType="separate"/>
            </w:r>
            <w:r w:rsidR="009B34A8">
              <w:rPr>
                <w:noProof/>
                <w:webHidden/>
              </w:rPr>
              <w:t>6</w:t>
            </w:r>
            <w:r>
              <w:rPr>
                <w:noProof/>
                <w:webHidden/>
              </w:rPr>
              <w:fldChar w:fldCharType="end"/>
            </w:r>
          </w:hyperlink>
        </w:p>
        <w:p w14:paraId="7D9B4C51" w14:textId="33DEE098" w:rsidR="00E064C9" w:rsidRDefault="00E064C9">
          <w:pPr>
            <w:pStyle w:val="TOC2"/>
            <w:tabs>
              <w:tab w:val="right" w:leader="dot" w:pos="9350"/>
            </w:tabs>
            <w:rPr>
              <w:noProof/>
            </w:rPr>
          </w:pPr>
          <w:hyperlink w:anchor="_Toc203009158" w:history="1">
            <w:r w:rsidRPr="00E66A1D">
              <w:rPr>
                <w:rStyle w:val="Hyperlink"/>
                <w:rFonts w:ascii="Rockwell" w:eastAsia="Times New Roman" w:hAnsi="Rockwell" w:cs="Times New Roman"/>
                <w:b/>
                <w:bCs/>
                <w:noProof/>
              </w:rPr>
              <w:t>7. Assessment Results</w:t>
            </w:r>
            <w:r>
              <w:rPr>
                <w:noProof/>
                <w:webHidden/>
              </w:rPr>
              <w:tab/>
            </w:r>
            <w:r>
              <w:rPr>
                <w:noProof/>
                <w:webHidden/>
              </w:rPr>
              <w:fldChar w:fldCharType="begin"/>
            </w:r>
            <w:r>
              <w:rPr>
                <w:noProof/>
                <w:webHidden/>
              </w:rPr>
              <w:instrText xml:space="preserve"> PAGEREF _Toc203009158 \h </w:instrText>
            </w:r>
            <w:r>
              <w:rPr>
                <w:noProof/>
                <w:webHidden/>
              </w:rPr>
            </w:r>
            <w:r>
              <w:rPr>
                <w:noProof/>
                <w:webHidden/>
              </w:rPr>
              <w:fldChar w:fldCharType="separate"/>
            </w:r>
            <w:r w:rsidR="009B34A8">
              <w:rPr>
                <w:noProof/>
                <w:webHidden/>
              </w:rPr>
              <w:t>7</w:t>
            </w:r>
            <w:r>
              <w:rPr>
                <w:noProof/>
                <w:webHidden/>
              </w:rPr>
              <w:fldChar w:fldCharType="end"/>
            </w:r>
          </w:hyperlink>
        </w:p>
        <w:p w14:paraId="49CBB570" w14:textId="24280670" w:rsidR="00E064C9" w:rsidRDefault="00E064C9">
          <w:pPr>
            <w:pStyle w:val="TOC2"/>
            <w:tabs>
              <w:tab w:val="right" w:leader="dot" w:pos="9350"/>
            </w:tabs>
            <w:rPr>
              <w:noProof/>
            </w:rPr>
          </w:pPr>
          <w:hyperlink w:anchor="_Toc203009159" w:history="1">
            <w:r w:rsidRPr="00E66A1D">
              <w:rPr>
                <w:rStyle w:val="Hyperlink"/>
                <w:rFonts w:ascii="Rockwell" w:eastAsia="Times New Roman" w:hAnsi="Rockwell" w:cs="Times New Roman"/>
                <w:b/>
                <w:bCs/>
                <w:noProof/>
              </w:rPr>
              <w:t>8. Risk Assessment</w:t>
            </w:r>
            <w:r>
              <w:rPr>
                <w:noProof/>
                <w:webHidden/>
              </w:rPr>
              <w:tab/>
            </w:r>
            <w:r>
              <w:rPr>
                <w:noProof/>
                <w:webHidden/>
              </w:rPr>
              <w:fldChar w:fldCharType="begin"/>
            </w:r>
            <w:r>
              <w:rPr>
                <w:noProof/>
                <w:webHidden/>
              </w:rPr>
              <w:instrText xml:space="preserve"> PAGEREF _Toc203009159 \h </w:instrText>
            </w:r>
            <w:r>
              <w:rPr>
                <w:noProof/>
                <w:webHidden/>
              </w:rPr>
            </w:r>
            <w:r>
              <w:rPr>
                <w:noProof/>
                <w:webHidden/>
              </w:rPr>
              <w:fldChar w:fldCharType="separate"/>
            </w:r>
            <w:r w:rsidR="009B34A8">
              <w:rPr>
                <w:noProof/>
                <w:webHidden/>
              </w:rPr>
              <w:t>7</w:t>
            </w:r>
            <w:r>
              <w:rPr>
                <w:noProof/>
                <w:webHidden/>
              </w:rPr>
              <w:fldChar w:fldCharType="end"/>
            </w:r>
          </w:hyperlink>
        </w:p>
        <w:p w14:paraId="26FC66D3" w14:textId="401A12C6" w:rsidR="00E064C9" w:rsidRDefault="00E064C9">
          <w:pPr>
            <w:pStyle w:val="TOC2"/>
            <w:tabs>
              <w:tab w:val="right" w:leader="dot" w:pos="9350"/>
            </w:tabs>
            <w:rPr>
              <w:noProof/>
            </w:rPr>
          </w:pPr>
          <w:hyperlink w:anchor="_Toc203009160" w:history="1">
            <w:r w:rsidRPr="00E66A1D">
              <w:rPr>
                <w:rStyle w:val="Hyperlink"/>
                <w:rFonts w:ascii="Rockwell" w:eastAsia="Times New Roman" w:hAnsi="Rockwell" w:cs="Times New Roman"/>
                <w:b/>
                <w:bCs/>
                <w:noProof/>
              </w:rPr>
              <w:t>9. Discussion</w:t>
            </w:r>
            <w:r>
              <w:rPr>
                <w:noProof/>
                <w:webHidden/>
              </w:rPr>
              <w:tab/>
            </w:r>
            <w:r>
              <w:rPr>
                <w:noProof/>
                <w:webHidden/>
              </w:rPr>
              <w:fldChar w:fldCharType="begin"/>
            </w:r>
            <w:r>
              <w:rPr>
                <w:noProof/>
                <w:webHidden/>
              </w:rPr>
              <w:instrText xml:space="preserve"> PAGEREF _Toc203009160 \h </w:instrText>
            </w:r>
            <w:r>
              <w:rPr>
                <w:noProof/>
                <w:webHidden/>
              </w:rPr>
            </w:r>
            <w:r>
              <w:rPr>
                <w:noProof/>
                <w:webHidden/>
              </w:rPr>
              <w:fldChar w:fldCharType="separate"/>
            </w:r>
            <w:r w:rsidR="009B34A8">
              <w:rPr>
                <w:noProof/>
                <w:webHidden/>
              </w:rPr>
              <w:t>7</w:t>
            </w:r>
            <w:r>
              <w:rPr>
                <w:noProof/>
                <w:webHidden/>
              </w:rPr>
              <w:fldChar w:fldCharType="end"/>
            </w:r>
          </w:hyperlink>
        </w:p>
        <w:p w14:paraId="3C017E06" w14:textId="4A7BD17B" w:rsidR="00E064C9" w:rsidRDefault="00E064C9">
          <w:pPr>
            <w:pStyle w:val="TOC2"/>
            <w:tabs>
              <w:tab w:val="right" w:leader="dot" w:pos="9350"/>
            </w:tabs>
            <w:rPr>
              <w:noProof/>
            </w:rPr>
          </w:pPr>
          <w:hyperlink w:anchor="_Toc203009161" w:history="1">
            <w:r w:rsidRPr="00E66A1D">
              <w:rPr>
                <w:rStyle w:val="Hyperlink"/>
                <w:rFonts w:ascii="Rockwell" w:eastAsia="Times New Roman" w:hAnsi="Rockwell" w:cs="Times New Roman"/>
                <w:b/>
                <w:bCs/>
                <w:noProof/>
              </w:rPr>
              <w:t>10. Action Plan</w:t>
            </w:r>
            <w:r>
              <w:rPr>
                <w:noProof/>
                <w:webHidden/>
              </w:rPr>
              <w:tab/>
            </w:r>
            <w:r>
              <w:rPr>
                <w:noProof/>
                <w:webHidden/>
              </w:rPr>
              <w:fldChar w:fldCharType="begin"/>
            </w:r>
            <w:r>
              <w:rPr>
                <w:noProof/>
                <w:webHidden/>
              </w:rPr>
              <w:instrText xml:space="preserve"> PAGEREF _Toc203009161 \h </w:instrText>
            </w:r>
            <w:r>
              <w:rPr>
                <w:noProof/>
                <w:webHidden/>
              </w:rPr>
            </w:r>
            <w:r>
              <w:rPr>
                <w:noProof/>
                <w:webHidden/>
              </w:rPr>
              <w:fldChar w:fldCharType="separate"/>
            </w:r>
            <w:r w:rsidR="009B34A8">
              <w:rPr>
                <w:noProof/>
                <w:webHidden/>
              </w:rPr>
              <w:t>8</w:t>
            </w:r>
            <w:r>
              <w:rPr>
                <w:noProof/>
                <w:webHidden/>
              </w:rPr>
              <w:fldChar w:fldCharType="end"/>
            </w:r>
          </w:hyperlink>
        </w:p>
        <w:p w14:paraId="204C9010" w14:textId="6DB7E717" w:rsidR="00E064C9" w:rsidRDefault="00E064C9">
          <w:pPr>
            <w:pStyle w:val="TOC2"/>
            <w:tabs>
              <w:tab w:val="right" w:leader="dot" w:pos="9350"/>
            </w:tabs>
            <w:rPr>
              <w:noProof/>
            </w:rPr>
          </w:pPr>
          <w:hyperlink w:anchor="_Toc203009162" w:history="1">
            <w:r w:rsidRPr="00E66A1D">
              <w:rPr>
                <w:rStyle w:val="Hyperlink"/>
                <w:rFonts w:ascii="Rockwell" w:eastAsia="Times New Roman" w:hAnsi="Rockwell" w:cs="Times New Roman"/>
                <w:b/>
                <w:bCs/>
                <w:noProof/>
              </w:rPr>
              <w:t>11. Recommendations and Utilization Plan</w:t>
            </w:r>
            <w:r>
              <w:rPr>
                <w:noProof/>
                <w:webHidden/>
              </w:rPr>
              <w:tab/>
            </w:r>
            <w:r>
              <w:rPr>
                <w:noProof/>
                <w:webHidden/>
              </w:rPr>
              <w:fldChar w:fldCharType="begin"/>
            </w:r>
            <w:r>
              <w:rPr>
                <w:noProof/>
                <w:webHidden/>
              </w:rPr>
              <w:instrText xml:space="preserve"> PAGEREF _Toc203009162 \h </w:instrText>
            </w:r>
            <w:r>
              <w:rPr>
                <w:noProof/>
                <w:webHidden/>
              </w:rPr>
            </w:r>
            <w:r>
              <w:rPr>
                <w:noProof/>
                <w:webHidden/>
              </w:rPr>
              <w:fldChar w:fldCharType="separate"/>
            </w:r>
            <w:r w:rsidR="009B34A8">
              <w:rPr>
                <w:noProof/>
                <w:webHidden/>
              </w:rPr>
              <w:t>9</w:t>
            </w:r>
            <w:r>
              <w:rPr>
                <w:noProof/>
                <w:webHidden/>
              </w:rPr>
              <w:fldChar w:fldCharType="end"/>
            </w:r>
          </w:hyperlink>
        </w:p>
        <w:p w14:paraId="343F6E29" w14:textId="23A997B3" w:rsidR="00E064C9" w:rsidRDefault="00E064C9">
          <w:pPr>
            <w:pStyle w:val="TOC2"/>
            <w:tabs>
              <w:tab w:val="right" w:leader="dot" w:pos="9350"/>
            </w:tabs>
            <w:rPr>
              <w:noProof/>
            </w:rPr>
          </w:pPr>
          <w:hyperlink w:anchor="_Toc203009163" w:history="1">
            <w:r w:rsidRPr="00E66A1D">
              <w:rPr>
                <w:rStyle w:val="Hyperlink"/>
                <w:rFonts w:ascii="Rockwell" w:eastAsia="Times New Roman" w:hAnsi="Rockwell" w:cs="Times New Roman"/>
                <w:b/>
                <w:bCs/>
                <w:noProof/>
              </w:rPr>
              <w:t>12. Conclusion</w:t>
            </w:r>
            <w:r>
              <w:rPr>
                <w:noProof/>
                <w:webHidden/>
              </w:rPr>
              <w:tab/>
            </w:r>
            <w:r>
              <w:rPr>
                <w:noProof/>
                <w:webHidden/>
              </w:rPr>
              <w:fldChar w:fldCharType="begin"/>
            </w:r>
            <w:r>
              <w:rPr>
                <w:noProof/>
                <w:webHidden/>
              </w:rPr>
              <w:instrText xml:space="preserve"> PAGEREF _Toc203009163 \h </w:instrText>
            </w:r>
            <w:r>
              <w:rPr>
                <w:noProof/>
                <w:webHidden/>
              </w:rPr>
            </w:r>
            <w:r>
              <w:rPr>
                <w:noProof/>
                <w:webHidden/>
              </w:rPr>
              <w:fldChar w:fldCharType="separate"/>
            </w:r>
            <w:r w:rsidR="009B34A8">
              <w:rPr>
                <w:noProof/>
                <w:webHidden/>
              </w:rPr>
              <w:t>9</w:t>
            </w:r>
            <w:r>
              <w:rPr>
                <w:noProof/>
                <w:webHidden/>
              </w:rPr>
              <w:fldChar w:fldCharType="end"/>
            </w:r>
          </w:hyperlink>
        </w:p>
        <w:p w14:paraId="0071E527" w14:textId="37A2D9C4" w:rsidR="00E064C9" w:rsidRDefault="00E064C9">
          <w:pPr>
            <w:pStyle w:val="TOC2"/>
            <w:tabs>
              <w:tab w:val="right" w:leader="dot" w:pos="9350"/>
            </w:tabs>
            <w:rPr>
              <w:noProof/>
            </w:rPr>
          </w:pPr>
          <w:hyperlink w:anchor="_Toc203009164" w:history="1">
            <w:r w:rsidRPr="00E66A1D">
              <w:rPr>
                <w:rStyle w:val="Hyperlink"/>
                <w:rFonts w:ascii="Rockwell" w:eastAsia="Times New Roman" w:hAnsi="Rockwell" w:cs="Times New Roman"/>
                <w:b/>
                <w:bCs/>
                <w:noProof/>
              </w:rPr>
              <w:t>13. References</w:t>
            </w:r>
            <w:r>
              <w:rPr>
                <w:noProof/>
                <w:webHidden/>
              </w:rPr>
              <w:tab/>
            </w:r>
            <w:r>
              <w:rPr>
                <w:noProof/>
                <w:webHidden/>
              </w:rPr>
              <w:fldChar w:fldCharType="begin"/>
            </w:r>
            <w:r>
              <w:rPr>
                <w:noProof/>
                <w:webHidden/>
              </w:rPr>
              <w:instrText xml:space="preserve"> PAGEREF _Toc203009164 \h </w:instrText>
            </w:r>
            <w:r>
              <w:rPr>
                <w:noProof/>
                <w:webHidden/>
              </w:rPr>
            </w:r>
            <w:r>
              <w:rPr>
                <w:noProof/>
                <w:webHidden/>
              </w:rPr>
              <w:fldChar w:fldCharType="separate"/>
            </w:r>
            <w:r w:rsidR="009B34A8">
              <w:rPr>
                <w:noProof/>
                <w:webHidden/>
              </w:rPr>
              <w:t>10</w:t>
            </w:r>
            <w:r>
              <w:rPr>
                <w:noProof/>
                <w:webHidden/>
              </w:rPr>
              <w:fldChar w:fldCharType="end"/>
            </w:r>
          </w:hyperlink>
        </w:p>
        <w:p w14:paraId="5A741B32" w14:textId="53B18885" w:rsidR="00E064C9" w:rsidRDefault="00E064C9">
          <w:r>
            <w:rPr>
              <w:b/>
              <w:bCs/>
              <w:noProof/>
            </w:rPr>
            <w:fldChar w:fldCharType="end"/>
          </w:r>
        </w:p>
      </w:sdtContent>
    </w:sdt>
    <w:p w14:paraId="44D49682" w14:textId="77777777" w:rsidR="00E064C9" w:rsidRDefault="00E064C9" w:rsidP="00A16E12">
      <w:pPr>
        <w:spacing w:after="0" w:line="240" w:lineRule="auto"/>
        <w:rPr>
          <w:rFonts w:ascii="Rockwell" w:eastAsia="Times New Roman" w:hAnsi="Rockwell" w:cs="Times New Roman"/>
          <w:sz w:val="24"/>
          <w:szCs w:val="24"/>
        </w:rPr>
      </w:pPr>
    </w:p>
    <w:p w14:paraId="1C31A99C" w14:textId="724E408C" w:rsid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603E2A03">
          <v:rect id="_x0000_i1027" style="width:0;height:1.5pt" o:hralign="center" o:hrstd="t" o:hr="t" fillcolor="#a0a0a0" stroked="f"/>
        </w:pict>
      </w:r>
    </w:p>
    <w:p w14:paraId="3F0F3A38" w14:textId="46395008" w:rsidR="00B30FEF" w:rsidRDefault="00B30FEF" w:rsidP="00A16E12">
      <w:pPr>
        <w:spacing w:after="0" w:line="240" w:lineRule="auto"/>
        <w:rPr>
          <w:rFonts w:ascii="Rockwell" w:eastAsia="Times New Roman" w:hAnsi="Rockwell" w:cs="Times New Roman"/>
          <w:sz w:val="24"/>
          <w:szCs w:val="24"/>
        </w:rPr>
      </w:pPr>
    </w:p>
    <w:p w14:paraId="1FC02D02" w14:textId="7C7FFF54" w:rsidR="00B30FEF" w:rsidRDefault="00B30FEF" w:rsidP="00A16E12">
      <w:pPr>
        <w:spacing w:after="0" w:line="240" w:lineRule="auto"/>
        <w:rPr>
          <w:rFonts w:ascii="Rockwell" w:eastAsia="Times New Roman" w:hAnsi="Rockwell" w:cs="Times New Roman"/>
          <w:sz w:val="24"/>
          <w:szCs w:val="24"/>
        </w:rPr>
      </w:pPr>
    </w:p>
    <w:p w14:paraId="55732EB4" w14:textId="545B0E63" w:rsidR="00B30FEF" w:rsidRDefault="00B30FEF" w:rsidP="00A16E12">
      <w:pPr>
        <w:spacing w:after="0" w:line="240" w:lineRule="auto"/>
        <w:rPr>
          <w:rFonts w:ascii="Rockwell" w:eastAsia="Times New Roman" w:hAnsi="Rockwell" w:cs="Times New Roman"/>
          <w:sz w:val="24"/>
          <w:szCs w:val="24"/>
        </w:rPr>
      </w:pPr>
    </w:p>
    <w:p w14:paraId="4443CAAD" w14:textId="253365F5" w:rsidR="00B30FEF" w:rsidRDefault="00B30FEF" w:rsidP="00A16E12">
      <w:pPr>
        <w:spacing w:after="0" w:line="240" w:lineRule="auto"/>
        <w:rPr>
          <w:rFonts w:ascii="Rockwell" w:eastAsia="Times New Roman" w:hAnsi="Rockwell" w:cs="Times New Roman"/>
          <w:sz w:val="24"/>
          <w:szCs w:val="24"/>
        </w:rPr>
      </w:pPr>
    </w:p>
    <w:p w14:paraId="3FDB1C9B" w14:textId="5EC6900B" w:rsidR="00B30FEF" w:rsidRDefault="00B30FEF" w:rsidP="00A16E12">
      <w:pPr>
        <w:spacing w:after="0" w:line="240" w:lineRule="auto"/>
        <w:rPr>
          <w:rFonts w:ascii="Rockwell" w:eastAsia="Times New Roman" w:hAnsi="Rockwell" w:cs="Times New Roman"/>
          <w:sz w:val="24"/>
          <w:szCs w:val="24"/>
        </w:rPr>
      </w:pPr>
    </w:p>
    <w:p w14:paraId="0290D9A8" w14:textId="0ACF9C57" w:rsidR="00B30FEF" w:rsidRDefault="00B30FEF" w:rsidP="00A16E12">
      <w:pPr>
        <w:spacing w:after="0" w:line="240" w:lineRule="auto"/>
        <w:rPr>
          <w:rFonts w:ascii="Rockwell" w:eastAsia="Times New Roman" w:hAnsi="Rockwell" w:cs="Times New Roman"/>
          <w:sz w:val="24"/>
          <w:szCs w:val="24"/>
        </w:rPr>
      </w:pPr>
    </w:p>
    <w:p w14:paraId="59AD682E" w14:textId="0163EEA8" w:rsidR="00B30FEF" w:rsidRDefault="00B30FEF" w:rsidP="00A16E12">
      <w:pPr>
        <w:spacing w:after="0" w:line="240" w:lineRule="auto"/>
        <w:rPr>
          <w:rFonts w:ascii="Rockwell" w:eastAsia="Times New Roman" w:hAnsi="Rockwell" w:cs="Times New Roman"/>
          <w:sz w:val="24"/>
          <w:szCs w:val="24"/>
        </w:rPr>
      </w:pPr>
    </w:p>
    <w:p w14:paraId="71C75348" w14:textId="23B98F60" w:rsidR="00B30FEF" w:rsidRDefault="00B30FEF" w:rsidP="00A16E12">
      <w:pPr>
        <w:spacing w:after="0" w:line="240" w:lineRule="auto"/>
        <w:rPr>
          <w:rFonts w:ascii="Rockwell" w:eastAsia="Times New Roman" w:hAnsi="Rockwell" w:cs="Times New Roman"/>
          <w:sz w:val="24"/>
          <w:szCs w:val="24"/>
        </w:rPr>
      </w:pPr>
    </w:p>
    <w:p w14:paraId="20BE2D05" w14:textId="0044DAE1" w:rsidR="00B30FEF" w:rsidRDefault="00B30FEF" w:rsidP="00A16E12">
      <w:pPr>
        <w:spacing w:after="0" w:line="240" w:lineRule="auto"/>
        <w:rPr>
          <w:rFonts w:ascii="Rockwell" w:eastAsia="Times New Roman" w:hAnsi="Rockwell" w:cs="Times New Roman"/>
          <w:sz w:val="24"/>
          <w:szCs w:val="24"/>
        </w:rPr>
      </w:pPr>
    </w:p>
    <w:p w14:paraId="6C8D9AD0" w14:textId="58B7265B" w:rsidR="00B30FEF" w:rsidRDefault="00B30FEF" w:rsidP="00A16E12">
      <w:pPr>
        <w:spacing w:after="0" w:line="240" w:lineRule="auto"/>
        <w:rPr>
          <w:rFonts w:ascii="Rockwell" w:eastAsia="Times New Roman" w:hAnsi="Rockwell" w:cs="Times New Roman"/>
          <w:sz w:val="24"/>
          <w:szCs w:val="24"/>
        </w:rPr>
      </w:pPr>
    </w:p>
    <w:p w14:paraId="054748CE" w14:textId="4A4E9C6A" w:rsidR="00B30FEF" w:rsidRDefault="00B30FEF" w:rsidP="00A16E12">
      <w:pPr>
        <w:spacing w:after="0" w:line="240" w:lineRule="auto"/>
        <w:rPr>
          <w:rFonts w:ascii="Rockwell" w:eastAsia="Times New Roman" w:hAnsi="Rockwell" w:cs="Times New Roman"/>
          <w:sz w:val="24"/>
          <w:szCs w:val="24"/>
        </w:rPr>
      </w:pPr>
    </w:p>
    <w:p w14:paraId="44D37024" w14:textId="5C2F6280" w:rsidR="00B30FEF" w:rsidRDefault="00B30FEF" w:rsidP="00A16E12">
      <w:pPr>
        <w:spacing w:after="0" w:line="240" w:lineRule="auto"/>
        <w:rPr>
          <w:rFonts w:ascii="Rockwell" w:eastAsia="Times New Roman" w:hAnsi="Rockwell" w:cs="Times New Roman"/>
          <w:sz w:val="24"/>
          <w:szCs w:val="24"/>
        </w:rPr>
      </w:pPr>
    </w:p>
    <w:p w14:paraId="20E2AC9B" w14:textId="2EFA4B14" w:rsidR="00B30FEF" w:rsidRDefault="00B30FEF" w:rsidP="00A16E12">
      <w:pPr>
        <w:spacing w:after="0" w:line="240" w:lineRule="auto"/>
        <w:rPr>
          <w:rFonts w:ascii="Rockwell" w:eastAsia="Times New Roman" w:hAnsi="Rockwell" w:cs="Times New Roman"/>
          <w:sz w:val="24"/>
          <w:szCs w:val="24"/>
        </w:rPr>
      </w:pPr>
    </w:p>
    <w:p w14:paraId="531F1A47" w14:textId="4283E228" w:rsidR="00B30FEF" w:rsidRDefault="00B30FEF" w:rsidP="00A16E12">
      <w:pPr>
        <w:spacing w:after="0" w:line="240" w:lineRule="auto"/>
        <w:rPr>
          <w:rFonts w:ascii="Rockwell" w:eastAsia="Times New Roman" w:hAnsi="Rockwell" w:cs="Times New Roman"/>
          <w:sz w:val="24"/>
          <w:szCs w:val="24"/>
        </w:rPr>
      </w:pPr>
    </w:p>
    <w:p w14:paraId="5887FF2F" w14:textId="3275C221" w:rsidR="00B30FEF" w:rsidRDefault="00B30FEF" w:rsidP="00A16E12">
      <w:pPr>
        <w:spacing w:after="0" w:line="240" w:lineRule="auto"/>
        <w:rPr>
          <w:rFonts w:ascii="Rockwell" w:eastAsia="Times New Roman" w:hAnsi="Rockwell" w:cs="Times New Roman"/>
          <w:sz w:val="24"/>
          <w:szCs w:val="24"/>
        </w:rPr>
      </w:pPr>
    </w:p>
    <w:p w14:paraId="6AA5435A" w14:textId="1ADAE20D" w:rsidR="00B30FEF" w:rsidRDefault="00B30FEF" w:rsidP="00A16E12">
      <w:pPr>
        <w:spacing w:after="0" w:line="240" w:lineRule="auto"/>
        <w:rPr>
          <w:rFonts w:ascii="Rockwell" w:eastAsia="Times New Roman" w:hAnsi="Rockwell" w:cs="Times New Roman"/>
          <w:sz w:val="24"/>
          <w:szCs w:val="24"/>
        </w:rPr>
      </w:pPr>
    </w:p>
    <w:p w14:paraId="5A1ED999" w14:textId="4B060955" w:rsidR="00B30FEF" w:rsidRDefault="00B30FEF" w:rsidP="00A16E12">
      <w:pPr>
        <w:spacing w:after="0" w:line="240" w:lineRule="auto"/>
        <w:rPr>
          <w:rFonts w:ascii="Rockwell" w:eastAsia="Times New Roman" w:hAnsi="Rockwell" w:cs="Times New Roman"/>
          <w:sz w:val="24"/>
          <w:szCs w:val="24"/>
        </w:rPr>
      </w:pPr>
    </w:p>
    <w:p w14:paraId="26A11F58" w14:textId="77777777" w:rsidR="00B30FEF" w:rsidRPr="00A16E12" w:rsidRDefault="00B30FEF" w:rsidP="00A16E12">
      <w:pPr>
        <w:spacing w:after="0" w:line="240" w:lineRule="auto"/>
        <w:rPr>
          <w:rFonts w:ascii="Rockwell" w:eastAsia="Times New Roman" w:hAnsi="Rockwell" w:cs="Times New Roman"/>
          <w:sz w:val="24"/>
          <w:szCs w:val="24"/>
        </w:rPr>
      </w:pPr>
    </w:p>
    <w:p w14:paraId="38448284" w14:textId="77777777" w:rsidR="00A16E12" w:rsidRPr="00A16E12" w:rsidRDefault="00A16E12" w:rsidP="00A16E12">
      <w:pPr>
        <w:spacing w:before="100" w:beforeAutospacing="1" w:after="100" w:afterAutospacing="1" w:line="240" w:lineRule="auto"/>
        <w:outlineLvl w:val="1"/>
        <w:rPr>
          <w:rFonts w:ascii="Rockwell" w:eastAsia="Times New Roman" w:hAnsi="Rockwell" w:cs="Times New Roman"/>
          <w:b/>
          <w:bCs/>
          <w:sz w:val="36"/>
          <w:szCs w:val="36"/>
        </w:rPr>
      </w:pPr>
      <w:bookmarkStart w:id="3" w:name="_Toc203009152"/>
      <w:r w:rsidRPr="00A16E12">
        <w:rPr>
          <w:rFonts w:ascii="Rockwell" w:eastAsia="Times New Roman" w:hAnsi="Rockwell" w:cs="Times New Roman"/>
          <w:b/>
          <w:bCs/>
          <w:sz w:val="36"/>
          <w:szCs w:val="36"/>
        </w:rPr>
        <w:lastRenderedPageBreak/>
        <w:t>1. Executive Summary</w:t>
      </w:r>
      <w:bookmarkEnd w:id="3"/>
    </w:p>
    <w:p w14:paraId="374FC850" w14:textId="77777777" w:rsidR="00A16E12" w:rsidRPr="00A16E12" w:rsidRDefault="00A16E12" w:rsidP="00A16E12">
      <w:p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 xml:space="preserve">This report presents a comprehensive evaluation of the supply chain inefficiencies at </w:t>
      </w:r>
      <w:proofErr w:type="spellStart"/>
      <w:r w:rsidRPr="00A16E12">
        <w:rPr>
          <w:rFonts w:ascii="Rockwell" w:eastAsia="Times New Roman" w:hAnsi="Rockwell" w:cs="Times New Roman"/>
          <w:sz w:val="24"/>
          <w:szCs w:val="24"/>
        </w:rPr>
        <w:t>Deder</w:t>
      </w:r>
      <w:proofErr w:type="spellEnd"/>
      <w:r w:rsidRPr="00A16E12">
        <w:rPr>
          <w:rFonts w:ascii="Rockwell" w:eastAsia="Times New Roman" w:hAnsi="Rockwell" w:cs="Times New Roman"/>
          <w:sz w:val="24"/>
          <w:szCs w:val="24"/>
        </w:rPr>
        <w:t xml:space="preserve"> General Hospital for Quarter 3, 2016EC. The overall supply chain inefficiency rate stands at </w:t>
      </w:r>
      <w:r w:rsidRPr="00A16E12">
        <w:rPr>
          <w:rFonts w:ascii="Rockwell" w:eastAsia="Times New Roman" w:hAnsi="Rockwell" w:cs="Times New Roman"/>
          <w:b/>
          <w:bCs/>
          <w:sz w:val="24"/>
          <w:szCs w:val="24"/>
        </w:rPr>
        <w:t>17%</w:t>
      </w:r>
      <w:r w:rsidRPr="00A16E12">
        <w:rPr>
          <w:rFonts w:ascii="Rockwell" w:eastAsia="Times New Roman" w:hAnsi="Rockwell" w:cs="Times New Roman"/>
          <w:sz w:val="24"/>
          <w:szCs w:val="24"/>
        </w:rPr>
        <w:t>, driven largely by gaps in monitoring and reporting, supplier and distribution delays, and inventory management challenges. These inefficiencies have resulted in operational disruptions, stockouts, excess inventory, increased costs, and delays in service delivery. The report employs a mixed-method assessment and cost analysis to identify critical weaknesses and offers an actionable roadmap for improvement.</w:t>
      </w:r>
    </w:p>
    <w:p w14:paraId="0AC46E0C"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4BDEA110">
          <v:rect id="_x0000_i1028" style="width:0;height:1.5pt" o:hralign="center" o:hrstd="t" o:hr="t" fillcolor="#a0a0a0" stroked="f"/>
        </w:pict>
      </w:r>
    </w:p>
    <w:p w14:paraId="2CBE72B1" w14:textId="77777777" w:rsidR="00A16E12" w:rsidRPr="00A16E12" w:rsidRDefault="00A16E12" w:rsidP="00A16E12">
      <w:pPr>
        <w:spacing w:before="100" w:beforeAutospacing="1" w:after="100" w:afterAutospacing="1" w:line="240" w:lineRule="auto"/>
        <w:outlineLvl w:val="1"/>
        <w:rPr>
          <w:rFonts w:ascii="Rockwell" w:eastAsia="Times New Roman" w:hAnsi="Rockwell" w:cs="Times New Roman"/>
          <w:b/>
          <w:bCs/>
          <w:sz w:val="36"/>
          <w:szCs w:val="36"/>
        </w:rPr>
      </w:pPr>
      <w:bookmarkStart w:id="4" w:name="_Toc203009153"/>
      <w:r w:rsidRPr="00A16E12">
        <w:rPr>
          <w:rFonts w:ascii="Rockwell" w:eastAsia="Times New Roman" w:hAnsi="Rockwell" w:cs="Times New Roman"/>
          <w:b/>
          <w:bCs/>
          <w:sz w:val="36"/>
          <w:szCs w:val="36"/>
        </w:rPr>
        <w:t>2. Introduction</w:t>
      </w:r>
      <w:bookmarkEnd w:id="4"/>
    </w:p>
    <w:p w14:paraId="2142A9D9" w14:textId="77777777" w:rsidR="00A16E12" w:rsidRPr="00A16E12" w:rsidRDefault="00A16E12" w:rsidP="00A16E12">
      <w:p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 xml:space="preserve">Efficient supply chain management is critical for uninterrupted healthcare delivery. At </w:t>
      </w:r>
      <w:proofErr w:type="spellStart"/>
      <w:r w:rsidRPr="00A16E12">
        <w:rPr>
          <w:rFonts w:ascii="Rockwell" w:eastAsia="Times New Roman" w:hAnsi="Rockwell" w:cs="Times New Roman"/>
          <w:sz w:val="24"/>
          <w:szCs w:val="24"/>
        </w:rPr>
        <w:t>Deder</w:t>
      </w:r>
      <w:proofErr w:type="spellEnd"/>
      <w:r w:rsidRPr="00A16E12">
        <w:rPr>
          <w:rFonts w:ascii="Rockwell" w:eastAsia="Times New Roman" w:hAnsi="Rockwell" w:cs="Times New Roman"/>
          <w:sz w:val="24"/>
          <w:szCs w:val="24"/>
        </w:rPr>
        <w:t xml:space="preserve"> General Hospital, various inefficiencies have hampered the procurement, inventory control, and distribution of essential medical supplies. This assessment aims to systematically identify these inefficiencies, quantify their impacts, and provide evidence-based recommendations for enhancing supply chain effectiveness and reducing costs.</w:t>
      </w:r>
    </w:p>
    <w:p w14:paraId="157AB07E"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36D5B2D6">
          <v:rect id="_x0000_i1029" style="width:0;height:1.5pt" o:hralign="center" o:hrstd="t" o:hr="t" fillcolor="#a0a0a0" stroked="f"/>
        </w:pict>
      </w:r>
    </w:p>
    <w:p w14:paraId="1ED19044" w14:textId="77777777" w:rsidR="00A16E12" w:rsidRPr="00A16E12" w:rsidRDefault="00A16E12" w:rsidP="00A16E12">
      <w:pPr>
        <w:spacing w:before="100" w:beforeAutospacing="1" w:after="100" w:afterAutospacing="1" w:line="240" w:lineRule="auto"/>
        <w:outlineLvl w:val="1"/>
        <w:rPr>
          <w:rFonts w:ascii="Rockwell" w:eastAsia="Times New Roman" w:hAnsi="Rockwell" w:cs="Times New Roman"/>
          <w:b/>
          <w:bCs/>
          <w:sz w:val="36"/>
          <w:szCs w:val="36"/>
        </w:rPr>
      </w:pPr>
      <w:bookmarkStart w:id="5" w:name="_Toc203009154"/>
      <w:r w:rsidRPr="00A16E12">
        <w:rPr>
          <w:rFonts w:ascii="Rockwell" w:eastAsia="Times New Roman" w:hAnsi="Rockwell" w:cs="Times New Roman"/>
          <w:b/>
          <w:bCs/>
          <w:sz w:val="36"/>
          <w:szCs w:val="36"/>
        </w:rPr>
        <w:t>3. Objectives of the Assessment</w:t>
      </w:r>
      <w:bookmarkEnd w:id="5"/>
    </w:p>
    <w:p w14:paraId="689846E9" w14:textId="77777777" w:rsidR="00A16E12" w:rsidRPr="00A16E12" w:rsidRDefault="00A16E12" w:rsidP="00A16E12">
      <w:pPr>
        <w:numPr>
          <w:ilvl w:val="0"/>
          <w:numId w:val="2"/>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Analyze supply chain performance metrics for Q3, 2016EC.</w:t>
      </w:r>
    </w:p>
    <w:p w14:paraId="34E53A0D" w14:textId="4D92A1BD" w:rsidR="00A16E12" w:rsidRPr="00A16E12" w:rsidRDefault="00A16E12" w:rsidP="00A16E12">
      <w:pPr>
        <w:numPr>
          <w:ilvl w:val="0"/>
          <w:numId w:val="2"/>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 xml:space="preserve">Identify and quantify </w:t>
      </w:r>
      <w:r w:rsidR="00277B22">
        <w:rPr>
          <w:rFonts w:ascii="Rockwell" w:eastAsia="Times New Roman" w:hAnsi="Rockwell" w:cs="Times New Roman"/>
          <w:sz w:val="24"/>
          <w:szCs w:val="24"/>
        </w:rPr>
        <w:t xml:space="preserve">Supply chain </w:t>
      </w:r>
      <w:r w:rsidRPr="00A16E12">
        <w:rPr>
          <w:rFonts w:ascii="Rockwell" w:eastAsia="Times New Roman" w:hAnsi="Rockwell" w:cs="Times New Roman"/>
          <w:sz w:val="24"/>
          <w:szCs w:val="24"/>
        </w:rPr>
        <w:t>inefficiencies.</w:t>
      </w:r>
    </w:p>
    <w:p w14:paraId="58F0E3A8" w14:textId="77777777" w:rsidR="00A16E12" w:rsidRPr="00A16E12" w:rsidRDefault="00A16E12" w:rsidP="00A16E12">
      <w:pPr>
        <w:numPr>
          <w:ilvl w:val="0"/>
          <w:numId w:val="2"/>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Assess financial impacts and risks of inefficiencies.</w:t>
      </w:r>
    </w:p>
    <w:p w14:paraId="2C5A8331" w14:textId="77777777" w:rsidR="00A16E12" w:rsidRPr="00A16E12" w:rsidRDefault="00A16E12" w:rsidP="00A16E12">
      <w:pPr>
        <w:numPr>
          <w:ilvl w:val="0"/>
          <w:numId w:val="2"/>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Recommend strategic, practical interventions.</w:t>
      </w:r>
    </w:p>
    <w:p w14:paraId="2767BC81" w14:textId="77777777" w:rsidR="00A16E12" w:rsidRPr="00A16E12" w:rsidRDefault="00A16E12" w:rsidP="00A16E12">
      <w:pPr>
        <w:numPr>
          <w:ilvl w:val="0"/>
          <w:numId w:val="2"/>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Establish a baseline for ongoing quality improvements.</w:t>
      </w:r>
    </w:p>
    <w:p w14:paraId="51B76233"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3F3A9548">
          <v:rect id="_x0000_i1030" style="width:0;height:1.5pt" o:hralign="center" o:hrstd="t" o:hr="t" fillcolor="#a0a0a0" stroked="f"/>
        </w:pict>
      </w:r>
    </w:p>
    <w:p w14:paraId="033F275B" w14:textId="77777777" w:rsidR="00A16E12" w:rsidRPr="00A16E12" w:rsidRDefault="00A16E12" w:rsidP="00A16E12">
      <w:pPr>
        <w:spacing w:before="100" w:beforeAutospacing="1" w:after="100" w:afterAutospacing="1" w:line="240" w:lineRule="auto"/>
        <w:outlineLvl w:val="1"/>
        <w:rPr>
          <w:rFonts w:ascii="Rockwell" w:eastAsia="Times New Roman" w:hAnsi="Rockwell" w:cs="Times New Roman"/>
          <w:b/>
          <w:bCs/>
          <w:sz w:val="36"/>
          <w:szCs w:val="36"/>
        </w:rPr>
      </w:pPr>
      <w:bookmarkStart w:id="6" w:name="_Toc203009155"/>
      <w:r w:rsidRPr="00A16E12">
        <w:rPr>
          <w:rFonts w:ascii="Rockwell" w:eastAsia="Times New Roman" w:hAnsi="Rockwell" w:cs="Times New Roman"/>
          <w:b/>
          <w:bCs/>
          <w:sz w:val="36"/>
          <w:szCs w:val="36"/>
        </w:rPr>
        <w:t>4. Methodology</w:t>
      </w:r>
      <w:bookmarkEnd w:id="6"/>
    </w:p>
    <w:p w14:paraId="28D585F5" w14:textId="77777777" w:rsidR="00A16E12" w:rsidRPr="00A16E12" w:rsidRDefault="00A16E12" w:rsidP="00A16E12">
      <w:pPr>
        <w:numPr>
          <w:ilvl w:val="0"/>
          <w:numId w:val="3"/>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Data Collection:</w:t>
      </w:r>
      <w:r w:rsidRPr="00A16E12">
        <w:rPr>
          <w:rFonts w:ascii="Rockwell" w:eastAsia="Times New Roman" w:hAnsi="Rockwell" w:cs="Times New Roman"/>
          <w:sz w:val="24"/>
          <w:szCs w:val="24"/>
        </w:rPr>
        <w:t xml:space="preserve"> Document reviews (consumption reports, procurement logs), direct observations of storage and workflows, and key informant interviews with pharmacy, procurement, and clinical staff.</w:t>
      </w:r>
    </w:p>
    <w:p w14:paraId="2280CED1" w14:textId="77777777" w:rsidR="00A16E12" w:rsidRPr="00A16E12" w:rsidRDefault="00A16E12" w:rsidP="00A16E12">
      <w:pPr>
        <w:numPr>
          <w:ilvl w:val="0"/>
          <w:numId w:val="3"/>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Assessment Scope:</w:t>
      </w:r>
      <w:r w:rsidRPr="00A16E12">
        <w:rPr>
          <w:rFonts w:ascii="Rockwell" w:eastAsia="Times New Roman" w:hAnsi="Rockwell" w:cs="Times New Roman"/>
          <w:sz w:val="24"/>
          <w:szCs w:val="24"/>
        </w:rPr>
        <w:t xml:space="preserve"> All supply chain stages including planning, procurement, storage, inventory, distribution, and reporting over the 3-month period.</w:t>
      </w:r>
    </w:p>
    <w:p w14:paraId="428AE4FE" w14:textId="77777777" w:rsidR="00A16E12" w:rsidRPr="00A16E12" w:rsidRDefault="00A16E12" w:rsidP="00A16E12">
      <w:pPr>
        <w:numPr>
          <w:ilvl w:val="0"/>
          <w:numId w:val="3"/>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Analysis:</w:t>
      </w:r>
      <w:r w:rsidRPr="00A16E12">
        <w:rPr>
          <w:rFonts w:ascii="Rockwell" w:eastAsia="Times New Roman" w:hAnsi="Rockwell" w:cs="Times New Roman"/>
          <w:sz w:val="24"/>
          <w:szCs w:val="24"/>
        </w:rPr>
        <w:t xml:space="preserve"> Scoring based on standardized checklists, root cause analysis, and cost quantification via established formulas.</w:t>
      </w:r>
    </w:p>
    <w:p w14:paraId="657FBF89" w14:textId="77777777" w:rsidR="00A16E12" w:rsidRPr="00A16E12" w:rsidRDefault="00A16E12" w:rsidP="00A16E12">
      <w:pPr>
        <w:numPr>
          <w:ilvl w:val="0"/>
          <w:numId w:val="3"/>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lastRenderedPageBreak/>
        <w:t>Validation:</w:t>
      </w:r>
      <w:r w:rsidRPr="00A16E12">
        <w:rPr>
          <w:rFonts w:ascii="Rockwell" w:eastAsia="Times New Roman" w:hAnsi="Rockwell" w:cs="Times New Roman"/>
          <w:sz w:val="24"/>
          <w:szCs w:val="24"/>
        </w:rPr>
        <w:t xml:space="preserve"> Multidisciplinary team reviews and stakeholder input ensured accuracy.</w:t>
      </w:r>
    </w:p>
    <w:p w14:paraId="70E3CDBF"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457DC751">
          <v:rect id="_x0000_i1031" style="width:0;height:1.5pt" o:hralign="center" o:hrstd="t" o:hr="t" fillcolor="#a0a0a0" stroked="f"/>
        </w:pict>
      </w:r>
    </w:p>
    <w:p w14:paraId="6E591690" w14:textId="77777777" w:rsidR="00A16E12" w:rsidRPr="00A16E12" w:rsidRDefault="00A16E12" w:rsidP="00A16E12">
      <w:pPr>
        <w:spacing w:before="100" w:beforeAutospacing="1" w:after="100" w:afterAutospacing="1" w:line="240" w:lineRule="auto"/>
        <w:outlineLvl w:val="1"/>
        <w:rPr>
          <w:rFonts w:ascii="Rockwell" w:eastAsia="Times New Roman" w:hAnsi="Rockwell" w:cs="Times New Roman"/>
          <w:b/>
          <w:bCs/>
          <w:sz w:val="36"/>
          <w:szCs w:val="36"/>
        </w:rPr>
      </w:pPr>
      <w:bookmarkStart w:id="7" w:name="_Toc203009156"/>
      <w:r w:rsidRPr="00A16E12">
        <w:rPr>
          <w:rFonts w:ascii="Rockwell" w:eastAsia="Times New Roman" w:hAnsi="Rockwell" w:cs="Times New Roman"/>
          <w:b/>
          <w:bCs/>
          <w:sz w:val="36"/>
          <w:szCs w:val="36"/>
        </w:rPr>
        <w:t>5. Cost Calculation Formulas</w:t>
      </w:r>
      <w:bookmarkEnd w:id="7"/>
    </w:p>
    <w:p w14:paraId="360DBE48" w14:textId="77777777" w:rsidR="00277B22" w:rsidRPr="00277B22" w:rsidRDefault="00277B22" w:rsidP="00277B22">
      <w:pPr>
        <w:pStyle w:val="NormalWeb"/>
        <w:numPr>
          <w:ilvl w:val="0"/>
          <w:numId w:val="8"/>
        </w:numPr>
        <w:rPr>
          <w:rFonts w:ascii="Rockwell" w:hAnsi="Rockwell"/>
        </w:rPr>
      </w:pPr>
      <w:r w:rsidRPr="00277B22">
        <w:rPr>
          <w:rFonts w:ascii="Rockwell" w:hAnsi="Rockwell"/>
        </w:rPr>
        <w:t>Stockouts Cost = Number of Stockouts × Average Cost per Stockout</w:t>
      </w:r>
      <w:r w:rsidRPr="00277B22">
        <w:rPr>
          <w:rFonts w:ascii="Rockwell" w:hAnsi="Rockwell"/>
        </w:rPr>
        <w:br/>
        <w:t>(Total instances where essential supplies were unavailable multiplied by the estimated cost from lost revenue, emergency procurement, or alternate arrangements.)</w:t>
      </w:r>
    </w:p>
    <w:p w14:paraId="48499E28" w14:textId="77777777" w:rsidR="00277B22" w:rsidRPr="00277B22" w:rsidRDefault="00277B22" w:rsidP="00277B22">
      <w:pPr>
        <w:pStyle w:val="NormalWeb"/>
        <w:numPr>
          <w:ilvl w:val="0"/>
          <w:numId w:val="8"/>
        </w:numPr>
        <w:rPr>
          <w:rFonts w:ascii="Rockwell" w:hAnsi="Rockwell"/>
        </w:rPr>
      </w:pPr>
      <w:r w:rsidRPr="00277B22">
        <w:rPr>
          <w:rFonts w:ascii="Rockwell" w:hAnsi="Rockwell"/>
        </w:rPr>
        <w:t>Excess Inventory Cost = Excess Inventory Level × Carrying Cost per Unit</w:t>
      </w:r>
      <w:r w:rsidRPr="00277B22">
        <w:rPr>
          <w:rFonts w:ascii="Rockwell" w:hAnsi="Rockwell"/>
        </w:rPr>
        <w:br/>
        <w:t>(Inventory above optimal levels multiplied by the cost of storage, depreciation, insurance, and wastage per unit.)</w:t>
      </w:r>
    </w:p>
    <w:p w14:paraId="4B4541BE" w14:textId="77777777" w:rsidR="00277B22" w:rsidRPr="00277B22" w:rsidRDefault="00277B22" w:rsidP="00277B22">
      <w:pPr>
        <w:pStyle w:val="NormalWeb"/>
        <w:numPr>
          <w:ilvl w:val="0"/>
          <w:numId w:val="8"/>
        </w:numPr>
        <w:rPr>
          <w:rFonts w:ascii="Rockwell" w:hAnsi="Rockwell"/>
        </w:rPr>
      </w:pPr>
      <w:r w:rsidRPr="00277B22">
        <w:rPr>
          <w:rFonts w:ascii="Rockwell" w:hAnsi="Rockwell"/>
        </w:rPr>
        <w:t>Supplier Communication Cost = Number of Communication Errors × Cost per Error</w:t>
      </w:r>
      <w:r w:rsidRPr="00277B22">
        <w:rPr>
          <w:rFonts w:ascii="Rockwell" w:hAnsi="Rockwell"/>
        </w:rPr>
        <w:br/>
        <w:t>(Miscommunications with suppliers multiplied by the financial impact of delays, re-orders, or incorrect shipments.)</w:t>
      </w:r>
    </w:p>
    <w:p w14:paraId="3AF7EE5D" w14:textId="77777777" w:rsidR="00277B22" w:rsidRPr="00277B22" w:rsidRDefault="00277B22" w:rsidP="00277B22">
      <w:pPr>
        <w:pStyle w:val="NormalWeb"/>
        <w:numPr>
          <w:ilvl w:val="0"/>
          <w:numId w:val="8"/>
        </w:numPr>
        <w:rPr>
          <w:rFonts w:ascii="Rockwell" w:hAnsi="Rockwell"/>
        </w:rPr>
      </w:pPr>
      <w:r w:rsidRPr="00277B22">
        <w:rPr>
          <w:rFonts w:ascii="Rockwell" w:hAnsi="Rockwell"/>
        </w:rPr>
        <w:t>Performance Monitoring Cost = Number of Performance Assessments × Cost per Assessment</w:t>
      </w:r>
      <w:r w:rsidRPr="00277B22">
        <w:rPr>
          <w:rFonts w:ascii="Rockwell" w:hAnsi="Rockwell"/>
        </w:rPr>
        <w:br/>
        <w:t>(Number of reviews or audits conducted multiplied by the resources used per review including time, labor, and documentation.)</w:t>
      </w:r>
    </w:p>
    <w:p w14:paraId="5480458B" w14:textId="77777777" w:rsidR="00277B22" w:rsidRPr="00277B22" w:rsidRDefault="00277B22" w:rsidP="00277B22">
      <w:pPr>
        <w:pStyle w:val="NormalWeb"/>
        <w:numPr>
          <w:ilvl w:val="0"/>
          <w:numId w:val="8"/>
        </w:numPr>
        <w:rPr>
          <w:rFonts w:ascii="Rockwell" w:hAnsi="Rockwell"/>
        </w:rPr>
      </w:pPr>
      <w:r w:rsidRPr="00277B22">
        <w:rPr>
          <w:rFonts w:ascii="Rockwell" w:hAnsi="Rockwell"/>
        </w:rPr>
        <w:t>Transportation Cost = Number of Shipments × Average Cost per Shipment</w:t>
      </w:r>
      <w:r w:rsidRPr="00277B22">
        <w:rPr>
          <w:rFonts w:ascii="Rockwell" w:hAnsi="Rockwell"/>
        </w:rPr>
        <w:br/>
        <w:t>(Total supply deliveries multiplied by the average cost of vehicle, fuel, labor, and logistics.)</w:t>
      </w:r>
    </w:p>
    <w:p w14:paraId="57F8C494" w14:textId="77777777" w:rsidR="00277B22" w:rsidRPr="00277B22" w:rsidRDefault="00277B22" w:rsidP="00277B22">
      <w:pPr>
        <w:pStyle w:val="NormalWeb"/>
        <w:numPr>
          <w:ilvl w:val="0"/>
          <w:numId w:val="8"/>
        </w:numPr>
        <w:rPr>
          <w:rFonts w:ascii="Rockwell" w:hAnsi="Rockwell"/>
        </w:rPr>
      </w:pPr>
      <w:r w:rsidRPr="00277B22">
        <w:rPr>
          <w:rFonts w:ascii="Rockwell" w:hAnsi="Rockwell"/>
        </w:rPr>
        <w:t>Poor Inventory Tracking Cost = Number of Inventory Discrepancies × Cost per Discrepancy</w:t>
      </w:r>
      <w:r w:rsidRPr="00277B22">
        <w:rPr>
          <w:rFonts w:ascii="Rockwell" w:hAnsi="Rockwell"/>
        </w:rPr>
        <w:br/>
        <w:t>(Mismatches between records and physical stock multiplied by the cost including correction, reordering, and delays.)</w:t>
      </w:r>
    </w:p>
    <w:p w14:paraId="7D9A4EDC" w14:textId="77777777" w:rsidR="00277B22" w:rsidRPr="00277B22" w:rsidRDefault="00277B22" w:rsidP="00277B22">
      <w:pPr>
        <w:pStyle w:val="NormalWeb"/>
        <w:numPr>
          <w:ilvl w:val="0"/>
          <w:numId w:val="8"/>
        </w:numPr>
        <w:rPr>
          <w:rFonts w:ascii="Rockwell" w:hAnsi="Rockwell"/>
        </w:rPr>
      </w:pPr>
      <w:r w:rsidRPr="00277B22">
        <w:rPr>
          <w:rFonts w:ascii="Rockwell" w:hAnsi="Rockwell"/>
        </w:rPr>
        <w:t>Total Supply Chain Costs = Stockouts Cost + Excess Inventory Cost + Supplier Communication Cost + Performance Monitoring Cost + Transportation Cost + Poor Inventory Tracking Cost</w:t>
      </w:r>
    </w:p>
    <w:p w14:paraId="23D039BF" w14:textId="77777777" w:rsidR="00277B22" w:rsidRPr="00277B22" w:rsidRDefault="00277B22" w:rsidP="00277B22">
      <w:pPr>
        <w:pStyle w:val="NormalWeb"/>
        <w:numPr>
          <w:ilvl w:val="0"/>
          <w:numId w:val="8"/>
        </w:numPr>
        <w:rPr>
          <w:rFonts w:ascii="Rockwell" w:hAnsi="Rockwell"/>
        </w:rPr>
      </w:pPr>
      <w:r w:rsidRPr="00277B22">
        <w:rPr>
          <w:rFonts w:ascii="Rockwell" w:hAnsi="Rockwell"/>
        </w:rPr>
        <w:t>Procurement Inefficiency (%) = ((Actual Procurement Cost - Benchmark Cost) / Benchmark Cost) × 100</w:t>
      </w:r>
      <w:r w:rsidRPr="00277B22">
        <w:rPr>
          <w:rFonts w:ascii="Rockwell" w:hAnsi="Rockwell"/>
        </w:rPr>
        <w:br/>
        <w:t>(Compares actual procurement cost to the standard or optimal cost.)</w:t>
      </w:r>
    </w:p>
    <w:p w14:paraId="0644168D" w14:textId="77777777" w:rsidR="00277B22" w:rsidRPr="00277B22" w:rsidRDefault="00277B22" w:rsidP="00277B22">
      <w:pPr>
        <w:pStyle w:val="NormalWeb"/>
        <w:numPr>
          <w:ilvl w:val="0"/>
          <w:numId w:val="8"/>
        </w:numPr>
        <w:rPr>
          <w:rFonts w:ascii="Rockwell" w:hAnsi="Rockwell"/>
        </w:rPr>
      </w:pPr>
      <w:r w:rsidRPr="00277B22">
        <w:rPr>
          <w:rFonts w:ascii="Rockwell" w:hAnsi="Rockwell"/>
        </w:rPr>
        <w:t>Inventory Management Inefficiency (%) = ((Stockouts + Overstocks) / Total Inventory Transactions) × 100</w:t>
      </w:r>
      <w:r w:rsidRPr="00277B22">
        <w:rPr>
          <w:rFonts w:ascii="Rockwell" w:hAnsi="Rockwell"/>
        </w:rPr>
        <w:br/>
        <w:t>(Measures frequency of supply being unavailable or overstocked.)</w:t>
      </w:r>
    </w:p>
    <w:p w14:paraId="7D21E19B" w14:textId="77777777" w:rsidR="00277B22" w:rsidRPr="00277B22" w:rsidRDefault="00277B22" w:rsidP="00277B22">
      <w:pPr>
        <w:pStyle w:val="NormalWeb"/>
        <w:numPr>
          <w:ilvl w:val="0"/>
          <w:numId w:val="8"/>
        </w:numPr>
        <w:rPr>
          <w:rFonts w:ascii="Rockwell" w:hAnsi="Rockwell"/>
        </w:rPr>
      </w:pPr>
      <w:r w:rsidRPr="00277B22">
        <w:rPr>
          <w:rFonts w:ascii="Rockwell" w:hAnsi="Rockwell"/>
        </w:rPr>
        <w:t>Storage Inefficiency (%) = (Damaged or Expired Stock / Total Stock) × 100</w:t>
      </w:r>
      <w:r w:rsidRPr="00277B22">
        <w:rPr>
          <w:rFonts w:ascii="Rockwell" w:hAnsi="Rockwell"/>
        </w:rPr>
        <w:br/>
        <w:t>(Percentage of unusable items due to poor storage conditions.)</w:t>
      </w:r>
    </w:p>
    <w:p w14:paraId="17D8F4F7" w14:textId="77777777" w:rsidR="00277B22" w:rsidRPr="00277B22" w:rsidRDefault="00277B22" w:rsidP="00277B22">
      <w:pPr>
        <w:pStyle w:val="NormalWeb"/>
        <w:numPr>
          <w:ilvl w:val="0"/>
          <w:numId w:val="8"/>
        </w:numPr>
        <w:rPr>
          <w:rFonts w:ascii="Rockwell" w:hAnsi="Rockwell"/>
        </w:rPr>
      </w:pPr>
      <w:r w:rsidRPr="00277B22">
        <w:rPr>
          <w:rFonts w:ascii="Rockwell" w:hAnsi="Rockwell"/>
        </w:rPr>
        <w:t>Demand Forecasting Inefficiency (%) = (|Actual Demand - Forecast| / Actual Demand) × 100</w:t>
      </w:r>
      <w:r w:rsidRPr="00277B22">
        <w:rPr>
          <w:rFonts w:ascii="Rockwell" w:hAnsi="Rockwell"/>
        </w:rPr>
        <w:br/>
        <w:t>(Tracks accuracy of demand predictions.)</w:t>
      </w:r>
    </w:p>
    <w:p w14:paraId="793A72BB" w14:textId="77777777" w:rsidR="00277B22" w:rsidRPr="00277B22" w:rsidRDefault="00277B22" w:rsidP="00277B22">
      <w:pPr>
        <w:pStyle w:val="NormalWeb"/>
        <w:numPr>
          <w:ilvl w:val="0"/>
          <w:numId w:val="8"/>
        </w:numPr>
        <w:rPr>
          <w:rFonts w:ascii="Rockwell" w:hAnsi="Rockwell"/>
        </w:rPr>
      </w:pPr>
      <w:r w:rsidRPr="00277B22">
        <w:rPr>
          <w:rFonts w:ascii="Rockwell" w:hAnsi="Rockwell"/>
        </w:rPr>
        <w:lastRenderedPageBreak/>
        <w:t>Supplier Inefficiency (%) = (Late or Incorrect Deliveries / Total Deliveries) × 100</w:t>
      </w:r>
      <w:r w:rsidRPr="00277B22">
        <w:rPr>
          <w:rFonts w:ascii="Rockwell" w:hAnsi="Rockwell"/>
        </w:rPr>
        <w:br/>
        <w:t>(Measures supplier failures in timely and correct deliveries.)</w:t>
      </w:r>
    </w:p>
    <w:p w14:paraId="52506951" w14:textId="77777777" w:rsidR="00277B22" w:rsidRPr="00277B22" w:rsidRDefault="00277B22" w:rsidP="00277B22">
      <w:pPr>
        <w:pStyle w:val="NormalWeb"/>
        <w:numPr>
          <w:ilvl w:val="0"/>
          <w:numId w:val="8"/>
        </w:numPr>
        <w:rPr>
          <w:rFonts w:ascii="Rockwell" w:hAnsi="Rockwell"/>
        </w:rPr>
      </w:pPr>
      <w:r w:rsidRPr="00277B22">
        <w:rPr>
          <w:rFonts w:ascii="Rockwell" w:hAnsi="Rockwell"/>
        </w:rPr>
        <w:t>Distribution Inefficiency (%) = (Delayed or Incomplete Deliveries / Total Shipments) × 100</w:t>
      </w:r>
      <w:r w:rsidRPr="00277B22">
        <w:rPr>
          <w:rFonts w:ascii="Rockwell" w:hAnsi="Rockwell"/>
        </w:rPr>
        <w:br/>
        <w:t>(Shows failures in internal supply distribution.)</w:t>
      </w:r>
    </w:p>
    <w:p w14:paraId="71E52C27" w14:textId="77777777" w:rsidR="00277B22" w:rsidRPr="00277B22" w:rsidRDefault="00277B22" w:rsidP="00277B22">
      <w:pPr>
        <w:pStyle w:val="NormalWeb"/>
        <w:numPr>
          <w:ilvl w:val="0"/>
          <w:numId w:val="8"/>
        </w:numPr>
        <w:rPr>
          <w:rFonts w:ascii="Rockwell" w:hAnsi="Rockwell"/>
        </w:rPr>
      </w:pPr>
      <w:r w:rsidRPr="00277B22">
        <w:rPr>
          <w:rFonts w:ascii="Rockwell" w:hAnsi="Rockwell"/>
        </w:rPr>
        <w:t>Cost Inefficiency (%) = ((Actual Supply Chain Costs - Budgeted Costs) / Budgeted Costs) × 100</w:t>
      </w:r>
      <w:r w:rsidRPr="00277B22">
        <w:rPr>
          <w:rFonts w:ascii="Rockwell" w:hAnsi="Rockwell"/>
        </w:rPr>
        <w:br/>
        <w:t>(Measures overspending against planned budget.)</w:t>
      </w:r>
    </w:p>
    <w:p w14:paraId="7FDBCB4D" w14:textId="77777777" w:rsidR="00277B22" w:rsidRPr="00277B22" w:rsidRDefault="00277B22" w:rsidP="00277B22">
      <w:pPr>
        <w:pStyle w:val="NormalWeb"/>
        <w:numPr>
          <w:ilvl w:val="0"/>
          <w:numId w:val="8"/>
        </w:numPr>
        <w:rPr>
          <w:rFonts w:ascii="Rockwell" w:hAnsi="Rockwell"/>
        </w:rPr>
      </w:pPr>
      <w:r w:rsidRPr="00277B22">
        <w:rPr>
          <w:rFonts w:ascii="Rockwell" w:hAnsi="Rockwell"/>
        </w:rPr>
        <w:t>Reporting Inefficiency (%) = (Delayed Reports / Total Reports) × 100</w:t>
      </w:r>
      <w:r w:rsidRPr="00277B22">
        <w:rPr>
          <w:rFonts w:ascii="Rockwell" w:hAnsi="Rockwell"/>
        </w:rPr>
        <w:br/>
        <w:t>(Frequency of delayed reporting.)</w:t>
      </w:r>
    </w:p>
    <w:p w14:paraId="2E1341FC" w14:textId="77777777" w:rsidR="00277B22" w:rsidRPr="00277B22" w:rsidRDefault="00277B22" w:rsidP="00277B22">
      <w:pPr>
        <w:pStyle w:val="NormalWeb"/>
        <w:numPr>
          <w:ilvl w:val="0"/>
          <w:numId w:val="8"/>
        </w:numPr>
        <w:rPr>
          <w:rFonts w:ascii="Rockwell" w:hAnsi="Rockwell"/>
        </w:rPr>
      </w:pPr>
      <w:r w:rsidRPr="00277B22">
        <w:rPr>
          <w:rFonts w:ascii="Rockwell" w:hAnsi="Rockwell"/>
        </w:rPr>
        <w:t>Technology and System Integration Inefficiency (%) = (Manual Processes / Total Processes) × 100</w:t>
      </w:r>
      <w:r w:rsidRPr="00277B22">
        <w:rPr>
          <w:rFonts w:ascii="Rockwell" w:hAnsi="Rockwell"/>
        </w:rPr>
        <w:br/>
        <w:t>(Proportion of outdated or non-digital processes in use.)</w:t>
      </w:r>
    </w:p>
    <w:p w14:paraId="33D72183" w14:textId="77777777" w:rsidR="00277B22" w:rsidRPr="00277B22" w:rsidRDefault="00277B22" w:rsidP="00277B22">
      <w:pPr>
        <w:pStyle w:val="NormalWeb"/>
        <w:numPr>
          <w:ilvl w:val="0"/>
          <w:numId w:val="8"/>
        </w:numPr>
        <w:rPr>
          <w:rFonts w:ascii="Rockwell" w:hAnsi="Rockwell"/>
        </w:rPr>
      </w:pPr>
      <w:r w:rsidRPr="00277B22">
        <w:rPr>
          <w:rFonts w:ascii="Rockwell" w:hAnsi="Rockwell"/>
        </w:rPr>
        <w:t>Communication and Coordination Inefficiency (%) = [1 - (Communication Failures / Total Communications)] × 100</w:t>
      </w:r>
      <w:r w:rsidRPr="00277B22">
        <w:rPr>
          <w:rFonts w:ascii="Rockwell" w:hAnsi="Rockwell"/>
        </w:rPr>
        <w:br/>
        <w:t>(Measures communication breakdowns across departments.)</w:t>
      </w:r>
    </w:p>
    <w:p w14:paraId="5F2D6492" w14:textId="77777777" w:rsidR="00277B22" w:rsidRPr="00277B22" w:rsidRDefault="00277B22" w:rsidP="00277B22">
      <w:pPr>
        <w:pStyle w:val="NormalWeb"/>
        <w:numPr>
          <w:ilvl w:val="0"/>
          <w:numId w:val="8"/>
        </w:numPr>
        <w:rPr>
          <w:rFonts w:ascii="Rockwell" w:hAnsi="Rockwell"/>
        </w:rPr>
      </w:pPr>
      <w:r w:rsidRPr="00277B22">
        <w:rPr>
          <w:rFonts w:ascii="Rockwell" w:hAnsi="Rockwell"/>
        </w:rPr>
        <w:t>Waste Management Inefficiency (%) = (Unusable or Expired Stock / Total Stock Handled) × 100</w:t>
      </w:r>
      <w:r w:rsidRPr="00277B22">
        <w:rPr>
          <w:rFonts w:ascii="Rockwell" w:hAnsi="Rockwell"/>
        </w:rPr>
        <w:br/>
        <w:t>(Proportion of wasted stock from total handled inventory.)</w:t>
      </w:r>
    </w:p>
    <w:p w14:paraId="7B9FB436" w14:textId="0D9DDFF5" w:rsidR="00277B22" w:rsidRPr="00277B22" w:rsidRDefault="00277B22" w:rsidP="00277B22">
      <w:pPr>
        <w:pStyle w:val="NormalWeb"/>
        <w:numPr>
          <w:ilvl w:val="0"/>
          <w:numId w:val="8"/>
        </w:numPr>
        <w:rPr>
          <w:rFonts w:ascii="Rockwell" w:hAnsi="Rockwell"/>
        </w:rPr>
      </w:pPr>
      <w:r w:rsidRPr="00277B22">
        <w:rPr>
          <w:rFonts w:ascii="Rockwell" w:hAnsi="Rockwell"/>
        </w:rPr>
        <w:t>Dispensing Practice Inefficiency (%) = (Incorrect or Delayed Dispensing Cases / Total Dispensing Transactions) × 100</w:t>
      </w:r>
      <w:r w:rsidRPr="00277B22">
        <w:rPr>
          <w:rFonts w:ascii="Rockwell" w:hAnsi="Rockwell"/>
        </w:rPr>
        <w:br/>
        <w:t>(Measures errors or delays in supplying medicines or materials.)</w:t>
      </w:r>
    </w:p>
    <w:p w14:paraId="28A3A04F" w14:textId="688ED054" w:rsid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0554584E">
          <v:rect id="_x0000_i1032" style="width:0;height:1.5pt" o:hralign="center" o:hrstd="t" o:hr="t" fillcolor="#a0a0a0" stroked="f"/>
        </w:pict>
      </w:r>
    </w:p>
    <w:p w14:paraId="49DB1B7A" w14:textId="75BA05E9" w:rsidR="003C4A32" w:rsidRDefault="003C4A32" w:rsidP="00A16E12">
      <w:pPr>
        <w:spacing w:after="0" w:line="240" w:lineRule="auto"/>
        <w:rPr>
          <w:rFonts w:ascii="Rockwell" w:eastAsia="Times New Roman" w:hAnsi="Rockwell" w:cs="Times New Roman"/>
          <w:sz w:val="24"/>
          <w:szCs w:val="24"/>
        </w:rPr>
      </w:pPr>
    </w:p>
    <w:p w14:paraId="7C81BFBD" w14:textId="391C0325" w:rsidR="003C4A32" w:rsidRDefault="003C4A32" w:rsidP="00A16E12">
      <w:pPr>
        <w:spacing w:after="0" w:line="240" w:lineRule="auto"/>
        <w:rPr>
          <w:rFonts w:ascii="Rockwell" w:eastAsia="Times New Roman" w:hAnsi="Rockwell" w:cs="Times New Roman"/>
          <w:sz w:val="24"/>
          <w:szCs w:val="24"/>
        </w:rPr>
      </w:pPr>
    </w:p>
    <w:p w14:paraId="02B17325" w14:textId="40A86C0C" w:rsidR="003C4A32" w:rsidRPr="003C4A32" w:rsidRDefault="003C4A32" w:rsidP="003C4A32">
      <w:pPr>
        <w:pStyle w:val="Heading1"/>
        <w:rPr>
          <w:rFonts w:ascii="Rockwell" w:eastAsia="Times New Roman" w:hAnsi="Rockwell"/>
        </w:rPr>
      </w:pPr>
      <w:r w:rsidRPr="003C4A32">
        <w:rPr>
          <w:rFonts w:ascii="Rockwell" w:eastAsia="Times New Roman" w:hAnsi="Rockwell"/>
        </w:rPr>
        <w:t xml:space="preserve">6.  PREVIOUS ACTION PLAN IMPLEMENTATION  </w:t>
      </w:r>
    </w:p>
    <w:p w14:paraId="1845D623" w14:textId="4A34C505" w:rsidR="003C4A32" w:rsidRPr="003C4A32" w:rsidRDefault="003C4A32" w:rsidP="00A16E12">
      <w:pPr>
        <w:spacing w:after="0" w:line="240" w:lineRule="auto"/>
        <w:rPr>
          <w:rFonts w:ascii="Rockwell" w:eastAsia="Times New Roman" w:hAnsi="Rockwell" w:cs="Times New Roman"/>
          <w:sz w:val="24"/>
          <w:szCs w:val="24"/>
        </w:rPr>
      </w:pPr>
    </w:p>
    <w:p w14:paraId="65773585" w14:textId="5185BE48" w:rsidR="003C4A32" w:rsidRPr="003C4A32" w:rsidRDefault="003C4A32" w:rsidP="00A16E12">
      <w:pPr>
        <w:spacing w:after="0" w:line="240" w:lineRule="auto"/>
        <w:rPr>
          <w:rFonts w:ascii="Rockwell" w:eastAsia="Times New Roman" w:hAnsi="Rockwell" w:cs="Times New Roman"/>
          <w:sz w:val="24"/>
          <w:szCs w:val="24"/>
        </w:rPr>
      </w:pPr>
    </w:p>
    <w:p w14:paraId="58A64EEF" w14:textId="2304C69A" w:rsidR="003C4A32" w:rsidRPr="003C4A32" w:rsidRDefault="003C4A32" w:rsidP="003C4A32">
      <w:pPr>
        <w:pStyle w:val="NormalWeb"/>
        <w:rPr>
          <w:rFonts w:ascii="Rockwell" w:hAnsi="Rockwel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1325"/>
        <w:gridCol w:w="1652"/>
        <w:gridCol w:w="1436"/>
        <w:gridCol w:w="1071"/>
        <w:gridCol w:w="2171"/>
      </w:tblGrid>
      <w:tr w:rsidR="003C4A32" w:rsidRPr="003C4A32" w14:paraId="1043B492" w14:textId="77777777" w:rsidTr="003C4A32">
        <w:trPr>
          <w:tblHeader/>
          <w:tblCellSpacing w:w="15" w:type="dxa"/>
        </w:trPr>
        <w:tc>
          <w:tcPr>
            <w:tcW w:w="0" w:type="auto"/>
            <w:vAlign w:val="center"/>
            <w:hideMark/>
          </w:tcPr>
          <w:p w14:paraId="7F2F02D5" w14:textId="77777777" w:rsidR="003C4A32" w:rsidRPr="003C4A32" w:rsidRDefault="003C4A32">
            <w:pPr>
              <w:jc w:val="center"/>
              <w:rPr>
                <w:rFonts w:ascii="Rockwell" w:hAnsi="Rockwell"/>
                <w:b/>
                <w:bCs/>
              </w:rPr>
            </w:pPr>
            <w:r w:rsidRPr="003C4A32">
              <w:rPr>
                <w:rStyle w:val="Strong"/>
                <w:rFonts w:ascii="Rockwell" w:hAnsi="Rockwell"/>
              </w:rPr>
              <w:t>Identified Gap</w:t>
            </w:r>
          </w:p>
        </w:tc>
        <w:tc>
          <w:tcPr>
            <w:tcW w:w="0" w:type="auto"/>
            <w:vAlign w:val="center"/>
            <w:hideMark/>
          </w:tcPr>
          <w:p w14:paraId="498CA7AE" w14:textId="77777777" w:rsidR="003C4A32" w:rsidRPr="003C4A32" w:rsidRDefault="003C4A32">
            <w:pPr>
              <w:jc w:val="center"/>
              <w:rPr>
                <w:rFonts w:ascii="Rockwell" w:hAnsi="Rockwell"/>
                <w:b/>
                <w:bCs/>
              </w:rPr>
            </w:pPr>
            <w:r w:rsidRPr="003C4A32">
              <w:rPr>
                <w:rStyle w:val="Strong"/>
                <w:rFonts w:ascii="Rockwell" w:hAnsi="Rockwell"/>
              </w:rPr>
              <w:t>Root Cause</w:t>
            </w:r>
          </w:p>
        </w:tc>
        <w:tc>
          <w:tcPr>
            <w:tcW w:w="0" w:type="auto"/>
            <w:vAlign w:val="center"/>
            <w:hideMark/>
          </w:tcPr>
          <w:p w14:paraId="34099341" w14:textId="77777777" w:rsidR="003C4A32" w:rsidRPr="003C4A32" w:rsidRDefault="003C4A32">
            <w:pPr>
              <w:jc w:val="center"/>
              <w:rPr>
                <w:rFonts w:ascii="Rockwell" w:hAnsi="Rockwell"/>
                <w:b/>
                <w:bCs/>
              </w:rPr>
            </w:pPr>
            <w:r w:rsidRPr="003C4A32">
              <w:rPr>
                <w:rStyle w:val="Strong"/>
                <w:rFonts w:ascii="Rockwell" w:hAnsi="Rockwell"/>
              </w:rPr>
              <w:t>Strategic Intervention</w:t>
            </w:r>
          </w:p>
        </w:tc>
        <w:tc>
          <w:tcPr>
            <w:tcW w:w="0" w:type="auto"/>
            <w:vAlign w:val="center"/>
            <w:hideMark/>
          </w:tcPr>
          <w:p w14:paraId="6E6304AB" w14:textId="77777777" w:rsidR="003C4A32" w:rsidRPr="003C4A32" w:rsidRDefault="003C4A32">
            <w:pPr>
              <w:jc w:val="center"/>
              <w:rPr>
                <w:rFonts w:ascii="Rockwell" w:hAnsi="Rockwell"/>
                <w:b/>
                <w:bCs/>
              </w:rPr>
            </w:pPr>
            <w:r w:rsidRPr="003C4A32">
              <w:rPr>
                <w:rStyle w:val="Strong"/>
                <w:rFonts w:ascii="Rockwell" w:hAnsi="Rockwell"/>
              </w:rPr>
              <w:t>Responsible Unit</w:t>
            </w:r>
          </w:p>
        </w:tc>
        <w:tc>
          <w:tcPr>
            <w:tcW w:w="0" w:type="auto"/>
            <w:vAlign w:val="center"/>
            <w:hideMark/>
          </w:tcPr>
          <w:p w14:paraId="67B70F14" w14:textId="77777777" w:rsidR="003C4A32" w:rsidRPr="003C4A32" w:rsidRDefault="003C4A32">
            <w:pPr>
              <w:jc w:val="center"/>
              <w:rPr>
                <w:rFonts w:ascii="Rockwell" w:hAnsi="Rockwell"/>
                <w:b/>
                <w:bCs/>
              </w:rPr>
            </w:pPr>
            <w:r w:rsidRPr="003C4A32">
              <w:rPr>
                <w:rStyle w:val="Strong"/>
                <w:rFonts w:ascii="Rockwell" w:hAnsi="Rockwell"/>
              </w:rPr>
              <w:t>Timeline</w:t>
            </w:r>
          </w:p>
        </w:tc>
        <w:tc>
          <w:tcPr>
            <w:tcW w:w="0" w:type="auto"/>
            <w:vAlign w:val="center"/>
            <w:hideMark/>
          </w:tcPr>
          <w:p w14:paraId="74CA4EF3" w14:textId="77777777" w:rsidR="003C4A32" w:rsidRPr="003C4A32" w:rsidRDefault="003C4A32">
            <w:pPr>
              <w:jc w:val="center"/>
              <w:rPr>
                <w:rFonts w:ascii="Rockwell" w:hAnsi="Rockwell"/>
                <w:b/>
                <w:bCs/>
              </w:rPr>
            </w:pPr>
            <w:r w:rsidRPr="003C4A32">
              <w:rPr>
                <w:rStyle w:val="Strong"/>
                <w:rFonts w:ascii="Rockwell" w:hAnsi="Rockwell"/>
              </w:rPr>
              <w:t>Implementation Status / Notes</w:t>
            </w:r>
          </w:p>
        </w:tc>
      </w:tr>
      <w:tr w:rsidR="003C4A32" w:rsidRPr="003C4A32" w14:paraId="69A885B8" w14:textId="77777777" w:rsidTr="003C4A32">
        <w:trPr>
          <w:tblCellSpacing w:w="15" w:type="dxa"/>
        </w:trPr>
        <w:tc>
          <w:tcPr>
            <w:tcW w:w="0" w:type="auto"/>
            <w:vAlign w:val="center"/>
            <w:hideMark/>
          </w:tcPr>
          <w:p w14:paraId="1072F4EC" w14:textId="77777777" w:rsidR="003C4A32" w:rsidRPr="003C4A32" w:rsidRDefault="003C4A32">
            <w:pPr>
              <w:rPr>
                <w:rFonts w:ascii="Rockwell" w:hAnsi="Rockwell"/>
              </w:rPr>
            </w:pPr>
            <w:r w:rsidRPr="003C4A32">
              <w:rPr>
                <w:rFonts w:ascii="Rockwell" w:hAnsi="Rockwell"/>
              </w:rPr>
              <w:t>EAPTS under-utilized</w:t>
            </w:r>
          </w:p>
        </w:tc>
        <w:tc>
          <w:tcPr>
            <w:tcW w:w="0" w:type="auto"/>
            <w:vAlign w:val="center"/>
            <w:hideMark/>
          </w:tcPr>
          <w:p w14:paraId="252AB7D6" w14:textId="77777777" w:rsidR="003C4A32" w:rsidRPr="003C4A32" w:rsidRDefault="003C4A32">
            <w:pPr>
              <w:rPr>
                <w:rFonts w:ascii="Rockwell" w:hAnsi="Rockwell"/>
              </w:rPr>
            </w:pPr>
            <w:r w:rsidRPr="003C4A32">
              <w:rPr>
                <w:rFonts w:ascii="Rockwell" w:hAnsi="Rockwell"/>
              </w:rPr>
              <w:t>Lack of training &amp; supervision</w:t>
            </w:r>
          </w:p>
        </w:tc>
        <w:tc>
          <w:tcPr>
            <w:tcW w:w="0" w:type="auto"/>
            <w:vAlign w:val="center"/>
            <w:hideMark/>
          </w:tcPr>
          <w:p w14:paraId="72DB45C3" w14:textId="77777777" w:rsidR="003C4A32" w:rsidRPr="003C4A32" w:rsidRDefault="003C4A32">
            <w:pPr>
              <w:rPr>
                <w:rFonts w:ascii="Rockwell" w:hAnsi="Rockwell"/>
              </w:rPr>
            </w:pPr>
            <w:r w:rsidRPr="003C4A32">
              <w:rPr>
                <w:rFonts w:ascii="Rockwell" w:hAnsi="Rockwell"/>
              </w:rPr>
              <w:t>Monthly EAPTS reviews &amp; accountability loop</w:t>
            </w:r>
          </w:p>
        </w:tc>
        <w:tc>
          <w:tcPr>
            <w:tcW w:w="0" w:type="auto"/>
            <w:vAlign w:val="center"/>
            <w:hideMark/>
          </w:tcPr>
          <w:p w14:paraId="61102C72" w14:textId="77777777" w:rsidR="003C4A32" w:rsidRPr="003C4A32" w:rsidRDefault="003C4A32">
            <w:pPr>
              <w:rPr>
                <w:rFonts w:ascii="Rockwell" w:hAnsi="Rockwell"/>
              </w:rPr>
            </w:pPr>
            <w:r w:rsidRPr="003C4A32">
              <w:rPr>
                <w:rFonts w:ascii="Rockwell" w:hAnsi="Rockwell"/>
              </w:rPr>
              <w:t>Pharmacy Unit</w:t>
            </w:r>
          </w:p>
        </w:tc>
        <w:tc>
          <w:tcPr>
            <w:tcW w:w="0" w:type="auto"/>
            <w:vAlign w:val="center"/>
            <w:hideMark/>
          </w:tcPr>
          <w:p w14:paraId="4485ECC0" w14:textId="77777777" w:rsidR="003C4A32" w:rsidRPr="003C4A32" w:rsidRDefault="003C4A32">
            <w:pPr>
              <w:rPr>
                <w:rFonts w:ascii="Rockwell" w:hAnsi="Rockwell"/>
              </w:rPr>
            </w:pPr>
            <w:r w:rsidRPr="003C4A32">
              <w:rPr>
                <w:rFonts w:ascii="Rockwell" w:hAnsi="Rockwell"/>
              </w:rPr>
              <w:t>Monthly</w:t>
            </w:r>
          </w:p>
        </w:tc>
        <w:tc>
          <w:tcPr>
            <w:tcW w:w="0" w:type="auto"/>
            <w:vAlign w:val="center"/>
            <w:hideMark/>
          </w:tcPr>
          <w:p w14:paraId="60D86BB2" w14:textId="77777777" w:rsidR="003C4A32" w:rsidRPr="003C4A32" w:rsidRDefault="003C4A32">
            <w:pPr>
              <w:rPr>
                <w:rFonts w:ascii="Rockwell" w:hAnsi="Rockwell"/>
              </w:rPr>
            </w:pPr>
            <w:r w:rsidRPr="003C4A32">
              <w:rPr>
                <w:rFonts w:ascii="Rockwell" w:hAnsi="Rockwell"/>
              </w:rPr>
              <w:t>Monthly reviews initiated; increased system use and data accuracy, ongoing supervision to sustain progress</w:t>
            </w:r>
          </w:p>
        </w:tc>
      </w:tr>
      <w:tr w:rsidR="003C4A32" w:rsidRPr="003C4A32" w14:paraId="34286C1D" w14:textId="77777777" w:rsidTr="003C4A32">
        <w:trPr>
          <w:tblCellSpacing w:w="15" w:type="dxa"/>
        </w:trPr>
        <w:tc>
          <w:tcPr>
            <w:tcW w:w="0" w:type="auto"/>
            <w:vAlign w:val="center"/>
            <w:hideMark/>
          </w:tcPr>
          <w:p w14:paraId="011EDFEE" w14:textId="77777777" w:rsidR="003C4A32" w:rsidRPr="003C4A32" w:rsidRDefault="003C4A32">
            <w:pPr>
              <w:rPr>
                <w:rFonts w:ascii="Rockwell" w:hAnsi="Rockwell"/>
              </w:rPr>
            </w:pPr>
            <w:r w:rsidRPr="003C4A32">
              <w:rPr>
                <w:rFonts w:ascii="Rockwell" w:hAnsi="Rockwell"/>
              </w:rPr>
              <w:lastRenderedPageBreak/>
              <w:t>Physical count inconsistencies</w:t>
            </w:r>
          </w:p>
        </w:tc>
        <w:tc>
          <w:tcPr>
            <w:tcW w:w="0" w:type="auto"/>
            <w:vAlign w:val="center"/>
            <w:hideMark/>
          </w:tcPr>
          <w:p w14:paraId="18815926" w14:textId="77777777" w:rsidR="003C4A32" w:rsidRPr="003C4A32" w:rsidRDefault="003C4A32">
            <w:pPr>
              <w:rPr>
                <w:rFonts w:ascii="Rockwell" w:hAnsi="Rockwell"/>
              </w:rPr>
            </w:pPr>
            <w:r w:rsidRPr="003C4A32">
              <w:rPr>
                <w:rFonts w:ascii="Rockwell" w:hAnsi="Rockwell"/>
              </w:rPr>
              <w:t>No routine audit culture</w:t>
            </w:r>
          </w:p>
        </w:tc>
        <w:tc>
          <w:tcPr>
            <w:tcW w:w="0" w:type="auto"/>
            <w:vAlign w:val="center"/>
            <w:hideMark/>
          </w:tcPr>
          <w:p w14:paraId="3545B650" w14:textId="77777777" w:rsidR="003C4A32" w:rsidRPr="003C4A32" w:rsidRDefault="003C4A32">
            <w:pPr>
              <w:rPr>
                <w:rFonts w:ascii="Rockwell" w:hAnsi="Rockwell"/>
              </w:rPr>
            </w:pPr>
            <w:r w:rsidRPr="003C4A32">
              <w:rPr>
                <w:rFonts w:ascii="Rockwell" w:hAnsi="Rockwell"/>
              </w:rPr>
              <w:t>Quarterly audits with pharmacy–store joint team</w:t>
            </w:r>
          </w:p>
        </w:tc>
        <w:tc>
          <w:tcPr>
            <w:tcW w:w="0" w:type="auto"/>
            <w:vAlign w:val="center"/>
            <w:hideMark/>
          </w:tcPr>
          <w:p w14:paraId="4E6FE02F" w14:textId="77777777" w:rsidR="003C4A32" w:rsidRPr="003C4A32" w:rsidRDefault="003C4A32">
            <w:pPr>
              <w:rPr>
                <w:rFonts w:ascii="Rockwell" w:hAnsi="Rockwell"/>
              </w:rPr>
            </w:pPr>
            <w:r w:rsidRPr="003C4A32">
              <w:rPr>
                <w:rFonts w:ascii="Rockwell" w:hAnsi="Rockwell"/>
              </w:rPr>
              <w:t>Pharmacy &amp; DTC</w:t>
            </w:r>
          </w:p>
        </w:tc>
        <w:tc>
          <w:tcPr>
            <w:tcW w:w="0" w:type="auto"/>
            <w:vAlign w:val="center"/>
            <w:hideMark/>
          </w:tcPr>
          <w:p w14:paraId="34F84759" w14:textId="77777777" w:rsidR="003C4A32" w:rsidRPr="003C4A32" w:rsidRDefault="003C4A32">
            <w:pPr>
              <w:rPr>
                <w:rFonts w:ascii="Rockwell" w:hAnsi="Rockwell"/>
              </w:rPr>
            </w:pPr>
            <w:r w:rsidRPr="003C4A32">
              <w:rPr>
                <w:rFonts w:ascii="Rockwell" w:hAnsi="Rockwell"/>
              </w:rPr>
              <w:t>Quarterly</w:t>
            </w:r>
          </w:p>
        </w:tc>
        <w:tc>
          <w:tcPr>
            <w:tcW w:w="0" w:type="auto"/>
            <w:vAlign w:val="center"/>
            <w:hideMark/>
          </w:tcPr>
          <w:p w14:paraId="33D60271" w14:textId="77777777" w:rsidR="003C4A32" w:rsidRPr="003C4A32" w:rsidRDefault="003C4A32">
            <w:pPr>
              <w:rPr>
                <w:rFonts w:ascii="Rockwell" w:hAnsi="Rockwell"/>
              </w:rPr>
            </w:pPr>
            <w:r w:rsidRPr="003C4A32">
              <w:rPr>
                <w:rFonts w:ascii="Rockwell" w:hAnsi="Rockwell"/>
              </w:rPr>
              <w:t>Joint audits institutionalized; discrepancies reduced; improved inventory record reliability</w:t>
            </w:r>
          </w:p>
        </w:tc>
      </w:tr>
      <w:tr w:rsidR="003C4A32" w:rsidRPr="003C4A32" w14:paraId="7509ED7C" w14:textId="77777777" w:rsidTr="003C4A32">
        <w:trPr>
          <w:tblCellSpacing w:w="15" w:type="dxa"/>
        </w:trPr>
        <w:tc>
          <w:tcPr>
            <w:tcW w:w="0" w:type="auto"/>
            <w:vAlign w:val="center"/>
            <w:hideMark/>
          </w:tcPr>
          <w:p w14:paraId="0DC85DD2" w14:textId="77777777" w:rsidR="003C4A32" w:rsidRPr="003C4A32" w:rsidRDefault="003C4A32">
            <w:pPr>
              <w:rPr>
                <w:rFonts w:ascii="Rockwell" w:hAnsi="Rockwell"/>
              </w:rPr>
            </w:pPr>
            <w:r w:rsidRPr="003C4A32">
              <w:rPr>
                <w:rFonts w:ascii="Rockwell" w:hAnsi="Rockwell"/>
              </w:rPr>
              <w:t>No procurement review</w:t>
            </w:r>
          </w:p>
        </w:tc>
        <w:tc>
          <w:tcPr>
            <w:tcW w:w="0" w:type="auto"/>
            <w:vAlign w:val="center"/>
            <w:hideMark/>
          </w:tcPr>
          <w:p w14:paraId="5AC3E720" w14:textId="77777777" w:rsidR="003C4A32" w:rsidRPr="003C4A32" w:rsidRDefault="003C4A32">
            <w:pPr>
              <w:rPr>
                <w:rFonts w:ascii="Rockwell" w:hAnsi="Rockwell"/>
              </w:rPr>
            </w:pPr>
            <w:r w:rsidRPr="003C4A32">
              <w:rPr>
                <w:rFonts w:ascii="Rockwell" w:hAnsi="Rockwell"/>
              </w:rPr>
              <w:t>Weak oversight</w:t>
            </w:r>
          </w:p>
        </w:tc>
        <w:tc>
          <w:tcPr>
            <w:tcW w:w="0" w:type="auto"/>
            <w:vAlign w:val="center"/>
            <w:hideMark/>
          </w:tcPr>
          <w:p w14:paraId="2886AC6A" w14:textId="77777777" w:rsidR="003C4A32" w:rsidRPr="003C4A32" w:rsidRDefault="003C4A32">
            <w:pPr>
              <w:rPr>
                <w:rFonts w:ascii="Rockwell" w:hAnsi="Rockwell"/>
              </w:rPr>
            </w:pPr>
            <w:r w:rsidRPr="003C4A32">
              <w:rPr>
                <w:rFonts w:ascii="Rockwell" w:hAnsi="Rockwell"/>
              </w:rPr>
              <w:t>Structured monthly procurement review meetings</w:t>
            </w:r>
          </w:p>
        </w:tc>
        <w:tc>
          <w:tcPr>
            <w:tcW w:w="0" w:type="auto"/>
            <w:vAlign w:val="center"/>
            <w:hideMark/>
          </w:tcPr>
          <w:p w14:paraId="519126AA" w14:textId="77777777" w:rsidR="003C4A32" w:rsidRPr="003C4A32" w:rsidRDefault="003C4A32">
            <w:pPr>
              <w:rPr>
                <w:rFonts w:ascii="Rockwell" w:hAnsi="Rockwell"/>
              </w:rPr>
            </w:pPr>
            <w:r w:rsidRPr="003C4A32">
              <w:rPr>
                <w:rFonts w:ascii="Rockwell" w:hAnsi="Rockwell"/>
              </w:rPr>
              <w:t>DTC &amp; Procurement</w:t>
            </w:r>
          </w:p>
        </w:tc>
        <w:tc>
          <w:tcPr>
            <w:tcW w:w="0" w:type="auto"/>
            <w:vAlign w:val="center"/>
            <w:hideMark/>
          </w:tcPr>
          <w:p w14:paraId="48851E86" w14:textId="77777777" w:rsidR="003C4A32" w:rsidRPr="003C4A32" w:rsidRDefault="003C4A32">
            <w:pPr>
              <w:rPr>
                <w:rFonts w:ascii="Rockwell" w:hAnsi="Rockwell"/>
              </w:rPr>
            </w:pPr>
            <w:r w:rsidRPr="003C4A32">
              <w:rPr>
                <w:rFonts w:ascii="Rockwell" w:hAnsi="Rockwell"/>
              </w:rPr>
              <w:t>Monthly</w:t>
            </w:r>
          </w:p>
        </w:tc>
        <w:tc>
          <w:tcPr>
            <w:tcW w:w="0" w:type="auto"/>
            <w:vAlign w:val="center"/>
            <w:hideMark/>
          </w:tcPr>
          <w:p w14:paraId="35F0E18F" w14:textId="77777777" w:rsidR="003C4A32" w:rsidRPr="003C4A32" w:rsidRDefault="003C4A32">
            <w:pPr>
              <w:rPr>
                <w:rFonts w:ascii="Rockwell" w:hAnsi="Rockwell"/>
              </w:rPr>
            </w:pPr>
            <w:r w:rsidRPr="003C4A32">
              <w:rPr>
                <w:rFonts w:ascii="Rockwell" w:hAnsi="Rockwell"/>
              </w:rPr>
              <w:t>Monthly procurement meetings established; improved policy adherence and timely procurement</w:t>
            </w:r>
          </w:p>
        </w:tc>
      </w:tr>
      <w:tr w:rsidR="003C4A32" w:rsidRPr="003C4A32" w14:paraId="629817CC" w14:textId="77777777" w:rsidTr="003C4A32">
        <w:trPr>
          <w:tblCellSpacing w:w="15" w:type="dxa"/>
        </w:trPr>
        <w:tc>
          <w:tcPr>
            <w:tcW w:w="0" w:type="auto"/>
            <w:vAlign w:val="center"/>
            <w:hideMark/>
          </w:tcPr>
          <w:p w14:paraId="18E89347" w14:textId="77777777" w:rsidR="003C4A32" w:rsidRPr="003C4A32" w:rsidRDefault="003C4A32">
            <w:pPr>
              <w:rPr>
                <w:rFonts w:ascii="Rockwell" w:hAnsi="Rockwell"/>
              </w:rPr>
            </w:pPr>
            <w:r w:rsidRPr="003C4A32">
              <w:rPr>
                <w:rFonts w:ascii="Rockwell" w:hAnsi="Rockwell"/>
              </w:rPr>
              <w:t>No supplier evaluation</w:t>
            </w:r>
          </w:p>
        </w:tc>
        <w:tc>
          <w:tcPr>
            <w:tcW w:w="0" w:type="auto"/>
            <w:vAlign w:val="center"/>
            <w:hideMark/>
          </w:tcPr>
          <w:p w14:paraId="2D66CD8E" w14:textId="77777777" w:rsidR="003C4A32" w:rsidRPr="003C4A32" w:rsidRDefault="003C4A32">
            <w:pPr>
              <w:rPr>
                <w:rFonts w:ascii="Rockwell" w:hAnsi="Rockwell"/>
              </w:rPr>
            </w:pPr>
            <w:r w:rsidRPr="003C4A32">
              <w:rPr>
                <w:rFonts w:ascii="Rockwell" w:hAnsi="Rockwell"/>
              </w:rPr>
              <w:t>No scheduled review</w:t>
            </w:r>
          </w:p>
        </w:tc>
        <w:tc>
          <w:tcPr>
            <w:tcW w:w="0" w:type="auto"/>
            <w:vAlign w:val="center"/>
            <w:hideMark/>
          </w:tcPr>
          <w:p w14:paraId="5BE8945B" w14:textId="77777777" w:rsidR="003C4A32" w:rsidRPr="003C4A32" w:rsidRDefault="003C4A32">
            <w:pPr>
              <w:rPr>
                <w:rFonts w:ascii="Rockwell" w:hAnsi="Rockwell"/>
              </w:rPr>
            </w:pPr>
            <w:r w:rsidRPr="003C4A32">
              <w:rPr>
                <w:rFonts w:ascii="Rockwell" w:hAnsi="Rockwell"/>
              </w:rPr>
              <w:t>Hold biannual supplier roundtable discussions</w:t>
            </w:r>
          </w:p>
        </w:tc>
        <w:tc>
          <w:tcPr>
            <w:tcW w:w="0" w:type="auto"/>
            <w:vAlign w:val="center"/>
            <w:hideMark/>
          </w:tcPr>
          <w:p w14:paraId="049043C0" w14:textId="77777777" w:rsidR="003C4A32" w:rsidRPr="003C4A32" w:rsidRDefault="003C4A32">
            <w:pPr>
              <w:rPr>
                <w:rFonts w:ascii="Rockwell" w:hAnsi="Rockwell"/>
              </w:rPr>
            </w:pPr>
            <w:r w:rsidRPr="003C4A32">
              <w:rPr>
                <w:rFonts w:ascii="Rockwell" w:hAnsi="Rockwell"/>
              </w:rPr>
              <w:t>Procurement Office</w:t>
            </w:r>
          </w:p>
        </w:tc>
        <w:tc>
          <w:tcPr>
            <w:tcW w:w="0" w:type="auto"/>
            <w:vAlign w:val="center"/>
            <w:hideMark/>
          </w:tcPr>
          <w:p w14:paraId="2D83C450" w14:textId="77777777" w:rsidR="003C4A32" w:rsidRPr="003C4A32" w:rsidRDefault="003C4A32">
            <w:pPr>
              <w:rPr>
                <w:rFonts w:ascii="Rockwell" w:hAnsi="Rockwell"/>
              </w:rPr>
            </w:pPr>
            <w:r w:rsidRPr="003C4A32">
              <w:rPr>
                <w:rFonts w:ascii="Rockwell" w:hAnsi="Rockwell"/>
              </w:rPr>
              <w:t>Biannual</w:t>
            </w:r>
          </w:p>
        </w:tc>
        <w:tc>
          <w:tcPr>
            <w:tcW w:w="0" w:type="auto"/>
            <w:vAlign w:val="center"/>
            <w:hideMark/>
          </w:tcPr>
          <w:p w14:paraId="330F074E" w14:textId="77777777" w:rsidR="003C4A32" w:rsidRPr="003C4A32" w:rsidRDefault="003C4A32">
            <w:pPr>
              <w:rPr>
                <w:rFonts w:ascii="Rockwell" w:hAnsi="Rockwell"/>
              </w:rPr>
            </w:pPr>
            <w:r w:rsidRPr="003C4A32">
              <w:rPr>
                <w:rStyle w:val="Strong"/>
                <w:rFonts w:ascii="Rockwell" w:hAnsi="Rockwell"/>
              </w:rPr>
              <w:t>Not yet implemented; pending scheduling and resource allocation</w:t>
            </w:r>
          </w:p>
        </w:tc>
      </w:tr>
      <w:tr w:rsidR="003C4A32" w:rsidRPr="003C4A32" w14:paraId="6D977167" w14:textId="77777777" w:rsidTr="003C4A32">
        <w:trPr>
          <w:tblCellSpacing w:w="15" w:type="dxa"/>
        </w:trPr>
        <w:tc>
          <w:tcPr>
            <w:tcW w:w="0" w:type="auto"/>
            <w:vAlign w:val="center"/>
            <w:hideMark/>
          </w:tcPr>
          <w:p w14:paraId="7FD5CC7D" w14:textId="77777777" w:rsidR="003C4A32" w:rsidRPr="003C4A32" w:rsidRDefault="003C4A32">
            <w:pPr>
              <w:rPr>
                <w:rFonts w:ascii="Rockwell" w:hAnsi="Rockwell"/>
              </w:rPr>
            </w:pPr>
            <w:r w:rsidRPr="003C4A32">
              <w:rPr>
                <w:rFonts w:ascii="Rockwell" w:hAnsi="Rockwell"/>
              </w:rPr>
              <w:t>Staff unaware of SOPs</w:t>
            </w:r>
          </w:p>
        </w:tc>
        <w:tc>
          <w:tcPr>
            <w:tcW w:w="0" w:type="auto"/>
            <w:vAlign w:val="center"/>
            <w:hideMark/>
          </w:tcPr>
          <w:p w14:paraId="4812E061" w14:textId="77777777" w:rsidR="003C4A32" w:rsidRPr="003C4A32" w:rsidRDefault="003C4A32">
            <w:pPr>
              <w:rPr>
                <w:rFonts w:ascii="Rockwell" w:hAnsi="Rockwell"/>
              </w:rPr>
            </w:pPr>
            <w:r w:rsidRPr="003C4A32">
              <w:rPr>
                <w:rFonts w:ascii="Rockwell" w:hAnsi="Rockwell"/>
              </w:rPr>
              <w:t>No refresher trainings</w:t>
            </w:r>
          </w:p>
        </w:tc>
        <w:tc>
          <w:tcPr>
            <w:tcW w:w="0" w:type="auto"/>
            <w:vAlign w:val="center"/>
            <w:hideMark/>
          </w:tcPr>
          <w:p w14:paraId="1736C494" w14:textId="77777777" w:rsidR="003C4A32" w:rsidRPr="003C4A32" w:rsidRDefault="003C4A32">
            <w:pPr>
              <w:rPr>
                <w:rFonts w:ascii="Rockwell" w:hAnsi="Rockwell"/>
              </w:rPr>
            </w:pPr>
            <w:r w:rsidRPr="003C4A32">
              <w:rPr>
                <w:rFonts w:ascii="Rockwell" w:hAnsi="Rockwell"/>
              </w:rPr>
              <w:t>Quarterly on-site SOP and logistics refresher trainings</w:t>
            </w:r>
          </w:p>
        </w:tc>
        <w:tc>
          <w:tcPr>
            <w:tcW w:w="0" w:type="auto"/>
            <w:vAlign w:val="center"/>
            <w:hideMark/>
          </w:tcPr>
          <w:p w14:paraId="2B20255A" w14:textId="77777777" w:rsidR="003C4A32" w:rsidRPr="003C4A32" w:rsidRDefault="003C4A32">
            <w:pPr>
              <w:rPr>
                <w:rFonts w:ascii="Rockwell" w:hAnsi="Rockwell"/>
              </w:rPr>
            </w:pPr>
            <w:r w:rsidRPr="003C4A32">
              <w:rPr>
                <w:rFonts w:ascii="Rockwell" w:hAnsi="Rockwell"/>
              </w:rPr>
              <w:t>SMT &amp; DTC</w:t>
            </w:r>
          </w:p>
        </w:tc>
        <w:tc>
          <w:tcPr>
            <w:tcW w:w="0" w:type="auto"/>
            <w:vAlign w:val="center"/>
            <w:hideMark/>
          </w:tcPr>
          <w:p w14:paraId="0B45C165" w14:textId="77777777" w:rsidR="003C4A32" w:rsidRPr="003C4A32" w:rsidRDefault="003C4A32">
            <w:pPr>
              <w:rPr>
                <w:rFonts w:ascii="Rockwell" w:hAnsi="Rockwell"/>
              </w:rPr>
            </w:pPr>
            <w:r w:rsidRPr="003C4A32">
              <w:rPr>
                <w:rFonts w:ascii="Rockwell" w:hAnsi="Rockwell"/>
              </w:rPr>
              <w:t>Quarterly</w:t>
            </w:r>
          </w:p>
        </w:tc>
        <w:tc>
          <w:tcPr>
            <w:tcW w:w="0" w:type="auto"/>
            <w:vAlign w:val="center"/>
            <w:hideMark/>
          </w:tcPr>
          <w:p w14:paraId="0E18EF0D" w14:textId="77777777" w:rsidR="003C4A32" w:rsidRPr="003C4A32" w:rsidRDefault="003C4A32">
            <w:pPr>
              <w:rPr>
                <w:rFonts w:ascii="Rockwell" w:hAnsi="Rockwell"/>
              </w:rPr>
            </w:pPr>
            <w:r w:rsidRPr="003C4A32">
              <w:rPr>
                <w:rStyle w:val="Strong"/>
                <w:rFonts w:ascii="Rockwell" w:hAnsi="Rockwell"/>
              </w:rPr>
              <w:t>Not yet implemented; refresher trainings not conducted</w:t>
            </w:r>
          </w:p>
        </w:tc>
      </w:tr>
      <w:tr w:rsidR="003C4A32" w:rsidRPr="003C4A32" w14:paraId="6CB22166" w14:textId="77777777" w:rsidTr="003C4A32">
        <w:trPr>
          <w:tblCellSpacing w:w="15" w:type="dxa"/>
        </w:trPr>
        <w:tc>
          <w:tcPr>
            <w:tcW w:w="0" w:type="auto"/>
            <w:vAlign w:val="center"/>
            <w:hideMark/>
          </w:tcPr>
          <w:p w14:paraId="65E678A6" w14:textId="77777777" w:rsidR="003C4A32" w:rsidRPr="003C4A32" w:rsidRDefault="003C4A32">
            <w:pPr>
              <w:rPr>
                <w:rFonts w:ascii="Rockwell" w:hAnsi="Rockwell"/>
              </w:rPr>
            </w:pPr>
            <w:r w:rsidRPr="003C4A32">
              <w:rPr>
                <w:rFonts w:ascii="Rockwell" w:hAnsi="Rockwell"/>
              </w:rPr>
              <w:t>No emergency protocol used</w:t>
            </w:r>
          </w:p>
        </w:tc>
        <w:tc>
          <w:tcPr>
            <w:tcW w:w="0" w:type="auto"/>
            <w:vAlign w:val="center"/>
            <w:hideMark/>
          </w:tcPr>
          <w:p w14:paraId="55AF5870" w14:textId="77777777" w:rsidR="003C4A32" w:rsidRPr="003C4A32" w:rsidRDefault="003C4A32">
            <w:pPr>
              <w:rPr>
                <w:rFonts w:ascii="Rockwell" w:hAnsi="Rockwell"/>
              </w:rPr>
            </w:pPr>
            <w:r w:rsidRPr="003C4A32">
              <w:rPr>
                <w:rFonts w:ascii="Rockwell" w:hAnsi="Rockwell"/>
              </w:rPr>
              <w:t>Lack of clarity on roles</w:t>
            </w:r>
          </w:p>
        </w:tc>
        <w:tc>
          <w:tcPr>
            <w:tcW w:w="0" w:type="auto"/>
            <w:vAlign w:val="center"/>
            <w:hideMark/>
          </w:tcPr>
          <w:p w14:paraId="42E09C40" w14:textId="77777777" w:rsidR="003C4A32" w:rsidRPr="003C4A32" w:rsidRDefault="003C4A32">
            <w:pPr>
              <w:rPr>
                <w:rFonts w:ascii="Rockwell" w:hAnsi="Rockwell"/>
              </w:rPr>
            </w:pPr>
            <w:r w:rsidRPr="003C4A32">
              <w:rPr>
                <w:rFonts w:ascii="Rockwell" w:hAnsi="Rockwell"/>
              </w:rPr>
              <w:t>Finalize and disseminate emergency SOP</w:t>
            </w:r>
          </w:p>
        </w:tc>
        <w:tc>
          <w:tcPr>
            <w:tcW w:w="0" w:type="auto"/>
            <w:vAlign w:val="center"/>
            <w:hideMark/>
          </w:tcPr>
          <w:p w14:paraId="3DD71BBE" w14:textId="77777777" w:rsidR="003C4A32" w:rsidRPr="003C4A32" w:rsidRDefault="003C4A32">
            <w:pPr>
              <w:rPr>
                <w:rFonts w:ascii="Rockwell" w:hAnsi="Rockwell"/>
              </w:rPr>
            </w:pPr>
            <w:r w:rsidRPr="003C4A32">
              <w:rPr>
                <w:rFonts w:ascii="Rockwell" w:hAnsi="Rockwell"/>
              </w:rPr>
              <w:t>DTC</w:t>
            </w:r>
          </w:p>
        </w:tc>
        <w:tc>
          <w:tcPr>
            <w:tcW w:w="0" w:type="auto"/>
            <w:vAlign w:val="center"/>
            <w:hideMark/>
          </w:tcPr>
          <w:p w14:paraId="00500F5C" w14:textId="77777777" w:rsidR="003C4A32" w:rsidRPr="003C4A32" w:rsidRDefault="003C4A32">
            <w:pPr>
              <w:rPr>
                <w:rFonts w:ascii="Rockwell" w:hAnsi="Rockwell"/>
              </w:rPr>
            </w:pPr>
            <w:r w:rsidRPr="003C4A32">
              <w:rPr>
                <w:rFonts w:ascii="Rockwell" w:hAnsi="Rockwell"/>
              </w:rPr>
              <w:t>1 Month</w:t>
            </w:r>
          </w:p>
        </w:tc>
        <w:tc>
          <w:tcPr>
            <w:tcW w:w="0" w:type="auto"/>
            <w:vAlign w:val="center"/>
            <w:hideMark/>
          </w:tcPr>
          <w:p w14:paraId="1A69ECE7" w14:textId="77777777" w:rsidR="003C4A32" w:rsidRPr="003C4A32" w:rsidRDefault="003C4A32">
            <w:pPr>
              <w:rPr>
                <w:rFonts w:ascii="Rockwell" w:hAnsi="Rockwell"/>
              </w:rPr>
            </w:pPr>
            <w:r w:rsidRPr="003C4A32">
              <w:rPr>
                <w:rStyle w:val="Strong"/>
                <w:rFonts w:ascii="Rockwell" w:hAnsi="Rockwell"/>
              </w:rPr>
              <w:t>Not yet implemented; emergency SOP not finalized or circulated</w:t>
            </w:r>
          </w:p>
        </w:tc>
      </w:tr>
      <w:tr w:rsidR="003C4A32" w:rsidRPr="003C4A32" w14:paraId="626B4A80" w14:textId="77777777" w:rsidTr="003C4A32">
        <w:trPr>
          <w:tblCellSpacing w:w="15" w:type="dxa"/>
        </w:trPr>
        <w:tc>
          <w:tcPr>
            <w:tcW w:w="0" w:type="auto"/>
            <w:vAlign w:val="center"/>
            <w:hideMark/>
          </w:tcPr>
          <w:p w14:paraId="08B83934" w14:textId="77777777" w:rsidR="003C4A32" w:rsidRPr="003C4A32" w:rsidRDefault="003C4A32">
            <w:pPr>
              <w:rPr>
                <w:rFonts w:ascii="Rockwell" w:hAnsi="Rockwell"/>
              </w:rPr>
            </w:pPr>
            <w:r w:rsidRPr="003C4A32">
              <w:rPr>
                <w:rFonts w:ascii="Rockwell" w:hAnsi="Rockwell"/>
              </w:rPr>
              <w:t>No quarterly prioritization</w:t>
            </w:r>
          </w:p>
        </w:tc>
        <w:tc>
          <w:tcPr>
            <w:tcW w:w="0" w:type="auto"/>
            <w:vAlign w:val="center"/>
            <w:hideMark/>
          </w:tcPr>
          <w:p w14:paraId="1E774234" w14:textId="77777777" w:rsidR="003C4A32" w:rsidRPr="003C4A32" w:rsidRDefault="003C4A32">
            <w:pPr>
              <w:rPr>
                <w:rFonts w:ascii="Rockwell" w:hAnsi="Rockwell"/>
              </w:rPr>
            </w:pPr>
            <w:r w:rsidRPr="003C4A32">
              <w:rPr>
                <w:rFonts w:ascii="Rockwell" w:hAnsi="Rockwell"/>
              </w:rPr>
              <w:t>No process in place</w:t>
            </w:r>
          </w:p>
        </w:tc>
        <w:tc>
          <w:tcPr>
            <w:tcW w:w="0" w:type="auto"/>
            <w:vAlign w:val="center"/>
            <w:hideMark/>
          </w:tcPr>
          <w:p w14:paraId="60339536" w14:textId="77777777" w:rsidR="003C4A32" w:rsidRPr="003C4A32" w:rsidRDefault="003C4A32">
            <w:pPr>
              <w:rPr>
                <w:rFonts w:ascii="Rockwell" w:hAnsi="Rockwell"/>
              </w:rPr>
            </w:pPr>
            <w:r w:rsidRPr="003C4A32">
              <w:rPr>
                <w:rFonts w:ascii="Rockwell" w:hAnsi="Rockwell"/>
              </w:rPr>
              <w:t>Review consumption and adjust orders quarterly</w:t>
            </w:r>
          </w:p>
        </w:tc>
        <w:tc>
          <w:tcPr>
            <w:tcW w:w="0" w:type="auto"/>
            <w:vAlign w:val="center"/>
            <w:hideMark/>
          </w:tcPr>
          <w:p w14:paraId="35F02E08" w14:textId="77777777" w:rsidR="003C4A32" w:rsidRPr="003C4A32" w:rsidRDefault="003C4A32">
            <w:pPr>
              <w:rPr>
                <w:rFonts w:ascii="Rockwell" w:hAnsi="Rockwell"/>
              </w:rPr>
            </w:pPr>
            <w:r w:rsidRPr="003C4A32">
              <w:rPr>
                <w:rFonts w:ascii="Rockwell" w:hAnsi="Rockwell"/>
              </w:rPr>
              <w:t>DTC &amp; Pharmacy</w:t>
            </w:r>
          </w:p>
        </w:tc>
        <w:tc>
          <w:tcPr>
            <w:tcW w:w="0" w:type="auto"/>
            <w:vAlign w:val="center"/>
            <w:hideMark/>
          </w:tcPr>
          <w:p w14:paraId="5A22B495" w14:textId="77777777" w:rsidR="003C4A32" w:rsidRPr="003C4A32" w:rsidRDefault="003C4A32">
            <w:pPr>
              <w:rPr>
                <w:rFonts w:ascii="Rockwell" w:hAnsi="Rockwell"/>
              </w:rPr>
            </w:pPr>
            <w:r w:rsidRPr="003C4A32">
              <w:rPr>
                <w:rFonts w:ascii="Rockwell" w:hAnsi="Rockwell"/>
              </w:rPr>
              <w:t>Quarterly</w:t>
            </w:r>
          </w:p>
        </w:tc>
        <w:tc>
          <w:tcPr>
            <w:tcW w:w="0" w:type="auto"/>
            <w:vAlign w:val="center"/>
            <w:hideMark/>
          </w:tcPr>
          <w:p w14:paraId="0076A381" w14:textId="77777777" w:rsidR="003C4A32" w:rsidRPr="003C4A32" w:rsidRDefault="003C4A32">
            <w:pPr>
              <w:rPr>
                <w:rFonts w:ascii="Rockwell" w:hAnsi="Rockwell"/>
              </w:rPr>
            </w:pPr>
            <w:r w:rsidRPr="003C4A32">
              <w:rPr>
                <w:rFonts w:ascii="Rockwell" w:hAnsi="Rockwell"/>
              </w:rPr>
              <w:t>Quarterly consumption reviews started; supply orders adjusted proactively</w:t>
            </w:r>
          </w:p>
        </w:tc>
      </w:tr>
      <w:tr w:rsidR="003C4A32" w:rsidRPr="003C4A32" w14:paraId="1B9E7B41" w14:textId="77777777" w:rsidTr="003C4A32">
        <w:trPr>
          <w:tblCellSpacing w:w="15" w:type="dxa"/>
        </w:trPr>
        <w:tc>
          <w:tcPr>
            <w:tcW w:w="0" w:type="auto"/>
            <w:vAlign w:val="center"/>
            <w:hideMark/>
          </w:tcPr>
          <w:p w14:paraId="49160B02" w14:textId="77777777" w:rsidR="003C4A32" w:rsidRPr="003C4A32" w:rsidRDefault="003C4A32">
            <w:pPr>
              <w:rPr>
                <w:rFonts w:ascii="Rockwell" w:hAnsi="Rockwell"/>
              </w:rPr>
            </w:pPr>
            <w:r w:rsidRPr="003C4A32">
              <w:rPr>
                <w:rFonts w:ascii="Rockwell" w:hAnsi="Rockwell"/>
              </w:rPr>
              <w:lastRenderedPageBreak/>
              <w:t>KPIs not tracked</w:t>
            </w:r>
          </w:p>
        </w:tc>
        <w:tc>
          <w:tcPr>
            <w:tcW w:w="0" w:type="auto"/>
            <w:vAlign w:val="center"/>
            <w:hideMark/>
          </w:tcPr>
          <w:p w14:paraId="6DB1305A" w14:textId="77777777" w:rsidR="003C4A32" w:rsidRPr="003C4A32" w:rsidRDefault="003C4A32">
            <w:pPr>
              <w:rPr>
                <w:rFonts w:ascii="Rockwell" w:hAnsi="Rockwell"/>
              </w:rPr>
            </w:pPr>
            <w:r w:rsidRPr="003C4A32">
              <w:rPr>
                <w:rFonts w:ascii="Rockwell" w:hAnsi="Rockwell"/>
              </w:rPr>
              <w:t>No dashboard</w:t>
            </w:r>
          </w:p>
        </w:tc>
        <w:tc>
          <w:tcPr>
            <w:tcW w:w="0" w:type="auto"/>
            <w:vAlign w:val="center"/>
            <w:hideMark/>
          </w:tcPr>
          <w:p w14:paraId="4198EABA" w14:textId="77777777" w:rsidR="003C4A32" w:rsidRPr="003C4A32" w:rsidRDefault="003C4A32">
            <w:pPr>
              <w:rPr>
                <w:rFonts w:ascii="Rockwell" w:hAnsi="Rockwell"/>
              </w:rPr>
            </w:pPr>
            <w:r w:rsidRPr="003C4A32">
              <w:rPr>
                <w:rFonts w:ascii="Rockwell" w:hAnsi="Rockwell"/>
              </w:rPr>
              <w:t>Launch simple KPI dashboard on Excel</w:t>
            </w:r>
          </w:p>
        </w:tc>
        <w:tc>
          <w:tcPr>
            <w:tcW w:w="0" w:type="auto"/>
            <w:vAlign w:val="center"/>
            <w:hideMark/>
          </w:tcPr>
          <w:p w14:paraId="2271A921" w14:textId="77777777" w:rsidR="003C4A32" w:rsidRPr="003C4A32" w:rsidRDefault="003C4A32">
            <w:pPr>
              <w:rPr>
                <w:rFonts w:ascii="Rockwell" w:hAnsi="Rockwell"/>
              </w:rPr>
            </w:pPr>
            <w:r w:rsidRPr="003C4A32">
              <w:rPr>
                <w:rFonts w:ascii="Rockwell" w:hAnsi="Rockwell"/>
              </w:rPr>
              <w:t>DTC</w:t>
            </w:r>
          </w:p>
        </w:tc>
        <w:tc>
          <w:tcPr>
            <w:tcW w:w="0" w:type="auto"/>
            <w:vAlign w:val="center"/>
            <w:hideMark/>
          </w:tcPr>
          <w:p w14:paraId="7D721C5E" w14:textId="77777777" w:rsidR="003C4A32" w:rsidRPr="003C4A32" w:rsidRDefault="003C4A32">
            <w:pPr>
              <w:rPr>
                <w:rFonts w:ascii="Rockwell" w:hAnsi="Rockwell"/>
              </w:rPr>
            </w:pPr>
            <w:r w:rsidRPr="003C4A32">
              <w:rPr>
                <w:rFonts w:ascii="Rockwell" w:hAnsi="Rockwell"/>
              </w:rPr>
              <w:t>Monthly</w:t>
            </w:r>
          </w:p>
        </w:tc>
        <w:tc>
          <w:tcPr>
            <w:tcW w:w="0" w:type="auto"/>
            <w:vAlign w:val="center"/>
            <w:hideMark/>
          </w:tcPr>
          <w:p w14:paraId="1DB749FF" w14:textId="77777777" w:rsidR="003C4A32" w:rsidRPr="003C4A32" w:rsidRDefault="003C4A32">
            <w:pPr>
              <w:rPr>
                <w:rFonts w:ascii="Rockwell" w:hAnsi="Rockwell"/>
              </w:rPr>
            </w:pPr>
            <w:r w:rsidRPr="003C4A32">
              <w:rPr>
                <w:rStyle w:val="Strong"/>
                <w:rFonts w:ascii="Rockwell" w:hAnsi="Rockwell"/>
              </w:rPr>
              <w:t>Not yet implemented; KPI dashboard not launched</w:t>
            </w:r>
          </w:p>
        </w:tc>
      </w:tr>
    </w:tbl>
    <w:p w14:paraId="29EB2842" w14:textId="77777777" w:rsidR="003C4A32" w:rsidRDefault="003C4A32" w:rsidP="003C4A32">
      <w:r>
        <w:pict w14:anchorId="14A6A8CC">
          <v:rect id="_x0000_i1101" style="width:0;height:1.5pt" o:hralign="center" o:hrstd="t" o:hr="t" fillcolor="#a0a0a0" stroked="f"/>
        </w:pict>
      </w:r>
    </w:p>
    <w:p w14:paraId="12E1B65D" w14:textId="77777777" w:rsidR="003C4A32" w:rsidRPr="00A16E12" w:rsidRDefault="003C4A32" w:rsidP="00A16E12">
      <w:pPr>
        <w:spacing w:after="0" w:line="240" w:lineRule="auto"/>
        <w:rPr>
          <w:rFonts w:ascii="Rockwell" w:eastAsia="Times New Roman" w:hAnsi="Rockwell" w:cs="Times New Roman"/>
          <w:sz w:val="24"/>
          <w:szCs w:val="24"/>
        </w:rPr>
      </w:pPr>
    </w:p>
    <w:p w14:paraId="2849B8B6" w14:textId="6C56BB46" w:rsidR="00A16E12" w:rsidRPr="00A16E12" w:rsidRDefault="00F8136E" w:rsidP="00A16E12">
      <w:pPr>
        <w:spacing w:before="100" w:beforeAutospacing="1" w:after="100" w:afterAutospacing="1" w:line="240" w:lineRule="auto"/>
        <w:outlineLvl w:val="1"/>
        <w:rPr>
          <w:rFonts w:ascii="Rockwell" w:eastAsia="Times New Roman" w:hAnsi="Rockwell" w:cs="Times New Roman"/>
          <w:b/>
          <w:bCs/>
          <w:sz w:val="36"/>
          <w:szCs w:val="36"/>
        </w:rPr>
      </w:pPr>
      <w:bookmarkStart w:id="8" w:name="_Toc203009157"/>
      <w:r>
        <w:rPr>
          <w:rFonts w:ascii="Rockwell" w:eastAsia="Times New Roman" w:hAnsi="Rockwell" w:cs="Times New Roman"/>
          <w:b/>
          <w:bCs/>
          <w:sz w:val="36"/>
          <w:szCs w:val="36"/>
        </w:rPr>
        <w:t>7</w:t>
      </w:r>
      <w:r w:rsidR="00A16E12" w:rsidRPr="00A16E12">
        <w:rPr>
          <w:rFonts w:ascii="Rockwell" w:eastAsia="Times New Roman" w:hAnsi="Rockwell" w:cs="Times New Roman"/>
          <w:b/>
          <w:bCs/>
          <w:sz w:val="36"/>
          <w:szCs w:val="36"/>
        </w:rPr>
        <w:t>. Inefficiency Summary Table (Q3 2016EC)</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5"/>
        <w:gridCol w:w="1291"/>
        <w:gridCol w:w="1778"/>
        <w:gridCol w:w="2816"/>
      </w:tblGrid>
      <w:tr w:rsidR="00A16E12" w:rsidRPr="00A16E12" w14:paraId="379C4084" w14:textId="77777777" w:rsidTr="00EC78B5">
        <w:trPr>
          <w:tblHeader/>
          <w:tblCellSpacing w:w="15" w:type="dxa"/>
        </w:trPr>
        <w:tc>
          <w:tcPr>
            <w:tcW w:w="0" w:type="auto"/>
            <w:vAlign w:val="center"/>
            <w:hideMark/>
          </w:tcPr>
          <w:p w14:paraId="2F3FF8EE" w14:textId="77777777" w:rsidR="00A16E12" w:rsidRPr="00A16E12" w:rsidRDefault="00A16E12" w:rsidP="00A16E12">
            <w:pPr>
              <w:spacing w:after="0" w:line="240" w:lineRule="auto"/>
              <w:jc w:val="center"/>
              <w:rPr>
                <w:rFonts w:ascii="Rockwell" w:eastAsia="Times New Roman" w:hAnsi="Rockwell" w:cs="Times New Roman"/>
                <w:b/>
                <w:bCs/>
                <w:sz w:val="24"/>
                <w:szCs w:val="24"/>
              </w:rPr>
            </w:pPr>
            <w:r w:rsidRPr="00A16E12">
              <w:rPr>
                <w:rFonts w:ascii="Rockwell" w:eastAsia="Times New Roman" w:hAnsi="Rockwell" w:cs="Times New Roman"/>
                <w:b/>
                <w:bCs/>
                <w:sz w:val="24"/>
                <w:szCs w:val="24"/>
              </w:rPr>
              <w:t>Indicator</w:t>
            </w:r>
          </w:p>
        </w:tc>
        <w:tc>
          <w:tcPr>
            <w:tcW w:w="0" w:type="auto"/>
            <w:vAlign w:val="center"/>
            <w:hideMark/>
          </w:tcPr>
          <w:p w14:paraId="443DA1FF" w14:textId="77777777" w:rsidR="00A16E12" w:rsidRPr="00A16E12" w:rsidRDefault="00A16E12" w:rsidP="00A16E12">
            <w:pPr>
              <w:spacing w:after="0" w:line="240" w:lineRule="auto"/>
              <w:jc w:val="center"/>
              <w:rPr>
                <w:rFonts w:ascii="Rockwell" w:eastAsia="Times New Roman" w:hAnsi="Rockwell" w:cs="Times New Roman"/>
                <w:b/>
                <w:bCs/>
                <w:sz w:val="24"/>
                <w:szCs w:val="24"/>
              </w:rPr>
            </w:pPr>
            <w:r w:rsidRPr="00A16E12">
              <w:rPr>
                <w:rFonts w:ascii="Rockwell" w:eastAsia="Times New Roman" w:hAnsi="Rockwell" w:cs="Times New Roman"/>
                <w:b/>
                <w:bCs/>
                <w:sz w:val="24"/>
                <w:szCs w:val="24"/>
              </w:rPr>
              <w:t>Cost (ETB)</w:t>
            </w:r>
          </w:p>
        </w:tc>
        <w:tc>
          <w:tcPr>
            <w:tcW w:w="0" w:type="auto"/>
            <w:vAlign w:val="center"/>
            <w:hideMark/>
          </w:tcPr>
          <w:p w14:paraId="0B7C7DD2" w14:textId="77777777" w:rsidR="00A16E12" w:rsidRPr="00A16E12" w:rsidRDefault="00A16E12" w:rsidP="00A16E12">
            <w:pPr>
              <w:spacing w:after="0" w:line="240" w:lineRule="auto"/>
              <w:jc w:val="center"/>
              <w:rPr>
                <w:rFonts w:ascii="Rockwell" w:eastAsia="Times New Roman" w:hAnsi="Rockwell" w:cs="Times New Roman"/>
                <w:b/>
                <w:bCs/>
                <w:sz w:val="24"/>
                <w:szCs w:val="24"/>
              </w:rPr>
            </w:pPr>
            <w:r w:rsidRPr="00A16E12">
              <w:rPr>
                <w:rFonts w:ascii="Rockwell" w:eastAsia="Times New Roman" w:hAnsi="Rockwell" w:cs="Times New Roman"/>
                <w:b/>
                <w:bCs/>
                <w:sz w:val="24"/>
                <w:szCs w:val="24"/>
              </w:rPr>
              <w:t xml:space="preserve">% </w:t>
            </w:r>
            <w:proofErr w:type="gramStart"/>
            <w:r w:rsidRPr="00A16E12">
              <w:rPr>
                <w:rFonts w:ascii="Rockwell" w:eastAsia="Times New Roman" w:hAnsi="Rockwell" w:cs="Times New Roman"/>
                <w:b/>
                <w:bCs/>
                <w:sz w:val="24"/>
                <w:szCs w:val="24"/>
              </w:rPr>
              <w:t>of</w:t>
            </w:r>
            <w:proofErr w:type="gramEnd"/>
            <w:r w:rsidRPr="00A16E12">
              <w:rPr>
                <w:rFonts w:ascii="Rockwell" w:eastAsia="Times New Roman" w:hAnsi="Rockwell" w:cs="Times New Roman"/>
                <w:b/>
                <w:bCs/>
                <w:sz w:val="24"/>
                <w:szCs w:val="24"/>
              </w:rPr>
              <w:t xml:space="preserve"> Total Cost</w:t>
            </w:r>
          </w:p>
        </w:tc>
        <w:tc>
          <w:tcPr>
            <w:tcW w:w="0" w:type="auto"/>
            <w:vAlign w:val="center"/>
            <w:hideMark/>
          </w:tcPr>
          <w:p w14:paraId="41F38E05" w14:textId="77777777" w:rsidR="00A16E12" w:rsidRPr="00A16E12" w:rsidRDefault="00A16E12" w:rsidP="00A16E12">
            <w:pPr>
              <w:spacing w:after="0" w:line="240" w:lineRule="auto"/>
              <w:jc w:val="center"/>
              <w:rPr>
                <w:rFonts w:ascii="Rockwell" w:eastAsia="Times New Roman" w:hAnsi="Rockwell" w:cs="Times New Roman"/>
                <w:b/>
                <w:bCs/>
                <w:sz w:val="24"/>
                <w:szCs w:val="24"/>
              </w:rPr>
            </w:pPr>
            <w:r w:rsidRPr="00A16E12">
              <w:rPr>
                <w:rFonts w:ascii="Rockwell" w:eastAsia="Times New Roman" w:hAnsi="Rockwell" w:cs="Times New Roman"/>
                <w:b/>
                <w:bCs/>
                <w:sz w:val="24"/>
                <w:szCs w:val="24"/>
              </w:rPr>
              <w:t>Adjusted Inefficiency %</w:t>
            </w:r>
          </w:p>
        </w:tc>
      </w:tr>
      <w:tr w:rsidR="00A16E12" w:rsidRPr="00A16E12" w14:paraId="3C2B70C8" w14:textId="77777777" w:rsidTr="00EC78B5">
        <w:trPr>
          <w:tblCellSpacing w:w="15" w:type="dxa"/>
        </w:trPr>
        <w:tc>
          <w:tcPr>
            <w:tcW w:w="0" w:type="auto"/>
            <w:vAlign w:val="center"/>
            <w:hideMark/>
          </w:tcPr>
          <w:p w14:paraId="0063D49C"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Procurement Efficiency</w:t>
            </w:r>
          </w:p>
        </w:tc>
        <w:tc>
          <w:tcPr>
            <w:tcW w:w="0" w:type="auto"/>
            <w:vAlign w:val="center"/>
            <w:hideMark/>
          </w:tcPr>
          <w:p w14:paraId="10E0112F"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3,000</w:t>
            </w:r>
          </w:p>
        </w:tc>
        <w:tc>
          <w:tcPr>
            <w:tcW w:w="0" w:type="auto"/>
            <w:vAlign w:val="center"/>
            <w:hideMark/>
          </w:tcPr>
          <w:p w14:paraId="7EFFE780"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3.16%</w:t>
            </w:r>
          </w:p>
        </w:tc>
        <w:tc>
          <w:tcPr>
            <w:tcW w:w="0" w:type="auto"/>
            <w:vAlign w:val="center"/>
            <w:hideMark/>
          </w:tcPr>
          <w:p w14:paraId="3A61273F"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0.54%</w:t>
            </w:r>
          </w:p>
        </w:tc>
      </w:tr>
      <w:tr w:rsidR="00A16E12" w:rsidRPr="00A16E12" w14:paraId="101B4A61" w14:textId="77777777" w:rsidTr="00EC78B5">
        <w:trPr>
          <w:tblCellSpacing w:w="15" w:type="dxa"/>
        </w:trPr>
        <w:tc>
          <w:tcPr>
            <w:tcW w:w="0" w:type="auto"/>
            <w:vAlign w:val="center"/>
            <w:hideMark/>
          </w:tcPr>
          <w:p w14:paraId="69927AC7"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Inventory Management</w:t>
            </w:r>
          </w:p>
        </w:tc>
        <w:tc>
          <w:tcPr>
            <w:tcW w:w="0" w:type="auto"/>
            <w:vAlign w:val="center"/>
            <w:hideMark/>
          </w:tcPr>
          <w:p w14:paraId="337D0121"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15,000</w:t>
            </w:r>
          </w:p>
        </w:tc>
        <w:tc>
          <w:tcPr>
            <w:tcW w:w="0" w:type="auto"/>
            <w:vAlign w:val="center"/>
            <w:hideMark/>
          </w:tcPr>
          <w:p w14:paraId="5DA12AD9"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15.79%</w:t>
            </w:r>
          </w:p>
        </w:tc>
        <w:tc>
          <w:tcPr>
            <w:tcW w:w="0" w:type="auto"/>
            <w:vAlign w:val="center"/>
            <w:hideMark/>
          </w:tcPr>
          <w:p w14:paraId="0AF5BB33"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2.68%</w:t>
            </w:r>
          </w:p>
        </w:tc>
      </w:tr>
      <w:tr w:rsidR="00A16E12" w:rsidRPr="00A16E12" w14:paraId="0FDBA805" w14:textId="77777777" w:rsidTr="00EC78B5">
        <w:trPr>
          <w:tblCellSpacing w:w="15" w:type="dxa"/>
        </w:trPr>
        <w:tc>
          <w:tcPr>
            <w:tcW w:w="0" w:type="auto"/>
            <w:vAlign w:val="center"/>
            <w:hideMark/>
          </w:tcPr>
          <w:p w14:paraId="02011D38"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Supplier &amp; Distribution</w:t>
            </w:r>
          </w:p>
        </w:tc>
        <w:tc>
          <w:tcPr>
            <w:tcW w:w="0" w:type="auto"/>
            <w:vAlign w:val="center"/>
            <w:hideMark/>
          </w:tcPr>
          <w:p w14:paraId="7FCAA6BC"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22,000</w:t>
            </w:r>
          </w:p>
        </w:tc>
        <w:tc>
          <w:tcPr>
            <w:tcW w:w="0" w:type="auto"/>
            <w:vAlign w:val="center"/>
            <w:hideMark/>
          </w:tcPr>
          <w:p w14:paraId="1C6B7FC0"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23.16%</w:t>
            </w:r>
          </w:p>
        </w:tc>
        <w:tc>
          <w:tcPr>
            <w:tcW w:w="0" w:type="auto"/>
            <w:vAlign w:val="center"/>
            <w:hideMark/>
          </w:tcPr>
          <w:p w14:paraId="6310A01F"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3.94%</w:t>
            </w:r>
          </w:p>
        </w:tc>
      </w:tr>
      <w:tr w:rsidR="00A16E12" w:rsidRPr="00A16E12" w14:paraId="39BA71F1" w14:textId="77777777" w:rsidTr="00EC78B5">
        <w:trPr>
          <w:tblCellSpacing w:w="15" w:type="dxa"/>
        </w:trPr>
        <w:tc>
          <w:tcPr>
            <w:tcW w:w="0" w:type="auto"/>
            <w:vAlign w:val="center"/>
            <w:hideMark/>
          </w:tcPr>
          <w:p w14:paraId="78C98AB9"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Monitoring &amp; Reporting</w:t>
            </w:r>
          </w:p>
        </w:tc>
        <w:tc>
          <w:tcPr>
            <w:tcW w:w="0" w:type="auto"/>
            <w:vAlign w:val="center"/>
            <w:hideMark/>
          </w:tcPr>
          <w:p w14:paraId="66DBE346"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43,000</w:t>
            </w:r>
          </w:p>
        </w:tc>
        <w:tc>
          <w:tcPr>
            <w:tcW w:w="0" w:type="auto"/>
            <w:vAlign w:val="center"/>
            <w:hideMark/>
          </w:tcPr>
          <w:p w14:paraId="1CAAEF3D"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45.26%</w:t>
            </w:r>
          </w:p>
        </w:tc>
        <w:tc>
          <w:tcPr>
            <w:tcW w:w="0" w:type="auto"/>
            <w:vAlign w:val="center"/>
            <w:hideMark/>
          </w:tcPr>
          <w:p w14:paraId="64A8C5D5"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7.69%</w:t>
            </w:r>
          </w:p>
        </w:tc>
      </w:tr>
      <w:tr w:rsidR="00A16E12" w:rsidRPr="00A16E12" w14:paraId="1C0B9A4F" w14:textId="77777777" w:rsidTr="00EC78B5">
        <w:trPr>
          <w:tblCellSpacing w:w="15" w:type="dxa"/>
        </w:trPr>
        <w:tc>
          <w:tcPr>
            <w:tcW w:w="0" w:type="auto"/>
            <w:vAlign w:val="center"/>
            <w:hideMark/>
          </w:tcPr>
          <w:p w14:paraId="40B2042A"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Communication &amp; Coordination</w:t>
            </w:r>
          </w:p>
        </w:tc>
        <w:tc>
          <w:tcPr>
            <w:tcW w:w="0" w:type="auto"/>
            <w:vAlign w:val="center"/>
            <w:hideMark/>
          </w:tcPr>
          <w:p w14:paraId="0856A264"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12,000</w:t>
            </w:r>
          </w:p>
        </w:tc>
        <w:tc>
          <w:tcPr>
            <w:tcW w:w="0" w:type="auto"/>
            <w:vAlign w:val="center"/>
            <w:hideMark/>
          </w:tcPr>
          <w:p w14:paraId="7EA095B7"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12.63%</w:t>
            </w:r>
          </w:p>
        </w:tc>
        <w:tc>
          <w:tcPr>
            <w:tcW w:w="0" w:type="auto"/>
            <w:vAlign w:val="center"/>
            <w:hideMark/>
          </w:tcPr>
          <w:p w14:paraId="719C80F1"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2.15%</w:t>
            </w:r>
          </w:p>
        </w:tc>
      </w:tr>
      <w:tr w:rsidR="00A16E12" w:rsidRPr="00A16E12" w14:paraId="1A658E5B" w14:textId="77777777" w:rsidTr="00EC78B5">
        <w:trPr>
          <w:tblCellSpacing w:w="15" w:type="dxa"/>
        </w:trPr>
        <w:tc>
          <w:tcPr>
            <w:tcW w:w="0" w:type="auto"/>
            <w:vAlign w:val="center"/>
            <w:hideMark/>
          </w:tcPr>
          <w:p w14:paraId="042B8CD0"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Total</w:t>
            </w:r>
          </w:p>
        </w:tc>
        <w:tc>
          <w:tcPr>
            <w:tcW w:w="0" w:type="auto"/>
            <w:vAlign w:val="center"/>
            <w:hideMark/>
          </w:tcPr>
          <w:p w14:paraId="15C5BF50"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95,000</w:t>
            </w:r>
          </w:p>
        </w:tc>
        <w:tc>
          <w:tcPr>
            <w:tcW w:w="0" w:type="auto"/>
            <w:vAlign w:val="center"/>
            <w:hideMark/>
          </w:tcPr>
          <w:p w14:paraId="5E4918EE"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100%</w:t>
            </w:r>
          </w:p>
        </w:tc>
        <w:tc>
          <w:tcPr>
            <w:tcW w:w="0" w:type="auto"/>
            <w:vAlign w:val="center"/>
            <w:hideMark/>
          </w:tcPr>
          <w:p w14:paraId="354E5D7F"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17.00%</w:t>
            </w:r>
          </w:p>
        </w:tc>
      </w:tr>
    </w:tbl>
    <w:p w14:paraId="4512FBE5" w14:textId="2DE7F8FB" w:rsid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0FCC4EB4">
          <v:rect id="_x0000_i1033" style="width:0;height:1.5pt" o:hralign="center" o:hrstd="t" o:hr="t" fillcolor="#a0a0a0" stroked="f"/>
        </w:pict>
      </w:r>
    </w:p>
    <w:p w14:paraId="37478D73" w14:textId="4F0A4D91" w:rsidR="00825D7A" w:rsidRDefault="00825D7A" w:rsidP="00A16E12">
      <w:pPr>
        <w:spacing w:after="0" w:line="240" w:lineRule="auto"/>
        <w:rPr>
          <w:rFonts w:ascii="Rockwell" w:eastAsia="Times New Roman" w:hAnsi="Rockwell" w:cs="Times New Roman"/>
          <w:sz w:val="24"/>
          <w:szCs w:val="24"/>
        </w:rPr>
      </w:pPr>
    </w:p>
    <w:p w14:paraId="594E96E1" w14:textId="2CA5A82B" w:rsidR="00825D7A" w:rsidRDefault="00825D7A" w:rsidP="00A16E12">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t xml:space="preserve">Figure 1:   Supply chain inefficiency </w:t>
      </w:r>
      <w:proofErr w:type="gramStart"/>
      <w:r>
        <w:rPr>
          <w:rFonts w:ascii="Rockwell" w:eastAsia="Times New Roman" w:hAnsi="Rockwell" w:cs="Times New Roman"/>
          <w:sz w:val="24"/>
          <w:szCs w:val="24"/>
        </w:rPr>
        <w:t>rate ,</w:t>
      </w:r>
      <w:proofErr w:type="gramEnd"/>
      <w:r>
        <w:rPr>
          <w:rFonts w:ascii="Rockwell" w:eastAsia="Times New Roman" w:hAnsi="Rockwell" w:cs="Times New Roman"/>
          <w:sz w:val="24"/>
          <w:szCs w:val="24"/>
        </w:rPr>
        <w:t xml:space="preserve"> Quarter 3, 2016 EC</w:t>
      </w:r>
    </w:p>
    <w:p w14:paraId="1BF849C5" w14:textId="06282A66" w:rsidR="00825D7A" w:rsidRPr="00A16E12" w:rsidRDefault="00825D7A" w:rsidP="00A16E12">
      <w:pPr>
        <w:spacing w:after="0" w:line="240" w:lineRule="auto"/>
        <w:rPr>
          <w:rFonts w:ascii="Rockwell" w:eastAsia="Times New Roman" w:hAnsi="Rockwell" w:cs="Times New Roman"/>
          <w:sz w:val="24"/>
          <w:szCs w:val="24"/>
        </w:rPr>
      </w:pPr>
      <w:r>
        <w:rPr>
          <w:noProof/>
        </w:rPr>
        <w:drawing>
          <wp:inline distT="0" distB="0" distL="0" distR="0" wp14:anchorId="04ACF9D2" wp14:editId="7F75F9A1">
            <wp:extent cx="6143625" cy="3124200"/>
            <wp:effectExtent l="0" t="0" r="9525" b="0"/>
            <wp:docPr id="1" name="Chart 1">
              <a:extLst xmlns:a="http://schemas.openxmlformats.org/drawingml/2006/main">
                <a:ext uri="{FF2B5EF4-FFF2-40B4-BE49-F238E27FC236}">
                  <a16:creationId xmlns:a16="http://schemas.microsoft.com/office/drawing/2014/main" id="{31DF0414-971A-4E58-A65F-0C09B8D521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4565AEF" w14:textId="0C3276E0" w:rsidR="00A16E12" w:rsidRPr="00A16E12" w:rsidRDefault="00F8136E" w:rsidP="00A16E12">
      <w:pPr>
        <w:spacing w:before="100" w:beforeAutospacing="1" w:after="100" w:afterAutospacing="1" w:line="240" w:lineRule="auto"/>
        <w:outlineLvl w:val="1"/>
        <w:rPr>
          <w:rFonts w:ascii="Rockwell" w:eastAsia="Times New Roman" w:hAnsi="Rockwell" w:cs="Times New Roman"/>
          <w:b/>
          <w:bCs/>
          <w:sz w:val="36"/>
          <w:szCs w:val="36"/>
        </w:rPr>
      </w:pPr>
      <w:bookmarkStart w:id="9" w:name="_Toc203009158"/>
      <w:r>
        <w:rPr>
          <w:rFonts w:ascii="Rockwell" w:eastAsia="Times New Roman" w:hAnsi="Rockwell" w:cs="Times New Roman"/>
          <w:b/>
          <w:bCs/>
          <w:sz w:val="36"/>
          <w:szCs w:val="36"/>
        </w:rPr>
        <w:lastRenderedPageBreak/>
        <w:t>8</w:t>
      </w:r>
      <w:r w:rsidR="00A16E12" w:rsidRPr="00A16E12">
        <w:rPr>
          <w:rFonts w:ascii="Rockwell" w:eastAsia="Times New Roman" w:hAnsi="Rockwell" w:cs="Times New Roman"/>
          <w:b/>
          <w:bCs/>
          <w:sz w:val="36"/>
          <w:szCs w:val="36"/>
        </w:rPr>
        <w:t>. Assessment Results</w:t>
      </w:r>
      <w:bookmarkEnd w:id="9"/>
    </w:p>
    <w:p w14:paraId="7FEB3506" w14:textId="77777777" w:rsidR="00A16E12" w:rsidRPr="00A16E12" w:rsidRDefault="00A16E12" w:rsidP="00A16E12">
      <w:pPr>
        <w:numPr>
          <w:ilvl w:val="0"/>
          <w:numId w:val="5"/>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Procurement Efficiency:</w:t>
      </w:r>
      <w:r w:rsidRPr="00A16E12">
        <w:rPr>
          <w:rFonts w:ascii="Rockwell" w:eastAsia="Times New Roman" w:hAnsi="Rockwell" w:cs="Times New Roman"/>
          <w:sz w:val="24"/>
          <w:szCs w:val="24"/>
        </w:rPr>
        <w:t xml:space="preserve"> Procurement policies inconsistently applied; delays in supplier selection increase costs (0.54% inefficiency).</w:t>
      </w:r>
    </w:p>
    <w:p w14:paraId="7D5E1BD7" w14:textId="77777777" w:rsidR="00A16E12" w:rsidRPr="00A16E12" w:rsidRDefault="00A16E12" w:rsidP="00A16E12">
      <w:pPr>
        <w:numPr>
          <w:ilvl w:val="0"/>
          <w:numId w:val="5"/>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Inventory Management:</w:t>
      </w:r>
      <w:r w:rsidRPr="00A16E12">
        <w:rPr>
          <w:rFonts w:ascii="Rockwell" w:eastAsia="Times New Roman" w:hAnsi="Rockwell" w:cs="Times New Roman"/>
          <w:sz w:val="24"/>
          <w:szCs w:val="24"/>
        </w:rPr>
        <w:t xml:space="preserve"> Infrequent audits and poor stock control cause overstocking and shortages (2.68%).</w:t>
      </w:r>
    </w:p>
    <w:p w14:paraId="1E5F0044" w14:textId="77777777" w:rsidR="00A16E12" w:rsidRPr="00A16E12" w:rsidRDefault="00A16E12" w:rsidP="00A16E12">
      <w:pPr>
        <w:numPr>
          <w:ilvl w:val="0"/>
          <w:numId w:val="5"/>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Supplier &amp; Distribution:</w:t>
      </w:r>
      <w:r w:rsidRPr="00A16E12">
        <w:rPr>
          <w:rFonts w:ascii="Rockwell" w:eastAsia="Times New Roman" w:hAnsi="Rockwell" w:cs="Times New Roman"/>
          <w:sz w:val="24"/>
          <w:szCs w:val="24"/>
        </w:rPr>
        <w:t xml:space="preserve"> Supplier delays and delivery inconsistencies contribute 3.94% inefficiency.</w:t>
      </w:r>
    </w:p>
    <w:p w14:paraId="3D99FF9A" w14:textId="77777777" w:rsidR="00A16E12" w:rsidRPr="00A16E12" w:rsidRDefault="00A16E12" w:rsidP="00A16E12">
      <w:pPr>
        <w:numPr>
          <w:ilvl w:val="0"/>
          <w:numId w:val="5"/>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Monitoring &amp; Reporting:</w:t>
      </w:r>
      <w:r w:rsidRPr="00A16E12">
        <w:rPr>
          <w:rFonts w:ascii="Rockwell" w:eastAsia="Times New Roman" w:hAnsi="Rockwell" w:cs="Times New Roman"/>
          <w:sz w:val="24"/>
          <w:szCs w:val="24"/>
        </w:rPr>
        <w:t xml:space="preserve"> Lack of KPIs and performance reviews is the largest inefficiency source at 7.69%.</w:t>
      </w:r>
    </w:p>
    <w:p w14:paraId="57EF9B0C" w14:textId="77777777" w:rsidR="00A16E12" w:rsidRPr="00A16E12" w:rsidRDefault="00A16E12" w:rsidP="00A16E12">
      <w:pPr>
        <w:numPr>
          <w:ilvl w:val="0"/>
          <w:numId w:val="5"/>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b/>
          <w:bCs/>
          <w:sz w:val="24"/>
          <w:szCs w:val="24"/>
        </w:rPr>
        <w:t>Communication &amp; Coordination:</w:t>
      </w:r>
      <w:r w:rsidRPr="00A16E12">
        <w:rPr>
          <w:rFonts w:ascii="Rockwell" w:eastAsia="Times New Roman" w:hAnsi="Rockwell" w:cs="Times New Roman"/>
          <w:sz w:val="24"/>
          <w:szCs w:val="24"/>
        </w:rPr>
        <w:t xml:space="preserve"> Poor cross-department communication causes delays and operational challenges (2.15%).</w:t>
      </w:r>
    </w:p>
    <w:p w14:paraId="1E1C0EFA"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2BF402DE">
          <v:rect id="_x0000_i1034" style="width:0;height:1.5pt" o:hralign="center" o:hrstd="t" o:hr="t" fillcolor="#a0a0a0" stroked="f"/>
        </w:pict>
      </w:r>
    </w:p>
    <w:p w14:paraId="35774AB6" w14:textId="38D66B19" w:rsidR="00A16E12" w:rsidRPr="00A16E12" w:rsidRDefault="00F8136E" w:rsidP="00A16E12">
      <w:pPr>
        <w:spacing w:before="100" w:beforeAutospacing="1" w:after="100" w:afterAutospacing="1" w:line="240" w:lineRule="auto"/>
        <w:outlineLvl w:val="1"/>
        <w:rPr>
          <w:rFonts w:ascii="Rockwell" w:eastAsia="Times New Roman" w:hAnsi="Rockwell" w:cs="Times New Roman"/>
          <w:b/>
          <w:bCs/>
          <w:sz w:val="36"/>
          <w:szCs w:val="36"/>
        </w:rPr>
      </w:pPr>
      <w:bookmarkStart w:id="10" w:name="_Toc203009159"/>
      <w:r>
        <w:rPr>
          <w:rFonts w:ascii="Rockwell" w:eastAsia="Times New Roman" w:hAnsi="Rockwell" w:cs="Times New Roman"/>
          <w:b/>
          <w:bCs/>
          <w:sz w:val="36"/>
          <w:szCs w:val="36"/>
        </w:rPr>
        <w:t>9</w:t>
      </w:r>
      <w:r w:rsidR="00A16E12" w:rsidRPr="00A16E12">
        <w:rPr>
          <w:rFonts w:ascii="Rockwell" w:eastAsia="Times New Roman" w:hAnsi="Rockwell" w:cs="Times New Roman"/>
          <w:b/>
          <w:bCs/>
          <w:sz w:val="36"/>
          <w:szCs w:val="36"/>
        </w:rPr>
        <w:t>. Risk Assessment</w:t>
      </w:r>
      <w:bookmarkEnd w:id="10"/>
    </w:p>
    <w:p w14:paraId="3C7A034E" w14:textId="77777777" w:rsidR="00A16E12" w:rsidRPr="00A16E12" w:rsidRDefault="00A16E12" w:rsidP="00A16E12">
      <w:p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Key risks identified include stockouts threatening patient care, financial losses from procurement inefficiencies, supplier non-performance risking supply chain stability, and communication failures impeding timely service delivery.</w:t>
      </w:r>
    </w:p>
    <w:p w14:paraId="2FDDA359"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4B1ED052">
          <v:rect id="_x0000_i1035" style="width:0;height:1.5pt" o:hralign="center" o:hrstd="t" o:hr="t" fillcolor="#a0a0a0" stroked="f"/>
        </w:pict>
      </w:r>
    </w:p>
    <w:p w14:paraId="64D06944" w14:textId="4F9A0741" w:rsidR="00A16E12" w:rsidRPr="00A16E12" w:rsidRDefault="00F8136E" w:rsidP="00A16E12">
      <w:pPr>
        <w:spacing w:before="100" w:beforeAutospacing="1" w:after="100" w:afterAutospacing="1" w:line="240" w:lineRule="auto"/>
        <w:outlineLvl w:val="1"/>
        <w:rPr>
          <w:rFonts w:ascii="Rockwell" w:eastAsia="Times New Roman" w:hAnsi="Rockwell" w:cs="Times New Roman"/>
          <w:b/>
          <w:bCs/>
          <w:sz w:val="36"/>
          <w:szCs w:val="36"/>
        </w:rPr>
      </w:pPr>
      <w:bookmarkStart w:id="11" w:name="_Toc203009160"/>
      <w:r>
        <w:rPr>
          <w:rFonts w:ascii="Rockwell" w:eastAsia="Times New Roman" w:hAnsi="Rockwell" w:cs="Times New Roman"/>
          <w:b/>
          <w:bCs/>
          <w:sz w:val="36"/>
          <w:szCs w:val="36"/>
        </w:rPr>
        <w:t>10</w:t>
      </w:r>
      <w:r w:rsidR="00A16E12" w:rsidRPr="00A16E12">
        <w:rPr>
          <w:rFonts w:ascii="Rockwell" w:eastAsia="Times New Roman" w:hAnsi="Rockwell" w:cs="Times New Roman"/>
          <w:b/>
          <w:bCs/>
          <w:sz w:val="36"/>
          <w:szCs w:val="36"/>
        </w:rPr>
        <w:t>. Discussion</w:t>
      </w:r>
      <w:bookmarkEnd w:id="11"/>
    </w:p>
    <w:p w14:paraId="5D4072A3" w14:textId="651B7707" w:rsidR="00EC78B5" w:rsidRDefault="00EC78B5" w:rsidP="00EC78B5">
      <w:pPr>
        <w:pStyle w:val="NormalWeb"/>
      </w:pPr>
    </w:p>
    <w:p w14:paraId="0C7ABCAC" w14:textId="77777777" w:rsidR="00EC78B5" w:rsidRPr="00AA2B52" w:rsidRDefault="00EC78B5" w:rsidP="00EC78B5">
      <w:pPr>
        <w:pStyle w:val="NormalWeb"/>
        <w:rPr>
          <w:rFonts w:ascii="Rockwell" w:hAnsi="Rockwell"/>
        </w:rPr>
      </w:pPr>
      <w:r w:rsidRPr="00AA2B52">
        <w:rPr>
          <w:rFonts w:ascii="Rockwell" w:hAnsi="Rockwell"/>
        </w:rPr>
        <w:t xml:space="preserve">The assessment of </w:t>
      </w:r>
      <w:proofErr w:type="spellStart"/>
      <w:r w:rsidRPr="00AA2B52">
        <w:rPr>
          <w:rFonts w:ascii="Rockwell" w:hAnsi="Rockwell"/>
        </w:rPr>
        <w:t>Deder</w:t>
      </w:r>
      <w:proofErr w:type="spellEnd"/>
      <w:r w:rsidRPr="00AA2B52">
        <w:rPr>
          <w:rFonts w:ascii="Rockwell" w:hAnsi="Rockwell"/>
        </w:rPr>
        <w:t xml:space="preserve"> General Hospital’s supply chain during Quarter 3 of 2016EC reveals notable improvements alongside persistent challenges that impact overall efficiency. While the hospital has invested in technological tools for inventory and supply management, the effective utilization of these systems remains inadequate. This underutilization results primarily from inconsistent staff training and limited adherence to digital processes, leading to issues such as poor inventory tracking, delayed reporting, and suboptimal decision-making.</w:t>
      </w:r>
    </w:p>
    <w:p w14:paraId="5BA4C3B6" w14:textId="77777777" w:rsidR="00EC78B5" w:rsidRPr="00AA2B52" w:rsidRDefault="00EC78B5" w:rsidP="00EC78B5">
      <w:pPr>
        <w:pStyle w:val="NormalWeb"/>
        <w:rPr>
          <w:rFonts w:ascii="Rockwell" w:hAnsi="Rockwell"/>
        </w:rPr>
      </w:pPr>
      <w:r w:rsidRPr="00AA2B52">
        <w:rPr>
          <w:rFonts w:ascii="Rockwell" w:hAnsi="Rockwell"/>
        </w:rPr>
        <w:t>Procurement inefficiencies continue to affect timely availability of essential supplies, exacerbated by gaps in communication and coordination between departments. These issues contribute to stockouts and overstocking, which increase operational costs and negatively affect patient care. Furthermore, monitoring and reporting mechanisms lack rigor and defined performance indicators, limiting the ability to proactively identify and address supply chain disruptions.</w:t>
      </w:r>
    </w:p>
    <w:p w14:paraId="5AF503EB" w14:textId="77777777" w:rsidR="00EC78B5" w:rsidRPr="00AA2B52" w:rsidRDefault="00EC78B5" w:rsidP="00EC78B5">
      <w:pPr>
        <w:pStyle w:val="NormalWeb"/>
        <w:rPr>
          <w:rFonts w:ascii="Rockwell" w:hAnsi="Rockwell"/>
        </w:rPr>
      </w:pPr>
      <w:r w:rsidRPr="00AA2B52">
        <w:rPr>
          <w:rFonts w:ascii="Rockwell" w:hAnsi="Rockwell"/>
        </w:rPr>
        <w:t xml:space="preserve">Waste management and storage practices show relative strengths; however, consistent application of inventory rotation and stock audits needs reinforcement to </w:t>
      </w:r>
      <w:r w:rsidRPr="00AA2B52">
        <w:rPr>
          <w:rFonts w:ascii="Rockwell" w:hAnsi="Rockwell"/>
        </w:rPr>
        <w:lastRenderedPageBreak/>
        <w:t>prevent losses. The gaps in demand forecasting highlight the necessity for more accurate data-driven planning to reduce emergency procurement and avoid stock imbalances.</w:t>
      </w:r>
    </w:p>
    <w:p w14:paraId="04A4304E" w14:textId="77777777" w:rsidR="00EC78B5" w:rsidRPr="00AA2B52" w:rsidRDefault="00EC78B5" w:rsidP="00EC78B5">
      <w:pPr>
        <w:pStyle w:val="NormalWeb"/>
        <w:rPr>
          <w:rFonts w:ascii="Rockwell" w:hAnsi="Rockwell"/>
        </w:rPr>
      </w:pPr>
      <w:r w:rsidRPr="00AA2B52">
        <w:rPr>
          <w:rFonts w:ascii="Rockwell" w:hAnsi="Rockwell"/>
        </w:rPr>
        <w:t>Addressing these challenges requires a multi-faceted approach that emphasizes enhanced staff capacity, better use of existing technologies, and improved interdepartmental communication. Establishing clear accountability frameworks and regularly monitoring key performance indicators will be critical to sustaining improvements and achieving greater supply chain efficiency. Ultimately, these efforts will contribute to more reliable medical supplies, cost savings, and improved quality of care for patients.</w:t>
      </w:r>
    </w:p>
    <w:p w14:paraId="3F289F5C" w14:textId="25D8F476" w:rsidR="00A16E12" w:rsidRPr="00A16E12" w:rsidRDefault="00A16E12" w:rsidP="00EC78B5">
      <w:r w:rsidRPr="00A16E12">
        <w:rPr>
          <w:rFonts w:ascii="Rockwell" w:eastAsia="Times New Roman" w:hAnsi="Rockwell" w:cs="Times New Roman"/>
          <w:sz w:val="24"/>
          <w:szCs w:val="24"/>
        </w:rPr>
        <w:pict w14:anchorId="782AB32D">
          <v:rect id="_x0000_i1036" style="width:0;height:1.5pt" o:hralign="center" o:hrstd="t" o:hr="t" fillcolor="#a0a0a0" stroked="f"/>
        </w:pict>
      </w:r>
    </w:p>
    <w:p w14:paraId="14766524" w14:textId="3B78DD97" w:rsidR="00A16E12" w:rsidRPr="00A16E12" w:rsidRDefault="00A16E12" w:rsidP="00A16E12">
      <w:pPr>
        <w:spacing w:before="100" w:beforeAutospacing="1" w:after="100" w:afterAutospacing="1" w:line="240" w:lineRule="auto"/>
        <w:outlineLvl w:val="1"/>
        <w:rPr>
          <w:rFonts w:ascii="Rockwell" w:eastAsia="Times New Roman" w:hAnsi="Rockwell" w:cs="Times New Roman"/>
          <w:b/>
          <w:bCs/>
          <w:sz w:val="36"/>
          <w:szCs w:val="36"/>
        </w:rPr>
      </w:pPr>
      <w:bookmarkStart w:id="12" w:name="_Toc203009161"/>
      <w:r w:rsidRPr="00A16E12">
        <w:rPr>
          <w:rFonts w:ascii="Rockwell" w:eastAsia="Times New Roman" w:hAnsi="Rockwell" w:cs="Times New Roman"/>
          <w:b/>
          <w:bCs/>
          <w:sz w:val="36"/>
          <w:szCs w:val="36"/>
        </w:rPr>
        <w:t>1</w:t>
      </w:r>
      <w:r w:rsidR="00F8136E">
        <w:rPr>
          <w:rFonts w:ascii="Rockwell" w:eastAsia="Times New Roman" w:hAnsi="Rockwell" w:cs="Times New Roman"/>
          <w:b/>
          <w:bCs/>
          <w:sz w:val="36"/>
          <w:szCs w:val="36"/>
        </w:rPr>
        <w:t>1</w:t>
      </w:r>
      <w:r w:rsidRPr="00A16E12">
        <w:rPr>
          <w:rFonts w:ascii="Rockwell" w:eastAsia="Times New Roman" w:hAnsi="Rockwell" w:cs="Times New Roman"/>
          <w:b/>
          <w:bCs/>
          <w:sz w:val="36"/>
          <w:szCs w:val="36"/>
        </w:rPr>
        <w:t>. Action Plan</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2364"/>
        <w:gridCol w:w="1992"/>
        <w:gridCol w:w="1767"/>
        <w:gridCol w:w="1176"/>
      </w:tblGrid>
      <w:tr w:rsidR="00A16E12" w:rsidRPr="00A16E12" w14:paraId="1B5A7C3C" w14:textId="77777777" w:rsidTr="00A16E12">
        <w:trPr>
          <w:tblHeader/>
          <w:tblCellSpacing w:w="15" w:type="dxa"/>
        </w:trPr>
        <w:tc>
          <w:tcPr>
            <w:tcW w:w="0" w:type="auto"/>
            <w:vAlign w:val="center"/>
            <w:hideMark/>
          </w:tcPr>
          <w:p w14:paraId="1D12CBF4" w14:textId="77777777" w:rsidR="00A16E12" w:rsidRPr="00A16E12" w:rsidRDefault="00A16E12" w:rsidP="00A16E12">
            <w:pPr>
              <w:spacing w:after="0" w:line="240" w:lineRule="auto"/>
              <w:jc w:val="center"/>
              <w:rPr>
                <w:rFonts w:ascii="Rockwell" w:eastAsia="Times New Roman" w:hAnsi="Rockwell" w:cs="Times New Roman"/>
                <w:b/>
                <w:bCs/>
                <w:sz w:val="24"/>
                <w:szCs w:val="24"/>
              </w:rPr>
            </w:pPr>
            <w:r w:rsidRPr="00A16E12">
              <w:rPr>
                <w:rFonts w:ascii="Rockwell" w:eastAsia="Times New Roman" w:hAnsi="Rockwell" w:cs="Times New Roman"/>
                <w:b/>
                <w:bCs/>
                <w:sz w:val="24"/>
                <w:szCs w:val="24"/>
              </w:rPr>
              <w:t>Category</w:t>
            </w:r>
          </w:p>
        </w:tc>
        <w:tc>
          <w:tcPr>
            <w:tcW w:w="0" w:type="auto"/>
            <w:vAlign w:val="center"/>
            <w:hideMark/>
          </w:tcPr>
          <w:p w14:paraId="75271A1E" w14:textId="77777777" w:rsidR="00A16E12" w:rsidRPr="00A16E12" w:rsidRDefault="00A16E12" w:rsidP="00A16E12">
            <w:pPr>
              <w:spacing w:after="0" w:line="240" w:lineRule="auto"/>
              <w:jc w:val="center"/>
              <w:rPr>
                <w:rFonts w:ascii="Rockwell" w:eastAsia="Times New Roman" w:hAnsi="Rockwell" w:cs="Times New Roman"/>
                <w:b/>
                <w:bCs/>
                <w:sz w:val="24"/>
                <w:szCs w:val="24"/>
              </w:rPr>
            </w:pPr>
            <w:r w:rsidRPr="00A16E12">
              <w:rPr>
                <w:rFonts w:ascii="Rockwell" w:eastAsia="Times New Roman" w:hAnsi="Rockwell" w:cs="Times New Roman"/>
                <w:b/>
                <w:bCs/>
                <w:sz w:val="24"/>
                <w:szCs w:val="24"/>
              </w:rPr>
              <w:t>Identified Issue</w:t>
            </w:r>
          </w:p>
        </w:tc>
        <w:tc>
          <w:tcPr>
            <w:tcW w:w="0" w:type="auto"/>
            <w:vAlign w:val="center"/>
            <w:hideMark/>
          </w:tcPr>
          <w:p w14:paraId="7821DFDD" w14:textId="77777777" w:rsidR="00A16E12" w:rsidRPr="00A16E12" w:rsidRDefault="00A16E12" w:rsidP="00A16E12">
            <w:pPr>
              <w:spacing w:after="0" w:line="240" w:lineRule="auto"/>
              <w:jc w:val="center"/>
              <w:rPr>
                <w:rFonts w:ascii="Rockwell" w:eastAsia="Times New Roman" w:hAnsi="Rockwell" w:cs="Times New Roman"/>
                <w:b/>
                <w:bCs/>
                <w:sz w:val="24"/>
                <w:szCs w:val="24"/>
              </w:rPr>
            </w:pPr>
            <w:r w:rsidRPr="00A16E12">
              <w:rPr>
                <w:rFonts w:ascii="Rockwell" w:eastAsia="Times New Roman" w:hAnsi="Rockwell" w:cs="Times New Roman"/>
                <w:b/>
                <w:bCs/>
                <w:sz w:val="24"/>
                <w:szCs w:val="24"/>
              </w:rPr>
              <w:t>Action Steps</w:t>
            </w:r>
          </w:p>
        </w:tc>
        <w:tc>
          <w:tcPr>
            <w:tcW w:w="0" w:type="auto"/>
            <w:vAlign w:val="center"/>
            <w:hideMark/>
          </w:tcPr>
          <w:p w14:paraId="469621F0" w14:textId="77777777" w:rsidR="00A16E12" w:rsidRPr="00A16E12" w:rsidRDefault="00A16E12" w:rsidP="00A16E12">
            <w:pPr>
              <w:spacing w:after="0" w:line="240" w:lineRule="auto"/>
              <w:jc w:val="center"/>
              <w:rPr>
                <w:rFonts w:ascii="Rockwell" w:eastAsia="Times New Roman" w:hAnsi="Rockwell" w:cs="Times New Roman"/>
                <w:b/>
                <w:bCs/>
                <w:sz w:val="24"/>
                <w:szCs w:val="24"/>
              </w:rPr>
            </w:pPr>
            <w:r w:rsidRPr="00A16E12">
              <w:rPr>
                <w:rFonts w:ascii="Rockwell" w:eastAsia="Times New Roman" w:hAnsi="Rockwell" w:cs="Times New Roman"/>
                <w:b/>
                <w:bCs/>
                <w:sz w:val="24"/>
                <w:szCs w:val="24"/>
              </w:rPr>
              <w:t>Responsible Party</w:t>
            </w:r>
          </w:p>
        </w:tc>
        <w:tc>
          <w:tcPr>
            <w:tcW w:w="0" w:type="auto"/>
            <w:vAlign w:val="center"/>
            <w:hideMark/>
          </w:tcPr>
          <w:p w14:paraId="08A0C962" w14:textId="77777777" w:rsidR="00A16E12" w:rsidRPr="00A16E12" w:rsidRDefault="00A16E12" w:rsidP="00A16E12">
            <w:pPr>
              <w:spacing w:after="0" w:line="240" w:lineRule="auto"/>
              <w:jc w:val="center"/>
              <w:rPr>
                <w:rFonts w:ascii="Rockwell" w:eastAsia="Times New Roman" w:hAnsi="Rockwell" w:cs="Times New Roman"/>
                <w:b/>
                <w:bCs/>
                <w:sz w:val="24"/>
                <w:szCs w:val="24"/>
              </w:rPr>
            </w:pPr>
            <w:r w:rsidRPr="00A16E12">
              <w:rPr>
                <w:rFonts w:ascii="Rockwell" w:eastAsia="Times New Roman" w:hAnsi="Rockwell" w:cs="Times New Roman"/>
                <w:b/>
                <w:bCs/>
                <w:sz w:val="24"/>
                <w:szCs w:val="24"/>
              </w:rPr>
              <w:t>Timeline</w:t>
            </w:r>
          </w:p>
        </w:tc>
      </w:tr>
      <w:tr w:rsidR="00A16E12" w:rsidRPr="00A16E12" w14:paraId="1848660C" w14:textId="77777777" w:rsidTr="00A16E12">
        <w:trPr>
          <w:tblCellSpacing w:w="15" w:type="dxa"/>
        </w:trPr>
        <w:tc>
          <w:tcPr>
            <w:tcW w:w="0" w:type="auto"/>
            <w:vAlign w:val="center"/>
            <w:hideMark/>
          </w:tcPr>
          <w:p w14:paraId="795CD625"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Procurement Efficiency</w:t>
            </w:r>
          </w:p>
        </w:tc>
        <w:tc>
          <w:tcPr>
            <w:tcW w:w="0" w:type="auto"/>
            <w:vAlign w:val="center"/>
            <w:hideMark/>
          </w:tcPr>
          <w:p w14:paraId="79904D2A"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Inconsistent policies</w:t>
            </w:r>
          </w:p>
        </w:tc>
        <w:tc>
          <w:tcPr>
            <w:tcW w:w="0" w:type="auto"/>
            <w:vAlign w:val="center"/>
            <w:hideMark/>
          </w:tcPr>
          <w:p w14:paraId="2FED2AB0"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Update and enforce procurement policies</w:t>
            </w:r>
          </w:p>
        </w:tc>
        <w:tc>
          <w:tcPr>
            <w:tcW w:w="0" w:type="auto"/>
            <w:vAlign w:val="center"/>
            <w:hideMark/>
          </w:tcPr>
          <w:p w14:paraId="388B611A"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DTC Committee</w:t>
            </w:r>
          </w:p>
        </w:tc>
        <w:tc>
          <w:tcPr>
            <w:tcW w:w="0" w:type="auto"/>
            <w:vAlign w:val="center"/>
            <w:hideMark/>
          </w:tcPr>
          <w:p w14:paraId="56190101"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 month</w:t>
            </w:r>
          </w:p>
        </w:tc>
      </w:tr>
      <w:tr w:rsidR="00A16E12" w:rsidRPr="00A16E12" w14:paraId="6E32F48C" w14:textId="77777777" w:rsidTr="00A16E12">
        <w:trPr>
          <w:tblCellSpacing w:w="15" w:type="dxa"/>
        </w:trPr>
        <w:tc>
          <w:tcPr>
            <w:tcW w:w="0" w:type="auto"/>
            <w:vAlign w:val="center"/>
            <w:hideMark/>
          </w:tcPr>
          <w:p w14:paraId="2C7F964E"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Inventory Management</w:t>
            </w:r>
          </w:p>
        </w:tc>
        <w:tc>
          <w:tcPr>
            <w:tcW w:w="0" w:type="auto"/>
            <w:vAlign w:val="center"/>
            <w:hideMark/>
          </w:tcPr>
          <w:p w14:paraId="35B5EDCD"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Inadequate stock records</w:t>
            </w:r>
          </w:p>
        </w:tc>
        <w:tc>
          <w:tcPr>
            <w:tcW w:w="0" w:type="auto"/>
            <w:vAlign w:val="center"/>
            <w:hideMark/>
          </w:tcPr>
          <w:p w14:paraId="1F70A58B"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Implement regular audits and improved tracking</w:t>
            </w:r>
          </w:p>
        </w:tc>
        <w:tc>
          <w:tcPr>
            <w:tcW w:w="0" w:type="auto"/>
            <w:vAlign w:val="center"/>
            <w:hideMark/>
          </w:tcPr>
          <w:p w14:paraId="3F8B97B1"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Pharmacy Head</w:t>
            </w:r>
          </w:p>
        </w:tc>
        <w:tc>
          <w:tcPr>
            <w:tcW w:w="0" w:type="auto"/>
            <w:vAlign w:val="center"/>
            <w:hideMark/>
          </w:tcPr>
          <w:p w14:paraId="6947451A"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 month</w:t>
            </w:r>
          </w:p>
        </w:tc>
      </w:tr>
      <w:tr w:rsidR="00A16E12" w:rsidRPr="00A16E12" w14:paraId="5A6EA8DE" w14:textId="77777777" w:rsidTr="00A16E12">
        <w:trPr>
          <w:tblCellSpacing w:w="15" w:type="dxa"/>
        </w:trPr>
        <w:tc>
          <w:tcPr>
            <w:tcW w:w="0" w:type="auto"/>
            <w:vAlign w:val="center"/>
            <w:hideMark/>
          </w:tcPr>
          <w:p w14:paraId="33DC9399"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Demand Forecasting</w:t>
            </w:r>
          </w:p>
        </w:tc>
        <w:tc>
          <w:tcPr>
            <w:tcW w:w="0" w:type="auto"/>
            <w:vAlign w:val="center"/>
            <w:hideMark/>
          </w:tcPr>
          <w:p w14:paraId="30172E6C"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Frequent stockouts</w:t>
            </w:r>
          </w:p>
        </w:tc>
        <w:tc>
          <w:tcPr>
            <w:tcW w:w="0" w:type="auto"/>
            <w:vAlign w:val="center"/>
            <w:hideMark/>
          </w:tcPr>
          <w:p w14:paraId="045CB6E9"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Establish forecasting from historical data</w:t>
            </w:r>
          </w:p>
        </w:tc>
        <w:tc>
          <w:tcPr>
            <w:tcW w:w="0" w:type="auto"/>
            <w:vAlign w:val="center"/>
            <w:hideMark/>
          </w:tcPr>
          <w:p w14:paraId="73E1BBAB"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DTC Committee</w:t>
            </w:r>
          </w:p>
        </w:tc>
        <w:tc>
          <w:tcPr>
            <w:tcW w:w="0" w:type="auto"/>
            <w:vAlign w:val="center"/>
            <w:hideMark/>
          </w:tcPr>
          <w:p w14:paraId="35E983B6"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 month</w:t>
            </w:r>
          </w:p>
        </w:tc>
      </w:tr>
      <w:tr w:rsidR="00A16E12" w:rsidRPr="00A16E12" w14:paraId="5B58B914" w14:textId="77777777" w:rsidTr="00A16E12">
        <w:trPr>
          <w:tblCellSpacing w:w="15" w:type="dxa"/>
        </w:trPr>
        <w:tc>
          <w:tcPr>
            <w:tcW w:w="0" w:type="auto"/>
            <w:vAlign w:val="center"/>
            <w:hideMark/>
          </w:tcPr>
          <w:p w14:paraId="62513EFD"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Supplier &amp; Distribution</w:t>
            </w:r>
          </w:p>
        </w:tc>
        <w:tc>
          <w:tcPr>
            <w:tcW w:w="0" w:type="auto"/>
            <w:vAlign w:val="center"/>
            <w:hideMark/>
          </w:tcPr>
          <w:p w14:paraId="61EA50CA"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Delivery delays</w:t>
            </w:r>
          </w:p>
        </w:tc>
        <w:tc>
          <w:tcPr>
            <w:tcW w:w="0" w:type="auto"/>
            <w:vAlign w:val="center"/>
            <w:hideMark/>
          </w:tcPr>
          <w:p w14:paraId="752A5043"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Define supplier KPIs and performance reviews</w:t>
            </w:r>
          </w:p>
        </w:tc>
        <w:tc>
          <w:tcPr>
            <w:tcW w:w="0" w:type="auto"/>
            <w:vAlign w:val="center"/>
            <w:hideMark/>
          </w:tcPr>
          <w:p w14:paraId="73561658"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DTC Committee</w:t>
            </w:r>
          </w:p>
        </w:tc>
        <w:tc>
          <w:tcPr>
            <w:tcW w:w="0" w:type="auto"/>
            <w:vAlign w:val="center"/>
            <w:hideMark/>
          </w:tcPr>
          <w:p w14:paraId="48A41F7C"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 month</w:t>
            </w:r>
          </w:p>
        </w:tc>
      </w:tr>
      <w:tr w:rsidR="00A16E12" w:rsidRPr="00A16E12" w14:paraId="22083672" w14:textId="77777777" w:rsidTr="00A16E12">
        <w:trPr>
          <w:tblCellSpacing w:w="15" w:type="dxa"/>
        </w:trPr>
        <w:tc>
          <w:tcPr>
            <w:tcW w:w="0" w:type="auto"/>
            <w:vAlign w:val="center"/>
            <w:hideMark/>
          </w:tcPr>
          <w:p w14:paraId="75C116B8"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Financial Management</w:t>
            </w:r>
          </w:p>
        </w:tc>
        <w:tc>
          <w:tcPr>
            <w:tcW w:w="0" w:type="auto"/>
            <w:vAlign w:val="center"/>
            <w:hideMark/>
          </w:tcPr>
          <w:p w14:paraId="0B91849D"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Delays in payments</w:t>
            </w:r>
          </w:p>
        </w:tc>
        <w:tc>
          <w:tcPr>
            <w:tcW w:w="0" w:type="auto"/>
            <w:vAlign w:val="center"/>
            <w:hideMark/>
          </w:tcPr>
          <w:p w14:paraId="68992092"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Streamline payment processing</w:t>
            </w:r>
          </w:p>
        </w:tc>
        <w:tc>
          <w:tcPr>
            <w:tcW w:w="0" w:type="auto"/>
            <w:vAlign w:val="center"/>
            <w:hideMark/>
          </w:tcPr>
          <w:p w14:paraId="55838151"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DTC Committee, Finance Head</w:t>
            </w:r>
          </w:p>
        </w:tc>
        <w:tc>
          <w:tcPr>
            <w:tcW w:w="0" w:type="auto"/>
            <w:vAlign w:val="center"/>
            <w:hideMark/>
          </w:tcPr>
          <w:p w14:paraId="3104D911"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 month</w:t>
            </w:r>
          </w:p>
        </w:tc>
      </w:tr>
      <w:tr w:rsidR="00A16E12" w:rsidRPr="00A16E12" w14:paraId="21FF8BFA" w14:textId="77777777" w:rsidTr="00A16E12">
        <w:trPr>
          <w:tblCellSpacing w:w="15" w:type="dxa"/>
        </w:trPr>
        <w:tc>
          <w:tcPr>
            <w:tcW w:w="0" w:type="auto"/>
            <w:vAlign w:val="center"/>
            <w:hideMark/>
          </w:tcPr>
          <w:p w14:paraId="301D8204"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Monitoring &amp; Reporting</w:t>
            </w:r>
          </w:p>
        </w:tc>
        <w:tc>
          <w:tcPr>
            <w:tcW w:w="0" w:type="auto"/>
            <w:vAlign w:val="center"/>
            <w:hideMark/>
          </w:tcPr>
          <w:p w14:paraId="77119BAE"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Lack of KPIs</w:t>
            </w:r>
          </w:p>
        </w:tc>
        <w:tc>
          <w:tcPr>
            <w:tcW w:w="0" w:type="auto"/>
            <w:vAlign w:val="center"/>
            <w:hideMark/>
          </w:tcPr>
          <w:p w14:paraId="798E664E"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Develop KPI system and monitoring processes</w:t>
            </w:r>
          </w:p>
        </w:tc>
        <w:tc>
          <w:tcPr>
            <w:tcW w:w="0" w:type="auto"/>
            <w:vAlign w:val="center"/>
            <w:hideMark/>
          </w:tcPr>
          <w:p w14:paraId="66F7C787"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Pharmacy Head</w:t>
            </w:r>
          </w:p>
        </w:tc>
        <w:tc>
          <w:tcPr>
            <w:tcW w:w="0" w:type="auto"/>
            <w:vAlign w:val="center"/>
            <w:hideMark/>
          </w:tcPr>
          <w:p w14:paraId="4AAE765C"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 month</w:t>
            </w:r>
          </w:p>
        </w:tc>
      </w:tr>
      <w:tr w:rsidR="00A16E12" w:rsidRPr="00A16E12" w14:paraId="66A5E62C" w14:textId="77777777" w:rsidTr="00A16E12">
        <w:trPr>
          <w:tblCellSpacing w:w="15" w:type="dxa"/>
        </w:trPr>
        <w:tc>
          <w:tcPr>
            <w:tcW w:w="0" w:type="auto"/>
            <w:vAlign w:val="center"/>
            <w:hideMark/>
          </w:tcPr>
          <w:p w14:paraId="63A9C684"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Communication &amp; Coordination</w:t>
            </w:r>
          </w:p>
        </w:tc>
        <w:tc>
          <w:tcPr>
            <w:tcW w:w="0" w:type="auto"/>
            <w:vAlign w:val="center"/>
            <w:hideMark/>
          </w:tcPr>
          <w:p w14:paraId="0331A7D9"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Poor interdepartmental communication</w:t>
            </w:r>
          </w:p>
        </w:tc>
        <w:tc>
          <w:tcPr>
            <w:tcW w:w="0" w:type="auto"/>
            <w:vAlign w:val="center"/>
            <w:hideMark/>
          </w:tcPr>
          <w:p w14:paraId="2300E6E8"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Schedule regular coordination meetings</w:t>
            </w:r>
          </w:p>
        </w:tc>
        <w:tc>
          <w:tcPr>
            <w:tcW w:w="0" w:type="auto"/>
            <w:vAlign w:val="center"/>
            <w:hideMark/>
          </w:tcPr>
          <w:p w14:paraId="74A7192A"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Supply Chain Coordinator</w:t>
            </w:r>
          </w:p>
        </w:tc>
        <w:tc>
          <w:tcPr>
            <w:tcW w:w="0" w:type="auto"/>
            <w:vAlign w:val="center"/>
            <w:hideMark/>
          </w:tcPr>
          <w:p w14:paraId="497D4AA8"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 month</w:t>
            </w:r>
          </w:p>
        </w:tc>
      </w:tr>
      <w:tr w:rsidR="00A16E12" w:rsidRPr="00A16E12" w14:paraId="639E68C2" w14:textId="77777777" w:rsidTr="00A16E12">
        <w:trPr>
          <w:tblCellSpacing w:w="15" w:type="dxa"/>
        </w:trPr>
        <w:tc>
          <w:tcPr>
            <w:tcW w:w="0" w:type="auto"/>
            <w:vAlign w:val="center"/>
            <w:hideMark/>
          </w:tcPr>
          <w:p w14:paraId="057C0958"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lastRenderedPageBreak/>
              <w:t>Waste Management</w:t>
            </w:r>
          </w:p>
        </w:tc>
        <w:tc>
          <w:tcPr>
            <w:tcW w:w="0" w:type="auto"/>
            <w:vAlign w:val="center"/>
            <w:hideMark/>
          </w:tcPr>
          <w:p w14:paraId="027F22E7"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Inefficient waste handling</w:t>
            </w:r>
          </w:p>
        </w:tc>
        <w:tc>
          <w:tcPr>
            <w:tcW w:w="0" w:type="auto"/>
            <w:vAlign w:val="center"/>
            <w:hideMark/>
          </w:tcPr>
          <w:p w14:paraId="626AB8A7"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Establish waste minimization protocols</w:t>
            </w:r>
          </w:p>
        </w:tc>
        <w:tc>
          <w:tcPr>
            <w:tcW w:w="0" w:type="auto"/>
            <w:vAlign w:val="center"/>
            <w:hideMark/>
          </w:tcPr>
          <w:p w14:paraId="333ADC7A"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Waste Management Officer</w:t>
            </w:r>
          </w:p>
        </w:tc>
        <w:tc>
          <w:tcPr>
            <w:tcW w:w="0" w:type="auto"/>
            <w:vAlign w:val="center"/>
            <w:hideMark/>
          </w:tcPr>
          <w:p w14:paraId="7428FDD2"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1 month</w:t>
            </w:r>
          </w:p>
        </w:tc>
      </w:tr>
      <w:tr w:rsidR="00A16E12" w:rsidRPr="00A16E12" w14:paraId="351A266D" w14:textId="77777777" w:rsidTr="00A16E12">
        <w:trPr>
          <w:tblCellSpacing w:w="15" w:type="dxa"/>
        </w:trPr>
        <w:tc>
          <w:tcPr>
            <w:tcW w:w="0" w:type="auto"/>
            <w:vAlign w:val="center"/>
            <w:hideMark/>
          </w:tcPr>
          <w:p w14:paraId="4F25C3E6"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Storage Practices</w:t>
            </w:r>
          </w:p>
        </w:tc>
        <w:tc>
          <w:tcPr>
            <w:tcW w:w="0" w:type="auto"/>
            <w:vAlign w:val="center"/>
            <w:hideMark/>
          </w:tcPr>
          <w:p w14:paraId="76D93E32"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Disorganized storage</w:t>
            </w:r>
          </w:p>
        </w:tc>
        <w:tc>
          <w:tcPr>
            <w:tcW w:w="0" w:type="auto"/>
            <w:vAlign w:val="center"/>
            <w:hideMark/>
          </w:tcPr>
          <w:p w14:paraId="0733F6BC"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Conduct storage audits, enforce stock rotation</w:t>
            </w:r>
          </w:p>
        </w:tc>
        <w:tc>
          <w:tcPr>
            <w:tcW w:w="0" w:type="auto"/>
            <w:vAlign w:val="center"/>
            <w:hideMark/>
          </w:tcPr>
          <w:p w14:paraId="6F8D336E"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Store Keeper</w:t>
            </w:r>
          </w:p>
        </w:tc>
        <w:tc>
          <w:tcPr>
            <w:tcW w:w="0" w:type="auto"/>
            <w:vAlign w:val="center"/>
            <w:hideMark/>
          </w:tcPr>
          <w:p w14:paraId="16FAF874"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Ongoing</w:t>
            </w:r>
          </w:p>
        </w:tc>
      </w:tr>
      <w:tr w:rsidR="00A16E12" w:rsidRPr="00A16E12" w14:paraId="13BFCDDA" w14:textId="77777777" w:rsidTr="00A16E12">
        <w:trPr>
          <w:tblCellSpacing w:w="15" w:type="dxa"/>
        </w:trPr>
        <w:tc>
          <w:tcPr>
            <w:tcW w:w="0" w:type="auto"/>
            <w:vAlign w:val="center"/>
            <w:hideMark/>
          </w:tcPr>
          <w:p w14:paraId="4740E47C"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Dispensing Practices</w:t>
            </w:r>
          </w:p>
        </w:tc>
        <w:tc>
          <w:tcPr>
            <w:tcW w:w="0" w:type="auto"/>
            <w:vAlign w:val="center"/>
            <w:hideMark/>
          </w:tcPr>
          <w:p w14:paraId="1F8A4E6D"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Inconsistent dispensing</w:t>
            </w:r>
          </w:p>
        </w:tc>
        <w:tc>
          <w:tcPr>
            <w:tcW w:w="0" w:type="auto"/>
            <w:vAlign w:val="center"/>
            <w:hideMark/>
          </w:tcPr>
          <w:p w14:paraId="17EF7C39"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Implement double-check and regular audits</w:t>
            </w:r>
          </w:p>
        </w:tc>
        <w:tc>
          <w:tcPr>
            <w:tcW w:w="0" w:type="auto"/>
            <w:vAlign w:val="center"/>
            <w:hideMark/>
          </w:tcPr>
          <w:p w14:paraId="597D5B44"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Pharmacy Staff</w:t>
            </w:r>
          </w:p>
        </w:tc>
        <w:tc>
          <w:tcPr>
            <w:tcW w:w="0" w:type="auto"/>
            <w:vAlign w:val="center"/>
            <w:hideMark/>
          </w:tcPr>
          <w:p w14:paraId="39232143"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Ongoing</w:t>
            </w:r>
          </w:p>
        </w:tc>
      </w:tr>
    </w:tbl>
    <w:p w14:paraId="4048D4C0"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1928B9F0">
          <v:rect id="_x0000_i1037" style="width:0;height:1.5pt" o:hralign="center" o:hrstd="t" o:hr="t" fillcolor="#a0a0a0" stroked="f"/>
        </w:pict>
      </w:r>
    </w:p>
    <w:p w14:paraId="45169833" w14:textId="7B5627CE" w:rsidR="00A16E12" w:rsidRPr="00A16E12" w:rsidRDefault="00A16E12" w:rsidP="00A16E12">
      <w:pPr>
        <w:spacing w:before="100" w:beforeAutospacing="1" w:after="100" w:afterAutospacing="1" w:line="240" w:lineRule="auto"/>
        <w:outlineLvl w:val="1"/>
        <w:rPr>
          <w:rFonts w:ascii="Rockwell" w:eastAsia="Times New Roman" w:hAnsi="Rockwell" w:cs="Times New Roman"/>
          <w:b/>
          <w:bCs/>
          <w:sz w:val="36"/>
          <w:szCs w:val="36"/>
        </w:rPr>
      </w:pPr>
      <w:bookmarkStart w:id="13" w:name="_Toc203009162"/>
      <w:r w:rsidRPr="00A16E12">
        <w:rPr>
          <w:rFonts w:ascii="Rockwell" w:eastAsia="Times New Roman" w:hAnsi="Rockwell" w:cs="Times New Roman"/>
          <w:b/>
          <w:bCs/>
          <w:sz w:val="36"/>
          <w:szCs w:val="36"/>
        </w:rPr>
        <w:t>1</w:t>
      </w:r>
      <w:r w:rsidR="00F8136E">
        <w:rPr>
          <w:rFonts w:ascii="Rockwell" w:eastAsia="Times New Roman" w:hAnsi="Rockwell" w:cs="Times New Roman"/>
          <w:b/>
          <w:bCs/>
          <w:sz w:val="36"/>
          <w:szCs w:val="36"/>
        </w:rPr>
        <w:t>2</w:t>
      </w:r>
      <w:r w:rsidRPr="00A16E12">
        <w:rPr>
          <w:rFonts w:ascii="Rockwell" w:eastAsia="Times New Roman" w:hAnsi="Rockwell" w:cs="Times New Roman"/>
          <w:b/>
          <w:bCs/>
          <w:sz w:val="36"/>
          <w:szCs w:val="36"/>
        </w:rPr>
        <w:t>. Recommendations and Utilization Plan</w:t>
      </w:r>
      <w:bookmarkEnd w:id="13"/>
    </w:p>
    <w:p w14:paraId="0ED9BD30" w14:textId="77777777" w:rsidR="00A16E12" w:rsidRPr="00A16E12" w:rsidRDefault="00A16E12" w:rsidP="00A16E12">
      <w:pPr>
        <w:numPr>
          <w:ilvl w:val="0"/>
          <w:numId w:val="6"/>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Strengthen policy adherence and supplier management.</w:t>
      </w:r>
    </w:p>
    <w:p w14:paraId="523B9A0D" w14:textId="77777777" w:rsidR="00A16E12" w:rsidRPr="00A16E12" w:rsidRDefault="00A16E12" w:rsidP="00A16E12">
      <w:pPr>
        <w:numPr>
          <w:ilvl w:val="0"/>
          <w:numId w:val="6"/>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Digitalize inventory tracking and procurement.</w:t>
      </w:r>
    </w:p>
    <w:p w14:paraId="5391C6BA" w14:textId="77777777" w:rsidR="00A16E12" w:rsidRPr="00A16E12" w:rsidRDefault="00A16E12" w:rsidP="00A16E12">
      <w:pPr>
        <w:numPr>
          <w:ilvl w:val="0"/>
          <w:numId w:val="6"/>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Implement regular KPI monitoring and data transparency.</w:t>
      </w:r>
    </w:p>
    <w:p w14:paraId="1A81BDE4" w14:textId="77777777" w:rsidR="00A16E12" w:rsidRPr="00A16E12" w:rsidRDefault="00A16E12" w:rsidP="00A16E12">
      <w:pPr>
        <w:numPr>
          <w:ilvl w:val="0"/>
          <w:numId w:val="6"/>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Enhance communication between supply chain and clinical units.</w:t>
      </w:r>
    </w:p>
    <w:p w14:paraId="7E5E9204" w14:textId="77777777" w:rsidR="00A16E12" w:rsidRPr="00A16E12" w:rsidRDefault="00A16E12" w:rsidP="00A16E12">
      <w:pPr>
        <w:numPr>
          <w:ilvl w:val="0"/>
          <w:numId w:val="6"/>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Train staff on supply chain best practices and technology.</w:t>
      </w:r>
    </w:p>
    <w:p w14:paraId="0D149A85" w14:textId="77777777" w:rsidR="00A16E12" w:rsidRPr="00A16E12" w:rsidRDefault="00A16E12" w:rsidP="00A16E12">
      <w:pPr>
        <w:numPr>
          <w:ilvl w:val="0"/>
          <w:numId w:val="6"/>
        </w:num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Schedule periodic audits and continuous improvement workshops.</w:t>
      </w:r>
    </w:p>
    <w:p w14:paraId="6A78858E"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4A71F7F1">
          <v:rect id="_x0000_i1038" style="width:0;height:1.5pt" o:hralign="center" o:hrstd="t" o:hr="t" fillcolor="#a0a0a0" stroked="f"/>
        </w:pict>
      </w:r>
    </w:p>
    <w:p w14:paraId="2CA87CFE" w14:textId="08D56462" w:rsidR="00A16E12" w:rsidRPr="00A16E12" w:rsidRDefault="00A16E12" w:rsidP="00A16E12">
      <w:pPr>
        <w:spacing w:before="100" w:beforeAutospacing="1" w:after="100" w:afterAutospacing="1" w:line="240" w:lineRule="auto"/>
        <w:outlineLvl w:val="1"/>
        <w:rPr>
          <w:rFonts w:ascii="Rockwell" w:eastAsia="Times New Roman" w:hAnsi="Rockwell" w:cs="Times New Roman"/>
          <w:b/>
          <w:bCs/>
          <w:sz w:val="36"/>
          <w:szCs w:val="36"/>
        </w:rPr>
      </w:pPr>
      <w:bookmarkStart w:id="14" w:name="_Toc203009163"/>
      <w:r w:rsidRPr="00A16E12">
        <w:rPr>
          <w:rFonts w:ascii="Rockwell" w:eastAsia="Times New Roman" w:hAnsi="Rockwell" w:cs="Times New Roman"/>
          <w:b/>
          <w:bCs/>
          <w:sz w:val="36"/>
          <w:szCs w:val="36"/>
        </w:rPr>
        <w:t>1</w:t>
      </w:r>
      <w:r w:rsidR="00F8136E">
        <w:rPr>
          <w:rFonts w:ascii="Rockwell" w:eastAsia="Times New Roman" w:hAnsi="Rockwell" w:cs="Times New Roman"/>
          <w:b/>
          <w:bCs/>
          <w:sz w:val="36"/>
          <w:szCs w:val="36"/>
        </w:rPr>
        <w:t>3</w:t>
      </w:r>
      <w:r w:rsidRPr="00A16E12">
        <w:rPr>
          <w:rFonts w:ascii="Rockwell" w:eastAsia="Times New Roman" w:hAnsi="Rockwell" w:cs="Times New Roman"/>
          <w:b/>
          <w:bCs/>
          <w:sz w:val="36"/>
          <w:szCs w:val="36"/>
        </w:rPr>
        <w:t>. Conclusion</w:t>
      </w:r>
      <w:bookmarkEnd w:id="14"/>
    </w:p>
    <w:p w14:paraId="56CFDF09" w14:textId="77777777" w:rsidR="00A16E12" w:rsidRPr="00A16E12" w:rsidRDefault="00A16E12" w:rsidP="00A16E12">
      <w:pPr>
        <w:spacing w:before="100" w:beforeAutospacing="1" w:after="100" w:afterAutospacing="1"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t xml:space="preserve">The 17% supply chain inefficiency during Quarter 3, 2016EC at </w:t>
      </w:r>
      <w:proofErr w:type="spellStart"/>
      <w:r w:rsidRPr="00A16E12">
        <w:rPr>
          <w:rFonts w:ascii="Rockwell" w:eastAsia="Times New Roman" w:hAnsi="Rockwell" w:cs="Times New Roman"/>
          <w:sz w:val="24"/>
          <w:szCs w:val="24"/>
        </w:rPr>
        <w:t>Deder</w:t>
      </w:r>
      <w:proofErr w:type="spellEnd"/>
      <w:r w:rsidRPr="00A16E12">
        <w:rPr>
          <w:rFonts w:ascii="Rockwell" w:eastAsia="Times New Roman" w:hAnsi="Rockwell" w:cs="Times New Roman"/>
          <w:sz w:val="24"/>
          <w:szCs w:val="24"/>
        </w:rPr>
        <w:t xml:space="preserve"> General Hospital highlights areas needing urgent intervention. With targeted action on procurement, inventory management, monitoring, and communication, the hospital can significantly improve resource utilization, reduce costs, and enhance patient care quality.</w:t>
      </w:r>
    </w:p>
    <w:p w14:paraId="156D0693" w14:textId="67EA6D55" w:rsid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1141A488">
          <v:rect id="_x0000_i1039" style="width:0;height:1.5pt" o:hralign="center" o:hrstd="t" o:hr="t" fillcolor="#a0a0a0" stroked="f"/>
        </w:pict>
      </w:r>
    </w:p>
    <w:p w14:paraId="27714B85" w14:textId="406AE789" w:rsidR="008642C3" w:rsidRDefault="008642C3" w:rsidP="00A16E12">
      <w:pPr>
        <w:spacing w:after="0" w:line="240" w:lineRule="auto"/>
        <w:rPr>
          <w:rFonts w:ascii="Rockwell" w:eastAsia="Times New Roman" w:hAnsi="Rockwell" w:cs="Times New Roman"/>
          <w:sz w:val="24"/>
          <w:szCs w:val="24"/>
        </w:rPr>
      </w:pPr>
    </w:p>
    <w:p w14:paraId="604151C7" w14:textId="137338A4" w:rsidR="008642C3" w:rsidRDefault="008642C3" w:rsidP="00A16E12">
      <w:pPr>
        <w:spacing w:after="0" w:line="240" w:lineRule="auto"/>
        <w:rPr>
          <w:rFonts w:ascii="Rockwell" w:eastAsia="Times New Roman" w:hAnsi="Rockwell" w:cs="Times New Roman"/>
          <w:sz w:val="24"/>
          <w:szCs w:val="24"/>
        </w:rPr>
      </w:pPr>
    </w:p>
    <w:p w14:paraId="4650AA85" w14:textId="6B2935E5" w:rsidR="008642C3" w:rsidRDefault="008642C3" w:rsidP="00A16E12">
      <w:pPr>
        <w:spacing w:after="0" w:line="240" w:lineRule="auto"/>
        <w:rPr>
          <w:rFonts w:ascii="Rockwell" w:eastAsia="Times New Roman" w:hAnsi="Rockwell" w:cs="Times New Roman"/>
          <w:sz w:val="24"/>
          <w:szCs w:val="24"/>
        </w:rPr>
      </w:pPr>
    </w:p>
    <w:p w14:paraId="27058296" w14:textId="2100E4CB" w:rsidR="008642C3" w:rsidRDefault="008642C3" w:rsidP="00A16E12">
      <w:pPr>
        <w:spacing w:after="0" w:line="240" w:lineRule="auto"/>
        <w:rPr>
          <w:rFonts w:ascii="Rockwell" w:eastAsia="Times New Roman" w:hAnsi="Rockwell" w:cs="Times New Roman"/>
          <w:sz w:val="24"/>
          <w:szCs w:val="24"/>
        </w:rPr>
      </w:pPr>
    </w:p>
    <w:p w14:paraId="3A55F34C" w14:textId="4726D3EB" w:rsidR="008642C3" w:rsidRDefault="008642C3" w:rsidP="00A16E12">
      <w:pPr>
        <w:spacing w:after="0" w:line="240" w:lineRule="auto"/>
        <w:rPr>
          <w:rFonts w:ascii="Rockwell" w:eastAsia="Times New Roman" w:hAnsi="Rockwell" w:cs="Times New Roman"/>
          <w:sz w:val="24"/>
          <w:szCs w:val="24"/>
        </w:rPr>
      </w:pPr>
    </w:p>
    <w:p w14:paraId="379CA69A" w14:textId="319B6502" w:rsidR="008642C3" w:rsidRDefault="008642C3" w:rsidP="00A16E12">
      <w:pPr>
        <w:spacing w:after="0" w:line="240" w:lineRule="auto"/>
        <w:rPr>
          <w:rFonts w:ascii="Rockwell" w:eastAsia="Times New Roman" w:hAnsi="Rockwell" w:cs="Times New Roman"/>
          <w:sz w:val="24"/>
          <w:szCs w:val="24"/>
        </w:rPr>
      </w:pPr>
    </w:p>
    <w:p w14:paraId="317EB925" w14:textId="238C871C" w:rsidR="008642C3" w:rsidRDefault="008642C3" w:rsidP="00A16E12">
      <w:pPr>
        <w:spacing w:after="0" w:line="240" w:lineRule="auto"/>
        <w:rPr>
          <w:rFonts w:ascii="Rockwell" w:eastAsia="Times New Roman" w:hAnsi="Rockwell" w:cs="Times New Roman"/>
          <w:sz w:val="24"/>
          <w:szCs w:val="24"/>
        </w:rPr>
      </w:pPr>
    </w:p>
    <w:p w14:paraId="61281343" w14:textId="04815C86" w:rsidR="008642C3" w:rsidRDefault="008642C3" w:rsidP="00A16E12">
      <w:pPr>
        <w:spacing w:after="0" w:line="240" w:lineRule="auto"/>
        <w:rPr>
          <w:rFonts w:ascii="Rockwell" w:eastAsia="Times New Roman" w:hAnsi="Rockwell" w:cs="Times New Roman"/>
          <w:sz w:val="24"/>
          <w:szCs w:val="24"/>
        </w:rPr>
      </w:pPr>
    </w:p>
    <w:p w14:paraId="71C73CB2" w14:textId="77777777" w:rsidR="008642C3" w:rsidRPr="00A16E12" w:rsidRDefault="008642C3" w:rsidP="00A16E12">
      <w:pPr>
        <w:spacing w:after="0" w:line="240" w:lineRule="auto"/>
        <w:rPr>
          <w:rFonts w:ascii="Rockwell" w:eastAsia="Times New Roman" w:hAnsi="Rockwell" w:cs="Times New Roman"/>
          <w:sz w:val="24"/>
          <w:szCs w:val="24"/>
        </w:rPr>
      </w:pPr>
    </w:p>
    <w:p w14:paraId="12A1F804" w14:textId="1967FF36" w:rsidR="00A16E12" w:rsidRPr="00A16E12" w:rsidRDefault="00A16E12" w:rsidP="00A16E12">
      <w:pPr>
        <w:spacing w:before="100" w:beforeAutospacing="1" w:after="100" w:afterAutospacing="1" w:line="240" w:lineRule="auto"/>
        <w:outlineLvl w:val="1"/>
        <w:rPr>
          <w:rFonts w:ascii="Rockwell" w:eastAsia="Times New Roman" w:hAnsi="Rockwell" w:cs="Times New Roman"/>
          <w:b/>
          <w:bCs/>
          <w:sz w:val="24"/>
          <w:szCs w:val="24"/>
        </w:rPr>
      </w:pPr>
      <w:bookmarkStart w:id="15" w:name="_Toc203009164"/>
      <w:r w:rsidRPr="00A16E12">
        <w:rPr>
          <w:rFonts w:ascii="Rockwell" w:eastAsia="Times New Roman" w:hAnsi="Rockwell" w:cs="Times New Roman"/>
          <w:b/>
          <w:bCs/>
          <w:sz w:val="36"/>
          <w:szCs w:val="36"/>
        </w:rPr>
        <w:lastRenderedPageBreak/>
        <w:t>1</w:t>
      </w:r>
      <w:r w:rsidR="00F8136E">
        <w:rPr>
          <w:rFonts w:ascii="Rockwell" w:eastAsia="Times New Roman" w:hAnsi="Rockwell" w:cs="Times New Roman"/>
          <w:b/>
          <w:bCs/>
          <w:sz w:val="36"/>
          <w:szCs w:val="36"/>
        </w:rPr>
        <w:t>4</w:t>
      </w:r>
      <w:r w:rsidRPr="00A16E12">
        <w:rPr>
          <w:rFonts w:ascii="Rockwell" w:eastAsia="Times New Roman" w:hAnsi="Rockwell" w:cs="Times New Roman"/>
          <w:b/>
          <w:bCs/>
          <w:sz w:val="36"/>
          <w:szCs w:val="36"/>
        </w:rPr>
        <w:t>. References</w:t>
      </w:r>
      <w:bookmarkEnd w:id="15"/>
    </w:p>
    <w:p w14:paraId="6AB47749"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Christopher, M. (2016).</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Logistics and Supply Chain Management: Creating Value-Adding Networks in Healthcare Systems</w:t>
      </w:r>
      <w:r w:rsidRPr="00A16E12">
        <w:rPr>
          <w:rFonts w:ascii="Rockwell" w:eastAsia="Times New Roman" w:hAnsi="Rockwell" w:cs="Times New Roman"/>
          <w:sz w:val="18"/>
          <w:szCs w:val="18"/>
        </w:rPr>
        <w:t>. Pearson Education Limited.</w:t>
      </w:r>
    </w:p>
    <w:p w14:paraId="28511073"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Hendricks, K. B., &amp; Singhal, V. R. (2003).</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The Impact of Supply Chain Disruptions on Hospital Operational Performance: Evidence and Strategies for Risk Mitigation</w:t>
      </w:r>
      <w:r w:rsidRPr="00A16E12">
        <w:rPr>
          <w:rFonts w:ascii="Rockwell" w:eastAsia="Times New Roman" w:hAnsi="Rockwell" w:cs="Times New Roman"/>
          <w:sz w:val="18"/>
          <w:szCs w:val="18"/>
        </w:rPr>
        <w:t>. Journal of Operations Management, 21(3), 215-233.</w:t>
      </w:r>
    </w:p>
    <w:p w14:paraId="48F0D8F4"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Kumar, S., &amp; Saini, R. (2018).</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Inventory Control Models and Their Applications in Hospital Pharmacy Management: A Systematic Review</w:t>
      </w:r>
      <w:r w:rsidRPr="00A16E12">
        <w:rPr>
          <w:rFonts w:ascii="Rockwell" w:eastAsia="Times New Roman" w:hAnsi="Rockwell" w:cs="Times New Roman"/>
          <w:sz w:val="18"/>
          <w:szCs w:val="18"/>
        </w:rPr>
        <w:t>. International Journal of Health Care Quality Assurance, 31(2), 120-135.</w:t>
      </w:r>
    </w:p>
    <w:p w14:paraId="5ABFE5ED"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World Health Organization (2014).</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Guidelines for Effective Healthcare Supply Chain Management in Low-Resource Settings: Addressing Stockouts and Wastage</w:t>
      </w:r>
      <w:r w:rsidRPr="00A16E12">
        <w:rPr>
          <w:rFonts w:ascii="Rockwell" w:eastAsia="Times New Roman" w:hAnsi="Rockwell" w:cs="Times New Roman"/>
          <w:sz w:val="18"/>
          <w:szCs w:val="18"/>
        </w:rPr>
        <w:t>. WHO Press, Geneva.</w:t>
      </w:r>
    </w:p>
    <w:p w14:paraId="0EE49469"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 xml:space="preserve">Benton, W. C., &amp; </w:t>
      </w:r>
      <w:proofErr w:type="spellStart"/>
      <w:r w:rsidRPr="00A16E12">
        <w:rPr>
          <w:rFonts w:ascii="Rockwell" w:eastAsia="Times New Roman" w:hAnsi="Rockwell" w:cs="Times New Roman"/>
          <w:b/>
          <w:bCs/>
          <w:sz w:val="18"/>
          <w:szCs w:val="18"/>
        </w:rPr>
        <w:t>Maloni</w:t>
      </w:r>
      <w:proofErr w:type="spellEnd"/>
      <w:r w:rsidRPr="00A16E12">
        <w:rPr>
          <w:rFonts w:ascii="Rockwell" w:eastAsia="Times New Roman" w:hAnsi="Rockwell" w:cs="Times New Roman"/>
          <w:b/>
          <w:bCs/>
          <w:sz w:val="18"/>
          <w:szCs w:val="18"/>
        </w:rPr>
        <w:t>, M. (2005).</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Healthcare Supply Chain Performance Measurement: A Balanced Scorecard Approach</w:t>
      </w:r>
      <w:r w:rsidRPr="00A16E12">
        <w:rPr>
          <w:rFonts w:ascii="Rockwell" w:eastAsia="Times New Roman" w:hAnsi="Rockwell" w:cs="Times New Roman"/>
          <w:sz w:val="18"/>
          <w:szCs w:val="18"/>
        </w:rPr>
        <w:t>. International Journal of Health Care Quality Assurance, 18(3), 160-172.</w:t>
      </w:r>
    </w:p>
    <w:p w14:paraId="721E356A"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proofErr w:type="spellStart"/>
      <w:r w:rsidRPr="00A16E12">
        <w:rPr>
          <w:rFonts w:ascii="Rockwell" w:eastAsia="Times New Roman" w:hAnsi="Rockwell" w:cs="Times New Roman"/>
          <w:b/>
          <w:bCs/>
          <w:sz w:val="18"/>
          <w:szCs w:val="18"/>
        </w:rPr>
        <w:t>Prajogo</w:t>
      </w:r>
      <w:proofErr w:type="spellEnd"/>
      <w:r w:rsidRPr="00A16E12">
        <w:rPr>
          <w:rFonts w:ascii="Rockwell" w:eastAsia="Times New Roman" w:hAnsi="Rockwell" w:cs="Times New Roman"/>
          <w:b/>
          <w:bCs/>
          <w:sz w:val="18"/>
          <w:szCs w:val="18"/>
        </w:rPr>
        <w:t xml:space="preserve">, D. I., &amp; </w:t>
      </w:r>
      <w:proofErr w:type="spellStart"/>
      <w:r w:rsidRPr="00A16E12">
        <w:rPr>
          <w:rFonts w:ascii="Rockwell" w:eastAsia="Times New Roman" w:hAnsi="Rockwell" w:cs="Times New Roman"/>
          <w:b/>
          <w:bCs/>
          <w:sz w:val="18"/>
          <w:szCs w:val="18"/>
        </w:rPr>
        <w:t>Olhager</w:t>
      </w:r>
      <w:proofErr w:type="spellEnd"/>
      <w:r w:rsidRPr="00A16E12">
        <w:rPr>
          <w:rFonts w:ascii="Rockwell" w:eastAsia="Times New Roman" w:hAnsi="Rockwell" w:cs="Times New Roman"/>
          <w:b/>
          <w:bCs/>
          <w:sz w:val="18"/>
          <w:szCs w:val="18"/>
        </w:rPr>
        <w:t>, J. (2012).</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Supply Chain Integration and Hospital Performance: A Contingency and Configuration Approach</w:t>
      </w:r>
      <w:r w:rsidRPr="00A16E12">
        <w:rPr>
          <w:rFonts w:ascii="Rockwell" w:eastAsia="Times New Roman" w:hAnsi="Rockwell" w:cs="Times New Roman"/>
          <w:sz w:val="18"/>
          <w:szCs w:val="18"/>
        </w:rPr>
        <w:t>. International Journal of Operations &amp; Production Management, 32(3), 281-304.</w:t>
      </w:r>
    </w:p>
    <w:p w14:paraId="0BF42955"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Nair, A., &amp; Vidal, C. J. (2011).</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Hospital Inventory Management and Optimization Using Advanced Forecasting Techniques</w:t>
      </w:r>
      <w:r w:rsidRPr="00A16E12">
        <w:rPr>
          <w:rFonts w:ascii="Rockwell" w:eastAsia="Times New Roman" w:hAnsi="Rockwell" w:cs="Times New Roman"/>
          <w:sz w:val="18"/>
          <w:szCs w:val="18"/>
        </w:rPr>
        <w:t>. European Journal of Operational Research, 210(3), 604-615.</w:t>
      </w:r>
    </w:p>
    <w:p w14:paraId="30E2653E"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proofErr w:type="spellStart"/>
      <w:r w:rsidRPr="00A16E12">
        <w:rPr>
          <w:rFonts w:ascii="Rockwell" w:eastAsia="Times New Roman" w:hAnsi="Rockwell" w:cs="Times New Roman"/>
          <w:b/>
          <w:bCs/>
          <w:sz w:val="18"/>
          <w:szCs w:val="18"/>
        </w:rPr>
        <w:t>Haavisto</w:t>
      </w:r>
      <w:proofErr w:type="spellEnd"/>
      <w:r w:rsidRPr="00A16E12">
        <w:rPr>
          <w:rFonts w:ascii="Rockwell" w:eastAsia="Times New Roman" w:hAnsi="Rockwell" w:cs="Times New Roman"/>
          <w:b/>
          <w:bCs/>
          <w:sz w:val="18"/>
          <w:szCs w:val="18"/>
        </w:rPr>
        <w:t xml:space="preserve">, I., &amp; </w:t>
      </w:r>
      <w:proofErr w:type="spellStart"/>
      <w:r w:rsidRPr="00A16E12">
        <w:rPr>
          <w:rFonts w:ascii="Rockwell" w:eastAsia="Times New Roman" w:hAnsi="Rockwell" w:cs="Times New Roman"/>
          <w:b/>
          <w:bCs/>
          <w:sz w:val="18"/>
          <w:szCs w:val="18"/>
        </w:rPr>
        <w:t>Kovács</w:t>
      </w:r>
      <w:proofErr w:type="spellEnd"/>
      <w:r w:rsidRPr="00A16E12">
        <w:rPr>
          <w:rFonts w:ascii="Rockwell" w:eastAsia="Times New Roman" w:hAnsi="Rockwell" w:cs="Times New Roman"/>
          <w:b/>
          <w:bCs/>
          <w:sz w:val="18"/>
          <w:szCs w:val="18"/>
        </w:rPr>
        <w:t>, G. (2015).</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Supply Chain Risks in Healthcare: Evidence from the Field and Research Agenda</w:t>
      </w:r>
      <w:r w:rsidRPr="00A16E12">
        <w:rPr>
          <w:rFonts w:ascii="Rockwell" w:eastAsia="Times New Roman" w:hAnsi="Rockwell" w:cs="Times New Roman"/>
          <w:sz w:val="18"/>
          <w:szCs w:val="18"/>
        </w:rPr>
        <w:t>. International Journal of Production Economics, 170, 694-702.</w:t>
      </w:r>
    </w:p>
    <w:p w14:paraId="7852BA4F"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proofErr w:type="spellStart"/>
      <w:r w:rsidRPr="00A16E12">
        <w:rPr>
          <w:rFonts w:ascii="Rockwell" w:eastAsia="Times New Roman" w:hAnsi="Rockwell" w:cs="Times New Roman"/>
          <w:b/>
          <w:bCs/>
          <w:sz w:val="18"/>
          <w:szCs w:val="18"/>
        </w:rPr>
        <w:t>Akkerman</w:t>
      </w:r>
      <w:proofErr w:type="spellEnd"/>
      <w:r w:rsidRPr="00A16E12">
        <w:rPr>
          <w:rFonts w:ascii="Rockwell" w:eastAsia="Times New Roman" w:hAnsi="Rockwell" w:cs="Times New Roman"/>
          <w:b/>
          <w:bCs/>
          <w:sz w:val="18"/>
          <w:szCs w:val="18"/>
        </w:rPr>
        <w:t xml:space="preserve">, R., Farahani, P., &amp; </w:t>
      </w:r>
      <w:proofErr w:type="spellStart"/>
      <w:r w:rsidRPr="00A16E12">
        <w:rPr>
          <w:rFonts w:ascii="Rockwell" w:eastAsia="Times New Roman" w:hAnsi="Rockwell" w:cs="Times New Roman"/>
          <w:b/>
          <w:bCs/>
          <w:sz w:val="18"/>
          <w:szCs w:val="18"/>
        </w:rPr>
        <w:t>Grunow</w:t>
      </w:r>
      <w:proofErr w:type="spellEnd"/>
      <w:r w:rsidRPr="00A16E12">
        <w:rPr>
          <w:rFonts w:ascii="Rockwell" w:eastAsia="Times New Roman" w:hAnsi="Rockwell" w:cs="Times New Roman"/>
          <w:b/>
          <w:bCs/>
          <w:sz w:val="18"/>
          <w:szCs w:val="18"/>
        </w:rPr>
        <w:t>, M. (2010).</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Quality, Safety, and Efficiency in Healthcare Supply Chains: A Comprehensive Review and Future Research Directions</w:t>
      </w:r>
      <w:r w:rsidRPr="00A16E12">
        <w:rPr>
          <w:rFonts w:ascii="Rockwell" w:eastAsia="Times New Roman" w:hAnsi="Rockwell" w:cs="Times New Roman"/>
          <w:sz w:val="18"/>
          <w:szCs w:val="18"/>
        </w:rPr>
        <w:t>. European Journal of Operational Research, 203(3), 718-730.</w:t>
      </w:r>
    </w:p>
    <w:p w14:paraId="18C27125"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Christopher, M., &amp; Peck, H. (2004).</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Building the Resilient Healthcare Supply Chain: The Role of Risk Management and Agile Practices</w:t>
      </w:r>
      <w:r w:rsidRPr="00A16E12">
        <w:rPr>
          <w:rFonts w:ascii="Rockwell" w:eastAsia="Times New Roman" w:hAnsi="Rockwell" w:cs="Times New Roman"/>
          <w:sz w:val="18"/>
          <w:szCs w:val="18"/>
        </w:rPr>
        <w:t>. International Journal of Logistics Management, 15(2), 1-13.</w:t>
      </w:r>
    </w:p>
    <w:p w14:paraId="767B6970"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proofErr w:type="spellStart"/>
      <w:r w:rsidRPr="00A16E12">
        <w:rPr>
          <w:rFonts w:ascii="Rockwell" w:eastAsia="Times New Roman" w:hAnsi="Rockwell" w:cs="Times New Roman"/>
          <w:b/>
          <w:bCs/>
          <w:sz w:val="18"/>
          <w:szCs w:val="18"/>
        </w:rPr>
        <w:t>Ozcan</w:t>
      </w:r>
      <w:proofErr w:type="spellEnd"/>
      <w:r w:rsidRPr="00A16E12">
        <w:rPr>
          <w:rFonts w:ascii="Rockwell" w:eastAsia="Times New Roman" w:hAnsi="Rockwell" w:cs="Times New Roman"/>
          <w:b/>
          <w:bCs/>
          <w:sz w:val="18"/>
          <w:szCs w:val="18"/>
        </w:rPr>
        <w:t>, Y. A. (2015).</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Quantitative Methods in Health Care Management: Techniques and Applications</w:t>
      </w:r>
      <w:r w:rsidRPr="00A16E12">
        <w:rPr>
          <w:rFonts w:ascii="Rockwell" w:eastAsia="Times New Roman" w:hAnsi="Rockwell" w:cs="Times New Roman"/>
          <w:sz w:val="18"/>
          <w:szCs w:val="18"/>
        </w:rPr>
        <w:t>. John Wiley &amp; Sons.</w:t>
      </w:r>
    </w:p>
    <w:p w14:paraId="7788D516"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proofErr w:type="spellStart"/>
      <w:r w:rsidRPr="00A16E12">
        <w:rPr>
          <w:rFonts w:ascii="Rockwell" w:eastAsia="Times New Roman" w:hAnsi="Rockwell" w:cs="Times New Roman"/>
          <w:b/>
          <w:bCs/>
          <w:sz w:val="18"/>
          <w:szCs w:val="18"/>
        </w:rPr>
        <w:t>Tavakoli</w:t>
      </w:r>
      <w:proofErr w:type="spellEnd"/>
      <w:r w:rsidRPr="00A16E12">
        <w:rPr>
          <w:rFonts w:ascii="Rockwell" w:eastAsia="Times New Roman" w:hAnsi="Rockwell" w:cs="Times New Roman"/>
          <w:b/>
          <w:bCs/>
          <w:sz w:val="18"/>
          <w:szCs w:val="18"/>
        </w:rPr>
        <w:t xml:space="preserve">, M., </w:t>
      </w:r>
      <w:proofErr w:type="spellStart"/>
      <w:r w:rsidRPr="00A16E12">
        <w:rPr>
          <w:rFonts w:ascii="Rockwell" w:eastAsia="Times New Roman" w:hAnsi="Rockwell" w:cs="Times New Roman"/>
          <w:b/>
          <w:bCs/>
          <w:sz w:val="18"/>
          <w:szCs w:val="18"/>
        </w:rPr>
        <w:t>Asadi</w:t>
      </w:r>
      <w:proofErr w:type="spellEnd"/>
      <w:r w:rsidRPr="00A16E12">
        <w:rPr>
          <w:rFonts w:ascii="Rockwell" w:eastAsia="Times New Roman" w:hAnsi="Rockwell" w:cs="Times New Roman"/>
          <w:b/>
          <w:bCs/>
          <w:sz w:val="18"/>
          <w:szCs w:val="18"/>
        </w:rPr>
        <w:t xml:space="preserve">, H., &amp; </w:t>
      </w:r>
      <w:proofErr w:type="spellStart"/>
      <w:r w:rsidRPr="00A16E12">
        <w:rPr>
          <w:rFonts w:ascii="Rockwell" w:eastAsia="Times New Roman" w:hAnsi="Rockwell" w:cs="Times New Roman"/>
          <w:b/>
          <w:bCs/>
          <w:sz w:val="18"/>
          <w:szCs w:val="18"/>
        </w:rPr>
        <w:t>Rezapour</w:t>
      </w:r>
      <w:proofErr w:type="spellEnd"/>
      <w:r w:rsidRPr="00A16E12">
        <w:rPr>
          <w:rFonts w:ascii="Rockwell" w:eastAsia="Times New Roman" w:hAnsi="Rockwell" w:cs="Times New Roman"/>
          <w:b/>
          <w:bCs/>
          <w:sz w:val="18"/>
          <w:szCs w:val="18"/>
        </w:rPr>
        <w:t>, S. (2018).</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A Fuzzy Multi-</w:t>
      </w:r>
      <w:proofErr w:type="gramStart"/>
      <w:r w:rsidRPr="00A16E12">
        <w:rPr>
          <w:rFonts w:ascii="Rockwell" w:eastAsia="Times New Roman" w:hAnsi="Rockwell" w:cs="Times New Roman"/>
          <w:i/>
          <w:iCs/>
          <w:sz w:val="18"/>
          <w:szCs w:val="18"/>
        </w:rPr>
        <w:t>Criteria Decision Making</w:t>
      </w:r>
      <w:proofErr w:type="gramEnd"/>
      <w:r w:rsidRPr="00A16E12">
        <w:rPr>
          <w:rFonts w:ascii="Rockwell" w:eastAsia="Times New Roman" w:hAnsi="Rockwell" w:cs="Times New Roman"/>
          <w:i/>
          <w:iCs/>
          <w:sz w:val="18"/>
          <w:szCs w:val="18"/>
        </w:rPr>
        <w:t xml:space="preserve"> Model for Healthcare Supply Chain Management Considering Stockout Costs and Demand Uncertainty</w:t>
      </w:r>
      <w:r w:rsidRPr="00A16E12">
        <w:rPr>
          <w:rFonts w:ascii="Rockwell" w:eastAsia="Times New Roman" w:hAnsi="Rockwell" w:cs="Times New Roman"/>
          <w:sz w:val="18"/>
          <w:szCs w:val="18"/>
        </w:rPr>
        <w:t>. Applied Soft Computing, 72, 277-292.</w:t>
      </w:r>
    </w:p>
    <w:p w14:paraId="5763A04E"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Beamon, B. M. (1999).</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Measuring Supply Chain Performance in Hospitals: Metrics and Methodologies</w:t>
      </w:r>
      <w:r w:rsidRPr="00A16E12">
        <w:rPr>
          <w:rFonts w:ascii="Rockwell" w:eastAsia="Times New Roman" w:hAnsi="Rockwell" w:cs="Times New Roman"/>
          <w:sz w:val="18"/>
          <w:szCs w:val="18"/>
        </w:rPr>
        <w:t>. International Journal of Operations &amp; Production Management, 19(3), 275-292.</w:t>
      </w:r>
    </w:p>
    <w:p w14:paraId="2409BF28"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Bowersox, D. J., Closs, D. J., &amp; Cooper, M. B. (2013).</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Supply Chain Logistics Management: Theories, Practices, and Applications in Healthcare</w:t>
      </w:r>
      <w:r w:rsidRPr="00A16E12">
        <w:rPr>
          <w:rFonts w:ascii="Rockwell" w:eastAsia="Times New Roman" w:hAnsi="Rockwell" w:cs="Times New Roman"/>
          <w:sz w:val="18"/>
          <w:szCs w:val="18"/>
        </w:rPr>
        <w:t>. McGraw-Hill Education.</w:t>
      </w:r>
    </w:p>
    <w:p w14:paraId="24F72DCF"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Hendricks, K. B., Singhal, V. R., &amp; Stratman, J. K. (2007).</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The Impact of Supply Chain Disruptions on Hospital Service Quality and Financial Performance: An Empirical Study</w:t>
      </w:r>
      <w:r w:rsidRPr="00A16E12">
        <w:rPr>
          <w:rFonts w:ascii="Rockwell" w:eastAsia="Times New Roman" w:hAnsi="Rockwell" w:cs="Times New Roman"/>
          <w:sz w:val="18"/>
          <w:szCs w:val="18"/>
        </w:rPr>
        <w:t>. Journal of Operations Management, 25(5), 670-688.</w:t>
      </w:r>
    </w:p>
    <w:p w14:paraId="39A53498"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Lee, H. L., Padmanabhan, V., &amp; Whang, S. (1997).</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The Bullwhip Effect in Healthcare Supply Chains: Causes, Consequences, and Mitigation Strategies</w:t>
      </w:r>
      <w:r w:rsidRPr="00A16E12">
        <w:rPr>
          <w:rFonts w:ascii="Rockwell" w:eastAsia="Times New Roman" w:hAnsi="Rockwell" w:cs="Times New Roman"/>
          <w:sz w:val="18"/>
          <w:szCs w:val="18"/>
        </w:rPr>
        <w:t>. Management Science, 43(4), 546-558.</w:t>
      </w:r>
    </w:p>
    <w:p w14:paraId="11DF6F42"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Min, H. (2010).</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Forecasting and Inventory Management in Hospital Supply Chains: A Review and Research Agenda</w:t>
      </w:r>
      <w:r w:rsidRPr="00A16E12">
        <w:rPr>
          <w:rFonts w:ascii="Rockwell" w:eastAsia="Times New Roman" w:hAnsi="Rockwell" w:cs="Times New Roman"/>
          <w:sz w:val="18"/>
          <w:szCs w:val="18"/>
        </w:rPr>
        <w:t>. International Journal of Production Economics, 126(2), 277-285.</w:t>
      </w:r>
    </w:p>
    <w:p w14:paraId="43BBE7C1"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 xml:space="preserve">Müller, T., &amp; </w:t>
      </w:r>
      <w:proofErr w:type="spellStart"/>
      <w:r w:rsidRPr="00A16E12">
        <w:rPr>
          <w:rFonts w:ascii="Rockwell" w:eastAsia="Times New Roman" w:hAnsi="Rockwell" w:cs="Times New Roman"/>
          <w:b/>
          <w:bCs/>
          <w:sz w:val="18"/>
          <w:szCs w:val="18"/>
        </w:rPr>
        <w:t>Pfleger</w:t>
      </w:r>
      <w:proofErr w:type="spellEnd"/>
      <w:r w:rsidRPr="00A16E12">
        <w:rPr>
          <w:rFonts w:ascii="Rockwell" w:eastAsia="Times New Roman" w:hAnsi="Rockwell" w:cs="Times New Roman"/>
          <w:b/>
          <w:bCs/>
          <w:sz w:val="18"/>
          <w:szCs w:val="18"/>
        </w:rPr>
        <w:t>, R. (2011).</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Inventory Accuracy in Healthcare: Challenges and Best Practices for Data Integrity and Stock Control</w:t>
      </w:r>
      <w:r w:rsidRPr="00A16E12">
        <w:rPr>
          <w:rFonts w:ascii="Rockwell" w:eastAsia="Times New Roman" w:hAnsi="Rockwell" w:cs="Times New Roman"/>
          <w:sz w:val="18"/>
          <w:szCs w:val="18"/>
        </w:rPr>
        <w:t>. Journal of Health Organization and Management, 25(4), 368-383.</w:t>
      </w:r>
    </w:p>
    <w:p w14:paraId="1AB6BA79"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r w:rsidRPr="00A16E12">
        <w:rPr>
          <w:rFonts w:ascii="Rockwell" w:eastAsia="Times New Roman" w:hAnsi="Rockwell" w:cs="Times New Roman"/>
          <w:b/>
          <w:bCs/>
          <w:sz w:val="18"/>
          <w:szCs w:val="18"/>
        </w:rPr>
        <w:t>Pires, S., &amp; Azevedo, S. G. (2012).</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The Role of Information Technology in Enhancing Supply Chain Efficiency and Transparency in Healthcare</w:t>
      </w:r>
      <w:r w:rsidRPr="00A16E12">
        <w:rPr>
          <w:rFonts w:ascii="Rockwell" w:eastAsia="Times New Roman" w:hAnsi="Rockwell" w:cs="Times New Roman"/>
          <w:sz w:val="18"/>
          <w:szCs w:val="18"/>
        </w:rPr>
        <w:t>. Journal of Enterprise Information Management, 25(2), 126-138.</w:t>
      </w:r>
    </w:p>
    <w:p w14:paraId="6F1C61E3" w14:textId="77777777" w:rsidR="00A16E12" w:rsidRPr="00A16E12" w:rsidRDefault="00A16E12" w:rsidP="00A16E12">
      <w:pPr>
        <w:numPr>
          <w:ilvl w:val="0"/>
          <w:numId w:val="7"/>
        </w:numPr>
        <w:spacing w:before="100" w:beforeAutospacing="1" w:after="100" w:afterAutospacing="1" w:line="240" w:lineRule="auto"/>
        <w:rPr>
          <w:rFonts w:ascii="Rockwell" w:eastAsia="Times New Roman" w:hAnsi="Rockwell" w:cs="Times New Roman"/>
          <w:sz w:val="18"/>
          <w:szCs w:val="18"/>
        </w:rPr>
      </w:pPr>
      <w:proofErr w:type="spellStart"/>
      <w:r w:rsidRPr="00A16E12">
        <w:rPr>
          <w:rFonts w:ascii="Rockwell" w:eastAsia="Times New Roman" w:hAnsi="Rockwell" w:cs="Times New Roman"/>
          <w:b/>
          <w:bCs/>
          <w:sz w:val="18"/>
          <w:szCs w:val="18"/>
        </w:rPr>
        <w:t>Tayur</w:t>
      </w:r>
      <w:proofErr w:type="spellEnd"/>
      <w:r w:rsidRPr="00A16E12">
        <w:rPr>
          <w:rFonts w:ascii="Rockwell" w:eastAsia="Times New Roman" w:hAnsi="Rockwell" w:cs="Times New Roman"/>
          <w:b/>
          <w:bCs/>
          <w:sz w:val="18"/>
          <w:szCs w:val="18"/>
        </w:rPr>
        <w:t xml:space="preserve">, S., </w:t>
      </w:r>
      <w:proofErr w:type="spellStart"/>
      <w:r w:rsidRPr="00A16E12">
        <w:rPr>
          <w:rFonts w:ascii="Rockwell" w:eastAsia="Times New Roman" w:hAnsi="Rockwell" w:cs="Times New Roman"/>
          <w:b/>
          <w:bCs/>
          <w:sz w:val="18"/>
          <w:szCs w:val="18"/>
        </w:rPr>
        <w:t>Ganeshan</w:t>
      </w:r>
      <w:proofErr w:type="spellEnd"/>
      <w:r w:rsidRPr="00A16E12">
        <w:rPr>
          <w:rFonts w:ascii="Rockwell" w:eastAsia="Times New Roman" w:hAnsi="Rockwell" w:cs="Times New Roman"/>
          <w:b/>
          <w:bCs/>
          <w:sz w:val="18"/>
          <w:szCs w:val="18"/>
        </w:rPr>
        <w:t>, R., &amp; Magazine, M. (2016).</w:t>
      </w:r>
      <w:r w:rsidRPr="00A16E12">
        <w:rPr>
          <w:rFonts w:ascii="Rockwell" w:eastAsia="Times New Roman" w:hAnsi="Rockwell" w:cs="Times New Roman"/>
          <w:sz w:val="18"/>
          <w:szCs w:val="18"/>
        </w:rPr>
        <w:t xml:space="preserve"> </w:t>
      </w:r>
      <w:r w:rsidRPr="00A16E12">
        <w:rPr>
          <w:rFonts w:ascii="Rockwell" w:eastAsia="Times New Roman" w:hAnsi="Rockwell" w:cs="Times New Roman"/>
          <w:i/>
          <w:iCs/>
          <w:sz w:val="18"/>
          <w:szCs w:val="18"/>
        </w:rPr>
        <w:t>Quantitative Models for Supply Chain Management: Applications in Healthcare Operations</w:t>
      </w:r>
      <w:r w:rsidRPr="00A16E12">
        <w:rPr>
          <w:rFonts w:ascii="Rockwell" w:eastAsia="Times New Roman" w:hAnsi="Rockwell" w:cs="Times New Roman"/>
          <w:sz w:val="18"/>
          <w:szCs w:val="18"/>
        </w:rPr>
        <w:t>. Springer-Verlag.</w:t>
      </w:r>
    </w:p>
    <w:p w14:paraId="2EE42891" w14:textId="77777777" w:rsidR="00A16E12" w:rsidRPr="00A16E12" w:rsidRDefault="00A16E12" w:rsidP="00A16E12">
      <w:pPr>
        <w:spacing w:after="0" w:line="240" w:lineRule="auto"/>
        <w:rPr>
          <w:rFonts w:ascii="Rockwell" w:eastAsia="Times New Roman" w:hAnsi="Rockwell" w:cs="Times New Roman"/>
          <w:sz w:val="24"/>
          <w:szCs w:val="24"/>
        </w:rPr>
      </w:pPr>
      <w:r w:rsidRPr="00A16E12">
        <w:rPr>
          <w:rFonts w:ascii="Rockwell" w:eastAsia="Times New Roman" w:hAnsi="Rockwell" w:cs="Times New Roman"/>
          <w:sz w:val="24"/>
          <w:szCs w:val="24"/>
        </w:rPr>
        <w:pict w14:anchorId="5C29E304">
          <v:rect id="_x0000_i1059" style="width:0;height:1.5pt" o:hralign="center" o:hrstd="t" o:hr="t" fillcolor="#a0a0a0" stroked="f"/>
        </w:pict>
      </w:r>
    </w:p>
    <w:p w14:paraId="604B0929" w14:textId="32F7C9C4" w:rsidR="00A16E12" w:rsidRPr="0045408F" w:rsidRDefault="00A16E12" w:rsidP="00A16E12">
      <w:pPr>
        <w:spacing w:before="100" w:beforeAutospacing="1" w:after="100" w:afterAutospacing="1" w:line="240" w:lineRule="auto"/>
        <w:rPr>
          <w:rFonts w:ascii="Rockwell" w:hAnsi="Rockwell"/>
        </w:rPr>
      </w:pPr>
    </w:p>
    <w:sectPr w:rsidR="00A16E12" w:rsidRPr="0045408F" w:rsidSect="004B4058">
      <w:footerReference w:type="default" r:id="rId10"/>
      <w:pgSz w:w="12240" w:h="15840"/>
      <w:pgMar w:top="1440" w:right="1440" w:bottom="1440" w:left="1440" w:header="720" w:footer="720" w:gutter="0"/>
      <w:pgBorders w:offsetFrom="page">
        <w:top w:val="single" w:sz="48" w:space="24" w:color="00B050"/>
        <w:left w:val="single" w:sz="48" w:space="24" w:color="00B050"/>
        <w:bottom w:val="single" w:sz="48" w:space="24" w:color="00B050"/>
        <w:right w:val="single" w:sz="48" w:space="24" w:color="00B05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07F1F" w14:textId="77777777" w:rsidR="00F46C52" w:rsidRDefault="00F46C52" w:rsidP="004B4058">
      <w:pPr>
        <w:spacing w:after="0" w:line="240" w:lineRule="auto"/>
      </w:pPr>
      <w:r>
        <w:separator/>
      </w:r>
    </w:p>
  </w:endnote>
  <w:endnote w:type="continuationSeparator" w:id="0">
    <w:p w14:paraId="2A042D92" w14:textId="77777777" w:rsidR="00F46C52" w:rsidRDefault="00F46C52" w:rsidP="004B4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3935749"/>
      <w:docPartObj>
        <w:docPartGallery w:val="Page Numbers (Bottom of Page)"/>
        <w:docPartUnique/>
      </w:docPartObj>
    </w:sdtPr>
    <w:sdtEndPr>
      <w:rPr>
        <w:noProof/>
      </w:rPr>
    </w:sdtEndPr>
    <w:sdtContent>
      <w:p w14:paraId="5BFD59C1" w14:textId="5841940D" w:rsidR="004B4058" w:rsidRDefault="004B40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C29DC8" w14:textId="77777777" w:rsidR="004B4058" w:rsidRDefault="004B4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9B69F" w14:textId="77777777" w:rsidR="00F46C52" w:rsidRDefault="00F46C52" w:rsidP="004B4058">
      <w:pPr>
        <w:spacing w:after="0" w:line="240" w:lineRule="auto"/>
      </w:pPr>
      <w:r>
        <w:separator/>
      </w:r>
    </w:p>
  </w:footnote>
  <w:footnote w:type="continuationSeparator" w:id="0">
    <w:p w14:paraId="2B46A8C2" w14:textId="77777777" w:rsidR="00F46C52" w:rsidRDefault="00F46C52" w:rsidP="004B40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77E"/>
    <w:multiLevelType w:val="multilevel"/>
    <w:tmpl w:val="0100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74040"/>
    <w:multiLevelType w:val="multilevel"/>
    <w:tmpl w:val="4F0E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B19AE"/>
    <w:multiLevelType w:val="multilevel"/>
    <w:tmpl w:val="D48A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E0633"/>
    <w:multiLevelType w:val="multilevel"/>
    <w:tmpl w:val="2A5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0422F"/>
    <w:multiLevelType w:val="multilevel"/>
    <w:tmpl w:val="A6B4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771E57"/>
    <w:multiLevelType w:val="multilevel"/>
    <w:tmpl w:val="6AAE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4F2777"/>
    <w:multiLevelType w:val="multilevel"/>
    <w:tmpl w:val="6232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1611E9"/>
    <w:multiLevelType w:val="multilevel"/>
    <w:tmpl w:val="A18A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2"/>
  </w:num>
  <w:num w:numId="4">
    <w:abstractNumId w:val="1"/>
  </w:num>
  <w:num w:numId="5">
    <w:abstractNumId w:val="6"/>
  </w:num>
  <w:num w:numId="6">
    <w:abstractNumId w:val="5"/>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12"/>
    <w:rsid w:val="00010149"/>
    <w:rsid w:val="000A09DE"/>
    <w:rsid w:val="00277B22"/>
    <w:rsid w:val="003C4A32"/>
    <w:rsid w:val="0045408F"/>
    <w:rsid w:val="004B4058"/>
    <w:rsid w:val="005A6399"/>
    <w:rsid w:val="006C2426"/>
    <w:rsid w:val="00825D7A"/>
    <w:rsid w:val="008642C3"/>
    <w:rsid w:val="009664DE"/>
    <w:rsid w:val="009B34A8"/>
    <w:rsid w:val="00A16E12"/>
    <w:rsid w:val="00AA2B52"/>
    <w:rsid w:val="00B30FEF"/>
    <w:rsid w:val="00E064C9"/>
    <w:rsid w:val="00EC78B5"/>
    <w:rsid w:val="00F46C52"/>
    <w:rsid w:val="00F63778"/>
    <w:rsid w:val="00F75E4D"/>
    <w:rsid w:val="00F81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4572"/>
  <w15:chartTrackingRefBased/>
  <w15:docId w15:val="{8DFE0E4D-DA5E-4A56-8DB3-7976562F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4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16E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6E12"/>
    <w:rPr>
      <w:rFonts w:ascii="Times New Roman" w:eastAsia="Times New Roman" w:hAnsi="Times New Roman" w:cs="Times New Roman"/>
      <w:b/>
      <w:bCs/>
      <w:sz w:val="36"/>
      <w:szCs w:val="36"/>
    </w:rPr>
  </w:style>
  <w:style w:type="paragraph" w:styleId="NormalWeb">
    <w:name w:val="Normal (Web)"/>
    <w:basedOn w:val="Normal"/>
    <w:uiPriority w:val="99"/>
    <w:unhideWhenUsed/>
    <w:rsid w:val="00A16E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6E12"/>
    <w:rPr>
      <w:b/>
      <w:bCs/>
    </w:rPr>
  </w:style>
  <w:style w:type="character" w:styleId="Emphasis">
    <w:name w:val="Emphasis"/>
    <w:basedOn w:val="DefaultParagraphFont"/>
    <w:uiPriority w:val="20"/>
    <w:qFormat/>
    <w:rsid w:val="00A16E12"/>
    <w:rPr>
      <w:i/>
      <w:iCs/>
    </w:rPr>
  </w:style>
  <w:style w:type="character" w:customStyle="1" w:styleId="Heading1Char">
    <w:name w:val="Heading 1 Char"/>
    <w:basedOn w:val="DefaultParagraphFont"/>
    <w:link w:val="Heading1"/>
    <w:uiPriority w:val="9"/>
    <w:rsid w:val="00E064C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064C9"/>
    <w:pPr>
      <w:outlineLvl w:val="9"/>
    </w:pPr>
  </w:style>
  <w:style w:type="paragraph" w:styleId="TOC1">
    <w:name w:val="toc 1"/>
    <w:basedOn w:val="Normal"/>
    <w:next w:val="Normal"/>
    <w:autoRedefine/>
    <w:uiPriority w:val="39"/>
    <w:unhideWhenUsed/>
    <w:rsid w:val="00E064C9"/>
    <w:pPr>
      <w:spacing w:after="100"/>
    </w:pPr>
  </w:style>
  <w:style w:type="paragraph" w:styleId="TOC2">
    <w:name w:val="toc 2"/>
    <w:basedOn w:val="Normal"/>
    <w:next w:val="Normal"/>
    <w:autoRedefine/>
    <w:uiPriority w:val="39"/>
    <w:unhideWhenUsed/>
    <w:rsid w:val="00E064C9"/>
    <w:pPr>
      <w:spacing w:after="100"/>
      <w:ind w:left="220"/>
    </w:pPr>
  </w:style>
  <w:style w:type="character" w:styleId="Hyperlink">
    <w:name w:val="Hyperlink"/>
    <w:basedOn w:val="DefaultParagraphFont"/>
    <w:uiPriority w:val="99"/>
    <w:unhideWhenUsed/>
    <w:rsid w:val="00E064C9"/>
    <w:rPr>
      <w:color w:val="0563C1" w:themeColor="hyperlink"/>
      <w:u w:val="single"/>
    </w:rPr>
  </w:style>
  <w:style w:type="paragraph" w:styleId="Header">
    <w:name w:val="header"/>
    <w:basedOn w:val="Normal"/>
    <w:link w:val="HeaderChar"/>
    <w:uiPriority w:val="99"/>
    <w:unhideWhenUsed/>
    <w:rsid w:val="004B4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058"/>
  </w:style>
  <w:style w:type="paragraph" w:styleId="Footer">
    <w:name w:val="footer"/>
    <w:basedOn w:val="Normal"/>
    <w:link w:val="FooterChar"/>
    <w:uiPriority w:val="99"/>
    <w:unhideWhenUsed/>
    <w:rsid w:val="004B4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5909">
      <w:bodyDiv w:val="1"/>
      <w:marLeft w:val="0"/>
      <w:marRight w:val="0"/>
      <w:marTop w:val="0"/>
      <w:marBottom w:val="0"/>
      <w:divBdr>
        <w:top w:val="none" w:sz="0" w:space="0" w:color="auto"/>
        <w:left w:val="none" w:sz="0" w:space="0" w:color="auto"/>
        <w:bottom w:val="none" w:sz="0" w:space="0" w:color="auto"/>
        <w:right w:val="none" w:sz="0" w:space="0" w:color="auto"/>
      </w:divBdr>
    </w:div>
    <w:div w:id="461078054">
      <w:bodyDiv w:val="1"/>
      <w:marLeft w:val="0"/>
      <w:marRight w:val="0"/>
      <w:marTop w:val="0"/>
      <w:marBottom w:val="0"/>
      <w:divBdr>
        <w:top w:val="none" w:sz="0" w:space="0" w:color="auto"/>
        <w:left w:val="none" w:sz="0" w:space="0" w:color="auto"/>
        <w:bottom w:val="none" w:sz="0" w:space="0" w:color="auto"/>
        <w:right w:val="none" w:sz="0" w:space="0" w:color="auto"/>
      </w:divBdr>
    </w:div>
    <w:div w:id="707416675">
      <w:bodyDiv w:val="1"/>
      <w:marLeft w:val="0"/>
      <w:marRight w:val="0"/>
      <w:marTop w:val="0"/>
      <w:marBottom w:val="0"/>
      <w:divBdr>
        <w:top w:val="none" w:sz="0" w:space="0" w:color="auto"/>
        <w:left w:val="none" w:sz="0" w:space="0" w:color="auto"/>
        <w:bottom w:val="none" w:sz="0" w:space="0" w:color="auto"/>
        <w:right w:val="none" w:sz="0" w:space="0" w:color="auto"/>
      </w:divBdr>
    </w:div>
    <w:div w:id="897781255">
      <w:bodyDiv w:val="1"/>
      <w:marLeft w:val="0"/>
      <w:marRight w:val="0"/>
      <w:marTop w:val="0"/>
      <w:marBottom w:val="0"/>
      <w:divBdr>
        <w:top w:val="none" w:sz="0" w:space="0" w:color="auto"/>
        <w:left w:val="none" w:sz="0" w:space="0" w:color="auto"/>
        <w:bottom w:val="none" w:sz="0" w:space="0" w:color="auto"/>
        <w:right w:val="none" w:sz="0" w:space="0" w:color="auto"/>
      </w:divBdr>
    </w:div>
    <w:div w:id="95193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[Book1]Sheet1!$B$1</c:f>
              <c:strCache>
                <c:ptCount val="1"/>
                <c:pt idx="0">
                  <c:v>Cost (ETB)</c:v>
                </c:pt>
              </c:strCache>
            </c:strRef>
          </c:tx>
          <c:spPr>
            <a:solidFill>
              <a:schemeClr val="accent1"/>
            </a:solidFill>
            <a:ln>
              <a:noFill/>
            </a:ln>
            <a:effectLst/>
            <a:sp3d/>
          </c:spPr>
          <c:invertIfNegative val="0"/>
          <c:cat>
            <c:strRef>
              <c:f>[Book1]Sheet1!$A$2:$A$6</c:f>
              <c:strCache>
                <c:ptCount val="5"/>
                <c:pt idx="0">
                  <c:v>Procurement Efficiency</c:v>
                </c:pt>
                <c:pt idx="1">
                  <c:v>Inventory Management</c:v>
                </c:pt>
                <c:pt idx="2">
                  <c:v>Supplier &amp; Distribution</c:v>
                </c:pt>
                <c:pt idx="3">
                  <c:v>Monitoring &amp; Reporting</c:v>
                </c:pt>
                <c:pt idx="4">
                  <c:v>Communication &amp; Coordination</c:v>
                </c:pt>
              </c:strCache>
            </c:strRef>
          </c:cat>
          <c:val>
            <c:numRef>
              <c:f>[Book1]Sheet1!$B$2:$B$6</c:f>
            </c:numRef>
          </c:val>
          <c:extLst>
            <c:ext xmlns:c16="http://schemas.microsoft.com/office/drawing/2014/chart" uri="{C3380CC4-5D6E-409C-BE32-E72D297353CC}">
              <c16:uniqueId val="{00000000-6216-4D41-A1D4-3216077DC1B9}"/>
            </c:ext>
          </c:extLst>
        </c:ser>
        <c:ser>
          <c:idx val="1"/>
          <c:order val="1"/>
          <c:tx>
            <c:strRef>
              <c:f>[Book1]Sheet1!$C$1</c:f>
              <c:strCache>
                <c:ptCount val="1"/>
                <c:pt idx="0">
                  <c:v>% of Total Cost</c:v>
                </c:pt>
              </c:strCache>
            </c:strRef>
          </c:tx>
          <c:spPr>
            <a:solidFill>
              <a:schemeClr val="accent2"/>
            </a:solidFill>
            <a:ln>
              <a:noFill/>
            </a:ln>
            <a:effectLst/>
            <a:sp3d/>
          </c:spPr>
          <c:invertIfNegative val="0"/>
          <c:cat>
            <c:strRef>
              <c:f>[Book1]Sheet1!$A$2:$A$6</c:f>
              <c:strCache>
                <c:ptCount val="5"/>
                <c:pt idx="0">
                  <c:v>Procurement Efficiency</c:v>
                </c:pt>
                <c:pt idx="1">
                  <c:v>Inventory Management</c:v>
                </c:pt>
                <c:pt idx="2">
                  <c:v>Supplier &amp; Distribution</c:v>
                </c:pt>
                <c:pt idx="3">
                  <c:v>Monitoring &amp; Reporting</c:v>
                </c:pt>
                <c:pt idx="4">
                  <c:v>Communication &amp; Coordination</c:v>
                </c:pt>
              </c:strCache>
            </c:strRef>
          </c:cat>
          <c:val>
            <c:numRef>
              <c:f>[Book1]Sheet1!$C$2:$C$6</c:f>
            </c:numRef>
          </c:val>
          <c:extLst>
            <c:ext xmlns:c16="http://schemas.microsoft.com/office/drawing/2014/chart" uri="{C3380CC4-5D6E-409C-BE32-E72D297353CC}">
              <c16:uniqueId val="{00000001-6216-4D41-A1D4-3216077DC1B9}"/>
            </c:ext>
          </c:extLst>
        </c:ser>
        <c:ser>
          <c:idx val="2"/>
          <c:order val="2"/>
          <c:tx>
            <c:strRef>
              <c:f>[Book1]Sheet1!$D$1</c:f>
              <c:strCache>
                <c:ptCount val="1"/>
                <c:pt idx="0">
                  <c:v>Adjusted Inefficiency %</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[Book1]Sheet1!$A$2:$A$6</c:f>
              <c:strCache>
                <c:ptCount val="5"/>
                <c:pt idx="0">
                  <c:v>Procurement Efficiency</c:v>
                </c:pt>
                <c:pt idx="1">
                  <c:v>Inventory Management</c:v>
                </c:pt>
                <c:pt idx="2">
                  <c:v>Supplier &amp; Distribution</c:v>
                </c:pt>
                <c:pt idx="3">
                  <c:v>Monitoring &amp; Reporting</c:v>
                </c:pt>
                <c:pt idx="4">
                  <c:v>Communication &amp; Coordination</c:v>
                </c:pt>
              </c:strCache>
            </c:strRef>
          </c:cat>
          <c:val>
            <c:numRef>
              <c:f>[Book1]Sheet1!$D$2:$D$6</c:f>
              <c:numCache>
                <c:formatCode>0.00%</c:formatCode>
                <c:ptCount val="5"/>
                <c:pt idx="0">
                  <c:v>5.4000000000000003E-3</c:v>
                </c:pt>
                <c:pt idx="1">
                  <c:v>2.6800000000000001E-2</c:v>
                </c:pt>
                <c:pt idx="2">
                  <c:v>3.9399999999999998E-2</c:v>
                </c:pt>
                <c:pt idx="3">
                  <c:v>7.6899999999999996E-2</c:v>
                </c:pt>
                <c:pt idx="4">
                  <c:v>2.1499999999999998E-2</c:v>
                </c:pt>
              </c:numCache>
            </c:numRef>
          </c:val>
          <c:extLst>
            <c:ext xmlns:c16="http://schemas.microsoft.com/office/drawing/2014/chart" uri="{C3380CC4-5D6E-409C-BE32-E72D297353CC}">
              <c16:uniqueId val="{00000002-6216-4D41-A1D4-3216077DC1B9}"/>
            </c:ext>
          </c:extLst>
        </c:ser>
        <c:dLbls>
          <c:showLegendKey val="0"/>
          <c:showVal val="0"/>
          <c:showCatName val="0"/>
          <c:showSerName val="0"/>
          <c:showPercent val="0"/>
          <c:showBubbleSize val="0"/>
        </c:dLbls>
        <c:gapWidth val="150"/>
        <c:shape val="box"/>
        <c:axId val="1688868031"/>
        <c:axId val="1688865951"/>
        <c:axId val="1734601151"/>
      </c:bar3DChart>
      <c:catAx>
        <c:axId val="1688868031"/>
        <c:scaling>
          <c:orientation val="minMax"/>
        </c:scaling>
        <c:delete val="1"/>
        <c:axPos val="b"/>
        <c:numFmt formatCode="General" sourceLinked="1"/>
        <c:majorTickMark val="none"/>
        <c:minorTickMark val="none"/>
        <c:tickLblPos val="nextTo"/>
        <c:crossAx val="1688865951"/>
        <c:crosses val="autoZero"/>
        <c:auto val="1"/>
        <c:lblAlgn val="ctr"/>
        <c:lblOffset val="100"/>
        <c:noMultiLvlLbl val="0"/>
      </c:catAx>
      <c:valAx>
        <c:axId val="168886595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688868031"/>
        <c:crosses val="autoZero"/>
        <c:crossBetween val="between"/>
      </c:valAx>
      <c:serAx>
        <c:axId val="1734601151"/>
        <c:scaling>
          <c:orientation val="minMax"/>
        </c:scaling>
        <c:delete val="1"/>
        <c:axPos val="b"/>
        <c:majorTickMark val="none"/>
        <c:minorTickMark val="none"/>
        <c:tickLblPos val="nextTo"/>
        <c:crossAx val="1688865951"/>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98693-2D8D-4E77-A862-2D66F1C11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11</Pages>
  <Words>2532</Words>
  <Characters>14438</Characters>
  <Application>Microsoft Office Word</Application>
  <DocSecurity>0</DocSecurity>
  <Lines>120</Lines>
  <Paragraphs>33</Paragraphs>
  <ScaleCrop>false</ScaleCrop>
  <Company/>
  <LinksUpToDate>false</LinksUpToDate>
  <CharactersWithSpaces>16937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37</cp:revision>
  <dcterms:created xsi:type="dcterms:W3CDTF">2025-07-10T00:01:00Z</dcterms:created>
  <dcterms:modified xsi:type="dcterms:W3CDTF">2025-07-10T01:01:00Z</dcterms:modified>
</cp:coreProperties>
</file>