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C361C" w14:textId="47B7C659" w:rsidR="00E878F7" w:rsidRPr="0095508A" w:rsidRDefault="0001255D" w:rsidP="0001255D">
      <w:pPr>
        <w:jc w:val="center"/>
        <w:rPr>
          <w:rFonts w:ascii="Rockwell" w:hAnsi="Rockwell" w:cs="Poppins"/>
          <w:b/>
          <w:bCs/>
          <w:sz w:val="36"/>
          <w:szCs w:val="36"/>
        </w:rPr>
      </w:pPr>
      <w:r>
        <w:rPr>
          <w:rFonts w:ascii="Rockwell" w:hAnsi="Rockwell" w:cs="Poppins"/>
          <w:b/>
          <w:bCs/>
          <w:noProof/>
          <w:sz w:val="36"/>
          <w:szCs w:val="36"/>
        </w:rPr>
        <w:drawing>
          <wp:inline distT="0" distB="0" distL="0" distR="0" wp14:anchorId="70412882" wp14:editId="1C6C6E72">
            <wp:extent cx="1819529" cy="169568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819529" cy="1695687"/>
                    </a:xfrm>
                    <a:prstGeom prst="rect">
                      <a:avLst/>
                    </a:prstGeom>
                  </pic:spPr>
                </pic:pic>
              </a:graphicData>
            </a:graphic>
          </wp:inline>
        </w:drawing>
      </w:r>
    </w:p>
    <w:p w14:paraId="0624A8BE" w14:textId="77777777" w:rsidR="00E878F7" w:rsidRPr="003978B9" w:rsidRDefault="00E878F7" w:rsidP="00E878F7">
      <w:pPr>
        <w:pStyle w:val="Heading1"/>
        <w:jc w:val="center"/>
        <w:rPr>
          <w:rFonts w:ascii="Rockwell" w:hAnsi="Rockwell" w:cs="Poppins"/>
          <w:b/>
          <w:bCs/>
          <w:sz w:val="56"/>
          <w:szCs w:val="56"/>
        </w:rPr>
      </w:pPr>
      <w:bookmarkStart w:id="0" w:name="_Toc202961184"/>
      <w:bookmarkStart w:id="1" w:name="_Toc202962661"/>
      <w:bookmarkStart w:id="2" w:name="_Toc202986002"/>
      <w:bookmarkStart w:id="3" w:name="_Toc202995226"/>
      <w:bookmarkStart w:id="4" w:name="_Toc202995324"/>
      <w:r w:rsidRPr="003978B9">
        <w:rPr>
          <w:rFonts w:ascii="Rockwell" w:hAnsi="Rockwell" w:cs="Poppins"/>
          <w:b/>
          <w:bCs/>
          <w:sz w:val="56"/>
          <w:szCs w:val="56"/>
        </w:rPr>
        <w:t>DEDER GENERAL HOSPITAL</w:t>
      </w:r>
      <w:bookmarkEnd w:id="0"/>
      <w:bookmarkEnd w:id="1"/>
      <w:bookmarkEnd w:id="2"/>
      <w:bookmarkEnd w:id="3"/>
      <w:bookmarkEnd w:id="4"/>
    </w:p>
    <w:p w14:paraId="476A28F6" w14:textId="77777777" w:rsidR="00E878F7" w:rsidRPr="0095508A" w:rsidRDefault="00E878F7" w:rsidP="00E878F7">
      <w:pPr>
        <w:pStyle w:val="Heading2"/>
        <w:jc w:val="center"/>
        <w:rPr>
          <w:rFonts w:ascii="Rockwell" w:hAnsi="Rockwell" w:cs="Poppins"/>
          <w:b/>
          <w:bCs/>
          <w:sz w:val="40"/>
          <w:szCs w:val="40"/>
        </w:rPr>
      </w:pPr>
      <w:bookmarkStart w:id="5" w:name="_Toc202961185"/>
      <w:bookmarkStart w:id="6" w:name="_Toc202962662"/>
      <w:bookmarkStart w:id="7" w:name="_Toc202986003"/>
      <w:bookmarkStart w:id="8" w:name="_Toc202995227"/>
      <w:bookmarkStart w:id="9" w:name="_Toc202995325"/>
      <w:r w:rsidRPr="0095508A">
        <w:rPr>
          <w:rFonts w:ascii="Rockwell" w:hAnsi="Rockwell" w:cs="Poppins"/>
          <w:b/>
          <w:bCs/>
          <w:sz w:val="40"/>
          <w:szCs w:val="40"/>
        </w:rPr>
        <w:t>SUPPLY CHAIN INEFFICIENCY ASSESSMENT REPORT</w:t>
      </w:r>
      <w:bookmarkEnd w:id="5"/>
      <w:bookmarkEnd w:id="6"/>
      <w:bookmarkEnd w:id="7"/>
      <w:bookmarkEnd w:id="8"/>
      <w:bookmarkEnd w:id="9"/>
    </w:p>
    <w:p w14:paraId="4EB23816" w14:textId="77777777" w:rsidR="00E878F7" w:rsidRPr="00D9329C" w:rsidRDefault="00E878F7" w:rsidP="00E878F7">
      <w:pPr>
        <w:pStyle w:val="Heading3"/>
        <w:rPr>
          <w:rFonts w:ascii="Rockwell" w:hAnsi="Rockwell"/>
          <w:sz w:val="48"/>
          <w:szCs w:val="48"/>
        </w:rPr>
      </w:pPr>
      <w:bookmarkStart w:id="10" w:name="_Toc202961186"/>
      <w:bookmarkStart w:id="11" w:name="_Toc202962663"/>
      <w:bookmarkStart w:id="12" w:name="_Toc202986004"/>
      <w:bookmarkStart w:id="13" w:name="_Toc202995228"/>
      <w:bookmarkStart w:id="14" w:name="_Toc202995326"/>
      <w:r w:rsidRPr="00D9329C">
        <w:rPr>
          <w:rFonts w:ascii="Rockwell" w:hAnsi="Rockwell"/>
          <w:sz w:val="48"/>
          <w:szCs w:val="48"/>
        </w:rPr>
        <w:t>QUARTER 3, 2015EC</w:t>
      </w:r>
      <w:bookmarkEnd w:id="10"/>
      <w:bookmarkEnd w:id="11"/>
      <w:bookmarkEnd w:id="12"/>
      <w:bookmarkEnd w:id="13"/>
      <w:bookmarkEnd w:id="14"/>
    </w:p>
    <w:p w14:paraId="758E2268" w14:textId="77777777" w:rsidR="00D9329C" w:rsidRDefault="00E878F7" w:rsidP="00E878F7">
      <w:pPr>
        <w:pStyle w:val="NormalWeb"/>
        <w:rPr>
          <w:rStyle w:val="Strong"/>
          <w:rFonts w:ascii="Rockwell" w:hAnsi="Rockwell"/>
        </w:rPr>
      </w:pPr>
      <w:r w:rsidRPr="0095508A">
        <w:rPr>
          <w:rStyle w:val="Strong"/>
          <w:rFonts w:ascii="Rockwell" w:hAnsi="Rockwell"/>
        </w:rPr>
        <w:t>By: DTC Committee</w:t>
      </w:r>
    </w:p>
    <w:p w14:paraId="492C6D56" w14:textId="77777777" w:rsidR="00D9329C" w:rsidRDefault="00D9329C" w:rsidP="00E878F7">
      <w:pPr>
        <w:pStyle w:val="NormalWeb"/>
        <w:rPr>
          <w:rStyle w:val="Strong"/>
          <w:rFonts w:ascii="Rockwell" w:hAnsi="Rockwell"/>
        </w:rPr>
      </w:pPr>
    </w:p>
    <w:p w14:paraId="57C6E154" w14:textId="77777777" w:rsidR="00D9329C" w:rsidRDefault="00D9329C" w:rsidP="00E878F7">
      <w:pPr>
        <w:pStyle w:val="NormalWeb"/>
        <w:rPr>
          <w:rStyle w:val="Strong"/>
          <w:rFonts w:ascii="Rockwell" w:hAnsi="Rockwell"/>
        </w:rPr>
      </w:pPr>
    </w:p>
    <w:p w14:paraId="581C2F27" w14:textId="77777777" w:rsidR="00D9329C" w:rsidRDefault="00D9329C" w:rsidP="00E878F7">
      <w:pPr>
        <w:pStyle w:val="NormalWeb"/>
        <w:rPr>
          <w:rStyle w:val="Strong"/>
          <w:rFonts w:ascii="Rockwell" w:hAnsi="Rockwell"/>
        </w:rPr>
      </w:pPr>
    </w:p>
    <w:p w14:paraId="4611C426" w14:textId="77777777" w:rsidR="00D9329C" w:rsidRDefault="00D9329C" w:rsidP="00E878F7">
      <w:pPr>
        <w:pStyle w:val="NormalWeb"/>
        <w:rPr>
          <w:rStyle w:val="Strong"/>
          <w:rFonts w:ascii="Rockwell" w:hAnsi="Rockwell"/>
        </w:rPr>
      </w:pPr>
    </w:p>
    <w:p w14:paraId="0D1CE649" w14:textId="77777777" w:rsidR="00D9329C" w:rsidRDefault="00D9329C" w:rsidP="00E878F7">
      <w:pPr>
        <w:pStyle w:val="NormalWeb"/>
        <w:rPr>
          <w:rStyle w:val="Strong"/>
          <w:rFonts w:ascii="Rockwell" w:hAnsi="Rockwell"/>
        </w:rPr>
      </w:pPr>
    </w:p>
    <w:p w14:paraId="2E718CB8" w14:textId="77777777" w:rsidR="00D9329C" w:rsidRDefault="00D9329C" w:rsidP="00E878F7">
      <w:pPr>
        <w:pStyle w:val="NormalWeb"/>
        <w:rPr>
          <w:rStyle w:val="Strong"/>
          <w:rFonts w:ascii="Rockwell" w:hAnsi="Rockwell"/>
        </w:rPr>
      </w:pPr>
    </w:p>
    <w:p w14:paraId="351CB8E2" w14:textId="77777777" w:rsidR="00D9329C" w:rsidRDefault="00D9329C" w:rsidP="00E878F7">
      <w:pPr>
        <w:pStyle w:val="NormalWeb"/>
        <w:rPr>
          <w:rStyle w:val="Strong"/>
          <w:rFonts w:ascii="Rockwell" w:hAnsi="Rockwell"/>
        </w:rPr>
      </w:pPr>
    </w:p>
    <w:p w14:paraId="15653404" w14:textId="77777777" w:rsidR="00D9329C" w:rsidRDefault="00D9329C" w:rsidP="00E878F7">
      <w:pPr>
        <w:pStyle w:val="NormalWeb"/>
        <w:rPr>
          <w:rStyle w:val="Strong"/>
          <w:rFonts w:ascii="Rockwell" w:hAnsi="Rockwell"/>
        </w:rPr>
      </w:pPr>
    </w:p>
    <w:p w14:paraId="1B1FEDB4" w14:textId="421EBBCE" w:rsidR="00D9329C" w:rsidRDefault="00E878F7" w:rsidP="00D23533">
      <w:pPr>
        <w:pStyle w:val="NormalWeb"/>
        <w:jc w:val="right"/>
        <w:rPr>
          <w:rFonts w:ascii="Rockwell" w:hAnsi="Rockwell"/>
          <w:b/>
          <w:bCs/>
        </w:rPr>
      </w:pPr>
      <w:r w:rsidRPr="0095508A">
        <w:rPr>
          <w:rFonts w:ascii="Rockwell" w:hAnsi="Rockwell"/>
          <w:b/>
          <w:bCs/>
        </w:rPr>
        <w:br/>
      </w:r>
      <w:proofErr w:type="spellStart"/>
      <w:r w:rsidRPr="0095508A">
        <w:rPr>
          <w:rFonts w:ascii="Rockwell" w:hAnsi="Rockwell"/>
          <w:b/>
          <w:bCs/>
        </w:rPr>
        <w:t>Deder</w:t>
      </w:r>
      <w:proofErr w:type="spellEnd"/>
      <w:r w:rsidRPr="0095508A">
        <w:rPr>
          <w:rFonts w:ascii="Rockwell" w:hAnsi="Rockwell"/>
          <w:b/>
          <w:bCs/>
        </w:rPr>
        <w:t>,  Ethiop</w:t>
      </w:r>
      <w:r w:rsidR="00D23533">
        <w:rPr>
          <w:rFonts w:ascii="Rockwell" w:hAnsi="Rockwell"/>
          <w:b/>
          <w:bCs/>
        </w:rPr>
        <w:t>ia</w:t>
      </w:r>
    </w:p>
    <w:p w14:paraId="0F740CF1" w14:textId="77777777" w:rsidR="00D9329C" w:rsidRPr="0095508A" w:rsidRDefault="00D9329C" w:rsidP="00E878F7">
      <w:pPr>
        <w:rPr>
          <w:rFonts w:ascii="Rockwell" w:hAnsi="Rockwell"/>
          <w:b/>
          <w:bCs/>
        </w:rPr>
      </w:pPr>
    </w:p>
    <w:p w14:paraId="7C671C5E" w14:textId="77777777" w:rsidR="00E878F7" w:rsidRPr="0095508A" w:rsidRDefault="00E878F7" w:rsidP="00E878F7">
      <w:pPr>
        <w:pStyle w:val="Heading2"/>
        <w:rPr>
          <w:rFonts w:ascii="Rockwell" w:hAnsi="Rockwell"/>
          <w:b/>
          <w:bCs/>
        </w:rPr>
      </w:pPr>
      <w:bookmarkStart w:id="15" w:name="_Toc202961187"/>
      <w:bookmarkStart w:id="16" w:name="_Toc202995327"/>
      <w:r w:rsidRPr="0095508A">
        <w:rPr>
          <w:rFonts w:ascii="Rockwell" w:hAnsi="Rockwell"/>
          <w:b/>
          <w:bCs/>
        </w:rPr>
        <w:lastRenderedPageBreak/>
        <w:t>Table of Contents</w:t>
      </w:r>
      <w:bookmarkEnd w:id="15"/>
      <w:bookmarkEnd w:id="16"/>
    </w:p>
    <w:sdt>
      <w:sdtPr>
        <w:rPr>
          <w:rFonts w:asciiTheme="minorHAnsi" w:eastAsiaTheme="minorHAnsi" w:hAnsiTheme="minorHAnsi" w:cstheme="minorBidi"/>
          <w:color w:val="auto"/>
          <w:sz w:val="22"/>
          <w:szCs w:val="22"/>
        </w:rPr>
        <w:id w:val="-471214432"/>
        <w:docPartObj>
          <w:docPartGallery w:val="Table of Contents"/>
          <w:docPartUnique/>
        </w:docPartObj>
      </w:sdtPr>
      <w:sdtEndPr>
        <w:rPr>
          <w:b/>
          <w:bCs/>
          <w:noProof/>
        </w:rPr>
      </w:sdtEndPr>
      <w:sdtContent>
        <w:p w14:paraId="7A8F6949" w14:textId="654BEDF1" w:rsidR="006F15B6" w:rsidRDefault="006F15B6">
          <w:pPr>
            <w:pStyle w:val="TOCHeading"/>
          </w:pPr>
          <w:r>
            <w:t>Contents</w:t>
          </w:r>
        </w:p>
        <w:p w14:paraId="0FB1ACD5" w14:textId="2552D83A" w:rsidR="003F3A8C" w:rsidRPr="003F3A8C" w:rsidRDefault="006F15B6" w:rsidP="003F3A8C">
          <w:pPr>
            <w:pStyle w:val="TOC1"/>
            <w:tabs>
              <w:tab w:val="right" w:leader="dot" w:pos="9350"/>
            </w:tabs>
            <w:rPr>
              <w:rFonts w:eastAsiaTheme="minorEastAsia"/>
              <w:noProof/>
            </w:rPr>
          </w:pPr>
          <w:r>
            <w:fldChar w:fldCharType="begin"/>
          </w:r>
          <w:r>
            <w:instrText xml:space="preserve"> TOC \o "1-3" \h \z \u </w:instrText>
          </w:r>
          <w:r>
            <w:fldChar w:fldCharType="separate"/>
          </w:r>
        </w:p>
        <w:p w14:paraId="2E401AB5" w14:textId="52A444AE" w:rsidR="003F3A8C" w:rsidRDefault="004A42D3">
          <w:pPr>
            <w:pStyle w:val="TOC2"/>
            <w:tabs>
              <w:tab w:val="right" w:leader="dot" w:pos="9350"/>
            </w:tabs>
            <w:rPr>
              <w:rFonts w:eastAsiaTheme="minorEastAsia"/>
              <w:noProof/>
            </w:rPr>
          </w:pPr>
          <w:hyperlink w:anchor="_Toc202995327" w:history="1">
            <w:r w:rsidR="003F3A8C" w:rsidRPr="00671E11">
              <w:rPr>
                <w:rStyle w:val="Hyperlink"/>
                <w:rFonts w:ascii="Rockwell" w:hAnsi="Rockwell"/>
                <w:b/>
                <w:bCs/>
                <w:noProof/>
              </w:rPr>
              <w:t>Table of Contents</w:t>
            </w:r>
            <w:r w:rsidR="003F3A8C">
              <w:rPr>
                <w:noProof/>
                <w:webHidden/>
              </w:rPr>
              <w:tab/>
            </w:r>
            <w:r w:rsidR="003F3A8C">
              <w:rPr>
                <w:noProof/>
                <w:webHidden/>
              </w:rPr>
              <w:fldChar w:fldCharType="begin"/>
            </w:r>
            <w:r w:rsidR="003F3A8C">
              <w:rPr>
                <w:noProof/>
                <w:webHidden/>
              </w:rPr>
              <w:instrText xml:space="preserve"> PAGEREF _Toc202995327 \h </w:instrText>
            </w:r>
            <w:r w:rsidR="003F3A8C">
              <w:rPr>
                <w:noProof/>
                <w:webHidden/>
              </w:rPr>
            </w:r>
            <w:r w:rsidR="003F3A8C">
              <w:rPr>
                <w:noProof/>
                <w:webHidden/>
              </w:rPr>
              <w:fldChar w:fldCharType="separate"/>
            </w:r>
            <w:r w:rsidR="003F3A8C">
              <w:rPr>
                <w:noProof/>
                <w:webHidden/>
              </w:rPr>
              <w:t>1</w:t>
            </w:r>
            <w:r w:rsidR="003F3A8C">
              <w:rPr>
                <w:noProof/>
                <w:webHidden/>
              </w:rPr>
              <w:fldChar w:fldCharType="end"/>
            </w:r>
          </w:hyperlink>
        </w:p>
        <w:p w14:paraId="6C4D557D" w14:textId="30156ACD" w:rsidR="003F3A8C" w:rsidRDefault="004A42D3">
          <w:pPr>
            <w:pStyle w:val="TOC2"/>
            <w:tabs>
              <w:tab w:val="right" w:leader="dot" w:pos="9350"/>
            </w:tabs>
            <w:rPr>
              <w:rFonts w:eastAsiaTheme="minorEastAsia"/>
              <w:noProof/>
            </w:rPr>
          </w:pPr>
          <w:hyperlink w:anchor="_Toc202995328" w:history="1">
            <w:r w:rsidR="003F3A8C" w:rsidRPr="00671E11">
              <w:rPr>
                <w:rStyle w:val="Hyperlink"/>
                <w:rFonts w:ascii="Rockwell" w:hAnsi="Rockwell"/>
                <w:b/>
                <w:bCs/>
                <w:noProof/>
              </w:rPr>
              <w:t>1. Executive Summary</w:t>
            </w:r>
            <w:r w:rsidR="003F3A8C">
              <w:rPr>
                <w:noProof/>
                <w:webHidden/>
              </w:rPr>
              <w:tab/>
            </w:r>
            <w:r w:rsidR="003F3A8C">
              <w:rPr>
                <w:noProof/>
                <w:webHidden/>
              </w:rPr>
              <w:fldChar w:fldCharType="begin"/>
            </w:r>
            <w:r w:rsidR="003F3A8C">
              <w:rPr>
                <w:noProof/>
                <w:webHidden/>
              </w:rPr>
              <w:instrText xml:space="preserve"> PAGEREF _Toc202995328 \h </w:instrText>
            </w:r>
            <w:r w:rsidR="003F3A8C">
              <w:rPr>
                <w:noProof/>
                <w:webHidden/>
              </w:rPr>
            </w:r>
            <w:r w:rsidR="003F3A8C">
              <w:rPr>
                <w:noProof/>
                <w:webHidden/>
              </w:rPr>
              <w:fldChar w:fldCharType="separate"/>
            </w:r>
            <w:r w:rsidR="003F3A8C">
              <w:rPr>
                <w:noProof/>
                <w:webHidden/>
              </w:rPr>
              <w:t>2</w:t>
            </w:r>
            <w:r w:rsidR="003F3A8C">
              <w:rPr>
                <w:noProof/>
                <w:webHidden/>
              </w:rPr>
              <w:fldChar w:fldCharType="end"/>
            </w:r>
          </w:hyperlink>
        </w:p>
        <w:p w14:paraId="6DD57E0A" w14:textId="62B7CE38" w:rsidR="003F3A8C" w:rsidRDefault="004A42D3">
          <w:pPr>
            <w:pStyle w:val="TOC2"/>
            <w:tabs>
              <w:tab w:val="right" w:leader="dot" w:pos="9350"/>
            </w:tabs>
            <w:rPr>
              <w:rFonts w:eastAsiaTheme="minorEastAsia"/>
              <w:noProof/>
            </w:rPr>
          </w:pPr>
          <w:hyperlink w:anchor="_Toc202995329" w:history="1">
            <w:r w:rsidR="003F3A8C" w:rsidRPr="00671E11">
              <w:rPr>
                <w:rStyle w:val="Hyperlink"/>
                <w:rFonts w:ascii="Rockwell" w:hAnsi="Rockwell"/>
                <w:b/>
                <w:bCs/>
                <w:noProof/>
              </w:rPr>
              <w:t>2. Introduction</w:t>
            </w:r>
            <w:r w:rsidR="003F3A8C">
              <w:rPr>
                <w:noProof/>
                <w:webHidden/>
              </w:rPr>
              <w:tab/>
            </w:r>
            <w:r w:rsidR="003F3A8C">
              <w:rPr>
                <w:noProof/>
                <w:webHidden/>
              </w:rPr>
              <w:fldChar w:fldCharType="begin"/>
            </w:r>
            <w:r w:rsidR="003F3A8C">
              <w:rPr>
                <w:noProof/>
                <w:webHidden/>
              </w:rPr>
              <w:instrText xml:space="preserve"> PAGEREF _Toc202995329 \h </w:instrText>
            </w:r>
            <w:r w:rsidR="003F3A8C">
              <w:rPr>
                <w:noProof/>
                <w:webHidden/>
              </w:rPr>
            </w:r>
            <w:r w:rsidR="003F3A8C">
              <w:rPr>
                <w:noProof/>
                <w:webHidden/>
              </w:rPr>
              <w:fldChar w:fldCharType="separate"/>
            </w:r>
            <w:r w:rsidR="003F3A8C">
              <w:rPr>
                <w:noProof/>
                <w:webHidden/>
              </w:rPr>
              <w:t>2</w:t>
            </w:r>
            <w:r w:rsidR="003F3A8C">
              <w:rPr>
                <w:noProof/>
                <w:webHidden/>
              </w:rPr>
              <w:fldChar w:fldCharType="end"/>
            </w:r>
          </w:hyperlink>
        </w:p>
        <w:p w14:paraId="3251398C" w14:textId="48B32DB0" w:rsidR="003F3A8C" w:rsidRDefault="004A42D3">
          <w:pPr>
            <w:pStyle w:val="TOC2"/>
            <w:tabs>
              <w:tab w:val="right" w:leader="dot" w:pos="9350"/>
            </w:tabs>
            <w:rPr>
              <w:rFonts w:eastAsiaTheme="minorEastAsia"/>
              <w:noProof/>
            </w:rPr>
          </w:pPr>
          <w:hyperlink w:anchor="_Toc202995330" w:history="1">
            <w:r w:rsidR="003F3A8C" w:rsidRPr="00671E11">
              <w:rPr>
                <w:rStyle w:val="Hyperlink"/>
                <w:rFonts w:ascii="Rockwell" w:hAnsi="Rockwell"/>
                <w:b/>
                <w:bCs/>
                <w:noProof/>
              </w:rPr>
              <w:t>3. Objectives of the Assessment</w:t>
            </w:r>
            <w:r w:rsidR="003F3A8C">
              <w:rPr>
                <w:noProof/>
                <w:webHidden/>
              </w:rPr>
              <w:tab/>
            </w:r>
            <w:r w:rsidR="003F3A8C">
              <w:rPr>
                <w:noProof/>
                <w:webHidden/>
              </w:rPr>
              <w:fldChar w:fldCharType="begin"/>
            </w:r>
            <w:r w:rsidR="003F3A8C">
              <w:rPr>
                <w:noProof/>
                <w:webHidden/>
              </w:rPr>
              <w:instrText xml:space="preserve"> PAGEREF _Toc202995330 \h </w:instrText>
            </w:r>
            <w:r w:rsidR="003F3A8C">
              <w:rPr>
                <w:noProof/>
                <w:webHidden/>
              </w:rPr>
            </w:r>
            <w:r w:rsidR="003F3A8C">
              <w:rPr>
                <w:noProof/>
                <w:webHidden/>
              </w:rPr>
              <w:fldChar w:fldCharType="separate"/>
            </w:r>
            <w:r w:rsidR="003F3A8C">
              <w:rPr>
                <w:noProof/>
                <w:webHidden/>
              </w:rPr>
              <w:t>2</w:t>
            </w:r>
            <w:r w:rsidR="003F3A8C">
              <w:rPr>
                <w:noProof/>
                <w:webHidden/>
              </w:rPr>
              <w:fldChar w:fldCharType="end"/>
            </w:r>
          </w:hyperlink>
        </w:p>
        <w:p w14:paraId="7104727C" w14:textId="20A35B45" w:rsidR="003F3A8C" w:rsidRPr="003F3A8C" w:rsidRDefault="004A42D3" w:rsidP="003F3A8C">
          <w:pPr>
            <w:pStyle w:val="TOC2"/>
            <w:tabs>
              <w:tab w:val="right" w:leader="dot" w:pos="9350"/>
            </w:tabs>
            <w:rPr>
              <w:rFonts w:eastAsiaTheme="minorEastAsia"/>
              <w:noProof/>
            </w:rPr>
          </w:pPr>
          <w:hyperlink w:anchor="_Toc202995331" w:history="1">
            <w:r w:rsidR="003F3A8C" w:rsidRPr="00671E11">
              <w:rPr>
                <w:rStyle w:val="Hyperlink"/>
                <w:rFonts w:ascii="Rockwell" w:hAnsi="Rockwell"/>
                <w:b/>
                <w:bCs/>
                <w:noProof/>
              </w:rPr>
              <w:t>4. Methodology</w:t>
            </w:r>
            <w:r w:rsidR="003F3A8C">
              <w:rPr>
                <w:noProof/>
                <w:webHidden/>
              </w:rPr>
              <w:tab/>
            </w:r>
            <w:r w:rsidR="003F3A8C">
              <w:rPr>
                <w:noProof/>
                <w:webHidden/>
              </w:rPr>
              <w:fldChar w:fldCharType="begin"/>
            </w:r>
            <w:r w:rsidR="003F3A8C">
              <w:rPr>
                <w:noProof/>
                <w:webHidden/>
              </w:rPr>
              <w:instrText xml:space="preserve"> PAGEREF _Toc202995331 \h </w:instrText>
            </w:r>
            <w:r w:rsidR="003F3A8C">
              <w:rPr>
                <w:noProof/>
                <w:webHidden/>
              </w:rPr>
            </w:r>
            <w:r w:rsidR="003F3A8C">
              <w:rPr>
                <w:noProof/>
                <w:webHidden/>
              </w:rPr>
              <w:fldChar w:fldCharType="separate"/>
            </w:r>
            <w:r w:rsidR="003F3A8C">
              <w:rPr>
                <w:noProof/>
                <w:webHidden/>
              </w:rPr>
              <w:t>3</w:t>
            </w:r>
            <w:r w:rsidR="003F3A8C">
              <w:rPr>
                <w:noProof/>
                <w:webHidden/>
              </w:rPr>
              <w:fldChar w:fldCharType="end"/>
            </w:r>
          </w:hyperlink>
        </w:p>
        <w:p w14:paraId="52A8EE04" w14:textId="47326399" w:rsidR="003F3A8C" w:rsidRDefault="004A42D3">
          <w:pPr>
            <w:pStyle w:val="TOC2"/>
            <w:tabs>
              <w:tab w:val="right" w:leader="dot" w:pos="9350"/>
            </w:tabs>
            <w:rPr>
              <w:rFonts w:eastAsiaTheme="minorEastAsia"/>
              <w:noProof/>
            </w:rPr>
          </w:pPr>
          <w:hyperlink w:anchor="_Toc202995336" w:history="1">
            <w:r w:rsidR="003F3A8C" w:rsidRPr="00671E11">
              <w:rPr>
                <w:rStyle w:val="Hyperlink"/>
                <w:rFonts w:ascii="Rockwell" w:eastAsia="Times New Roman" w:hAnsi="Rockwell" w:cs="Times New Roman"/>
                <w:b/>
                <w:bCs/>
                <w:noProof/>
              </w:rPr>
              <w:t>5. Cost Calculation Formulas</w:t>
            </w:r>
            <w:r w:rsidR="003F3A8C">
              <w:rPr>
                <w:noProof/>
                <w:webHidden/>
              </w:rPr>
              <w:tab/>
            </w:r>
            <w:r w:rsidR="003F3A8C">
              <w:rPr>
                <w:noProof/>
                <w:webHidden/>
              </w:rPr>
              <w:fldChar w:fldCharType="begin"/>
            </w:r>
            <w:r w:rsidR="003F3A8C">
              <w:rPr>
                <w:noProof/>
                <w:webHidden/>
              </w:rPr>
              <w:instrText xml:space="preserve"> PAGEREF _Toc202995336 \h </w:instrText>
            </w:r>
            <w:r w:rsidR="003F3A8C">
              <w:rPr>
                <w:noProof/>
                <w:webHidden/>
              </w:rPr>
            </w:r>
            <w:r w:rsidR="003F3A8C">
              <w:rPr>
                <w:noProof/>
                <w:webHidden/>
              </w:rPr>
              <w:fldChar w:fldCharType="separate"/>
            </w:r>
            <w:r w:rsidR="003F3A8C">
              <w:rPr>
                <w:noProof/>
                <w:webHidden/>
              </w:rPr>
              <w:t>3</w:t>
            </w:r>
            <w:r w:rsidR="003F3A8C">
              <w:rPr>
                <w:noProof/>
                <w:webHidden/>
              </w:rPr>
              <w:fldChar w:fldCharType="end"/>
            </w:r>
          </w:hyperlink>
        </w:p>
        <w:p w14:paraId="35BFE9BE" w14:textId="7868C278" w:rsidR="003F3A8C" w:rsidRDefault="004A42D3">
          <w:pPr>
            <w:pStyle w:val="TOC2"/>
            <w:tabs>
              <w:tab w:val="right" w:leader="dot" w:pos="9350"/>
            </w:tabs>
            <w:rPr>
              <w:rFonts w:eastAsiaTheme="minorEastAsia"/>
              <w:noProof/>
            </w:rPr>
          </w:pPr>
          <w:hyperlink w:anchor="_Toc202995337" w:history="1">
            <w:r w:rsidR="003F3A8C" w:rsidRPr="00671E11">
              <w:rPr>
                <w:rStyle w:val="Hyperlink"/>
                <w:rFonts w:ascii="Rockwell" w:hAnsi="Rockwell"/>
                <w:b/>
                <w:bCs/>
                <w:noProof/>
              </w:rPr>
              <w:t>6. Inefficiency Summary Table (Q3 2015EC)</w:t>
            </w:r>
            <w:r w:rsidR="003F3A8C">
              <w:rPr>
                <w:noProof/>
                <w:webHidden/>
              </w:rPr>
              <w:tab/>
            </w:r>
            <w:r w:rsidR="003F3A8C">
              <w:rPr>
                <w:noProof/>
                <w:webHidden/>
              </w:rPr>
              <w:fldChar w:fldCharType="begin"/>
            </w:r>
            <w:r w:rsidR="003F3A8C">
              <w:rPr>
                <w:noProof/>
                <w:webHidden/>
              </w:rPr>
              <w:instrText xml:space="preserve"> PAGEREF _Toc202995337 \h </w:instrText>
            </w:r>
            <w:r w:rsidR="003F3A8C">
              <w:rPr>
                <w:noProof/>
                <w:webHidden/>
              </w:rPr>
            </w:r>
            <w:r w:rsidR="003F3A8C">
              <w:rPr>
                <w:noProof/>
                <w:webHidden/>
              </w:rPr>
              <w:fldChar w:fldCharType="separate"/>
            </w:r>
            <w:r w:rsidR="003F3A8C">
              <w:rPr>
                <w:noProof/>
                <w:webHidden/>
              </w:rPr>
              <w:t>6</w:t>
            </w:r>
            <w:r w:rsidR="003F3A8C">
              <w:rPr>
                <w:noProof/>
                <w:webHidden/>
              </w:rPr>
              <w:fldChar w:fldCharType="end"/>
            </w:r>
          </w:hyperlink>
        </w:p>
        <w:p w14:paraId="1E76F325" w14:textId="475B03E7" w:rsidR="003F3A8C" w:rsidRDefault="004A42D3">
          <w:pPr>
            <w:pStyle w:val="TOC2"/>
            <w:tabs>
              <w:tab w:val="right" w:leader="dot" w:pos="9350"/>
            </w:tabs>
            <w:rPr>
              <w:rFonts w:eastAsiaTheme="minorEastAsia"/>
              <w:noProof/>
            </w:rPr>
          </w:pPr>
          <w:hyperlink w:anchor="_Toc202995338" w:history="1">
            <w:r w:rsidR="003F3A8C" w:rsidRPr="00671E11">
              <w:rPr>
                <w:rStyle w:val="Hyperlink"/>
                <w:rFonts w:ascii="Rockwell" w:hAnsi="Rockwell"/>
                <w:b/>
                <w:bCs/>
                <w:noProof/>
              </w:rPr>
              <w:t>7. Assessment Results</w:t>
            </w:r>
            <w:r w:rsidR="003F3A8C">
              <w:rPr>
                <w:noProof/>
                <w:webHidden/>
              </w:rPr>
              <w:tab/>
            </w:r>
            <w:r w:rsidR="003F3A8C">
              <w:rPr>
                <w:noProof/>
                <w:webHidden/>
              </w:rPr>
              <w:fldChar w:fldCharType="begin"/>
            </w:r>
            <w:r w:rsidR="003F3A8C">
              <w:rPr>
                <w:noProof/>
                <w:webHidden/>
              </w:rPr>
              <w:instrText xml:space="preserve"> PAGEREF _Toc202995338 \h </w:instrText>
            </w:r>
            <w:r w:rsidR="003F3A8C">
              <w:rPr>
                <w:noProof/>
                <w:webHidden/>
              </w:rPr>
            </w:r>
            <w:r w:rsidR="003F3A8C">
              <w:rPr>
                <w:noProof/>
                <w:webHidden/>
              </w:rPr>
              <w:fldChar w:fldCharType="separate"/>
            </w:r>
            <w:r w:rsidR="003F3A8C">
              <w:rPr>
                <w:noProof/>
                <w:webHidden/>
              </w:rPr>
              <w:t>7</w:t>
            </w:r>
            <w:r w:rsidR="003F3A8C">
              <w:rPr>
                <w:noProof/>
                <w:webHidden/>
              </w:rPr>
              <w:fldChar w:fldCharType="end"/>
            </w:r>
          </w:hyperlink>
        </w:p>
        <w:p w14:paraId="545A931B" w14:textId="564A4EE3" w:rsidR="003F3A8C" w:rsidRDefault="004A42D3">
          <w:pPr>
            <w:pStyle w:val="TOC2"/>
            <w:tabs>
              <w:tab w:val="right" w:leader="dot" w:pos="9350"/>
            </w:tabs>
            <w:rPr>
              <w:rFonts w:eastAsiaTheme="minorEastAsia"/>
              <w:noProof/>
            </w:rPr>
          </w:pPr>
          <w:hyperlink w:anchor="_Toc202995339" w:history="1">
            <w:r w:rsidR="003F3A8C" w:rsidRPr="00671E11">
              <w:rPr>
                <w:rStyle w:val="Hyperlink"/>
                <w:rFonts w:ascii="Rockwell" w:hAnsi="Rockwell"/>
                <w:b/>
                <w:bCs/>
                <w:noProof/>
              </w:rPr>
              <w:t>8. Risk Assessment</w:t>
            </w:r>
            <w:r w:rsidR="003F3A8C">
              <w:rPr>
                <w:noProof/>
                <w:webHidden/>
              </w:rPr>
              <w:tab/>
            </w:r>
            <w:r w:rsidR="003F3A8C">
              <w:rPr>
                <w:noProof/>
                <w:webHidden/>
              </w:rPr>
              <w:fldChar w:fldCharType="begin"/>
            </w:r>
            <w:r w:rsidR="003F3A8C">
              <w:rPr>
                <w:noProof/>
                <w:webHidden/>
              </w:rPr>
              <w:instrText xml:space="preserve"> PAGEREF _Toc202995339 \h </w:instrText>
            </w:r>
            <w:r w:rsidR="003F3A8C">
              <w:rPr>
                <w:noProof/>
                <w:webHidden/>
              </w:rPr>
            </w:r>
            <w:r w:rsidR="003F3A8C">
              <w:rPr>
                <w:noProof/>
                <w:webHidden/>
              </w:rPr>
              <w:fldChar w:fldCharType="separate"/>
            </w:r>
            <w:r w:rsidR="003F3A8C">
              <w:rPr>
                <w:noProof/>
                <w:webHidden/>
              </w:rPr>
              <w:t>8</w:t>
            </w:r>
            <w:r w:rsidR="003F3A8C">
              <w:rPr>
                <w:noProof/>
                <w:webHidden/>
              </w:rPr>
              <w:fldChar w:fldCharType="end"/>
            </w:r>
          </w:hyperlink>
        </w:p>
        <w:p w14:paraId="31CA4348" w14:textId="7492792E" w:rsidR="003F3A8C" w:rsidRDefault="003F3A8C">
          <w:pPr>
            <w:pStyle w:val="TOC1"/>
            <w:tabs>
              <w:tab w:val="right" w:leader="dot" w:pos="9350"/>
            </w:tabs>
            <w:rPr>
              <w:rFonts w:eastAsiaTheme="minorEastAsia"/>
              <w:noProof/>
            </w:rPr>
          </w:pPr>
          <w:r>
            <w:rPr>
              <w:rStyle w:val="Hyperlink"/>
              <w:noProof/>
            </w:rPr>
            <w:t xml:space="preserve">     </w:t>
          </w:r>
          <w:hyperlink w:anchor="_Toc202995340" w:history="1">
            <w:r w:rsidRPr="00671E11">
              <w:rPr>
                <w:rStyle w:val="Hyperlink"/>
                <w:rFonts w:ascii="Rockwell" w:hAnsi="Rockwell"/>
                <w:noProof/>
              </w:rPr>
              <w:t>9. Discussion</w:t>
            </w:r>
            <w:r>
              <w:rPr>
                <w:noProof/>
                <w:webHidden/>
              </w:rPr>
              <w:tab/>
            </w:r>
            <w:r>
              <w:rPr>
                <w:noProof/>
                <w:webHidden/>
              </w:rPr>
              <w:fldChar w:fldCharType="begin"/>
            </w:r>
            <w:r>
              <w:rPr>
                <w:noProof/>
                <w:webHidden/>
              </w:rPr>
              <w:instrText xml:space="preserve"> PAGEREF _Toc202995340 \h </w:instrText>
            </w:r>
            <w:r>
              <w:rPr>
                <w:noProof/>
                <w:webHidden/>
              </w:rPr>
            </w:r>
            <w:r>
              <w:rPr>
                <w:noProof/>
                <w:webHidden/>
              </w:rPr>
              <w:fldChar w:fldCharType="separate"/>
            </w:r>
            <w:r>
              <w:rPr>
                <w:noProof/>
                <w:webHidden/>
              </w:rPr>
              <w:t>8</w:t>
            </w:r>
            <w:r>
              <w:rPr>
                <w:noProof/>
                <w:webHidden/>
              </w:rPr>
              <w:fldChar w:fldCharType="end"/>
            </w:r>
          </w:hyperlink>
        </w:p>
        <w:p w14:paraId="3783FE25" w14:textId="0C1582FE" w:rsidR="003F3A8C" w:rsidRDefault="004A42D3">
          <w:pPr>
            <w:pStyle w:val="TOC2"/>
            <w:tabs>
              <w:tab w:val="right" w:leader="dot" w:pos="9350"/>
            </w:tabs>
            <w:rPr>
              <w:rFonts w:eastAsiaTheme="minorEastAsia"/>
              <w:noProof/>
            </w:rPr>
          </w:pPr>
          <w:hyperlink w:anchor="_Toc202995341" w:history="1">
            <w:r w:rsidR="003F3A8C" w:rsidRPr="00671E11">
              <w:rPr>
                <w:rStyle w:val="Hyperlink"/>
                <w:rFonts w:ascii="Rockwell" w:hAnsi="Rockwell"/>
                <w:b/>
                <w:bCs/>
                <w:noProof/>
              </w:rPr>
              <w:t>10. Action Plan</w:t>
            </w:r>
            <w:r w:rsidR="003F3A8C">
              <w:rPr>
                <w:noProof/>
                <w:webHidden/>
              </w:rPr>
              <w:tab/>
            </w:r>
            <w:r w:rsidR="003F3A8C">
              <w:rPr>
                <w:noProof/>
                <w:webHidden/>
              </w:rPr>
              <w:fldChar w:fldCharType="begin"/>
            </w:r>
            <w:r w:rsidR="003F3A8C">
              <w:rPr>
                <w:noProof/>
                <w:webHidden/>
              </w:rPr>
              <w:instrText xml:space="preserve"> PAGEREF _Toc202995341 \h </w:instrText>
            </w:r>
            <w:r w:rsidR="003F3A8C">
              <w:rPr>
                <w:noProof/>
                <w:webHidden/>
              </w:rPr>
            </w:r>
            <w:r w:rsidR="003F3A8C">
              <w:rPr>
                <w:noProof/>
                <w:webHidden/>
              </w:rPr>
              <w:fldChar w:fldCharType="separate"/>
            </w:r>
            <w:r w:rsidR="003F3A8C">
              <w:rPr>
                <w:noProof/>
                <w:webHidden/>
              </w:rPr>
              <w:t>10</w:t>
            </w:r>
            <w:r w:rsidR="003F3A8C">
              <w:rPr>
                <w:noProof/>
                <w:webHidden/>
              </w:rPr>
              <w:fldChar w:fldCharType="end"/>
            </w:r>
          </w:hyperlink>
        </w:p>
        <w:p w14:paraId="5DB994E0" w14:textId="44230D74" w:rsidR="003F3A8C" w:rsidRDefault="004A42D3">
          <w:pPr>
            <w:pStyle w:val="TOC2"/>
            <w:tabs>
              <w:tab w:val="right" w:leader="dot" w:pos="9350"/>
            </w:tabs>
            <w:rPr>
              <w:rFonts w:eastAsiaTheme="minorEastAsia"/>
              <w:noProof/>
            </w:rPr>
          </w:pPr>
          <w:hyperlink w:anchor="_Toc202995342" w:history="1">
            <w:r w:rsidR="003F3A8C" w:rsidRPr="00671E11">
              <w:rPr>
                <w:rStyle w:val="Hyperlink"/>
                <w:rFonts w:ascii="Rockwell" w:hAnsi="Rockwell"/>
                <w:b/>
                <w:bCs/>
                <w:noProof/>
              </w:rPr>
              <w:t>11. Recommendations and Utilization Plan</w:t>
            </w:r>
            <w:r w:rsidR="003F3A8C">
              <w:rPr>
                <w:noProof/>
                <w:webHidden/>
              </w:rPr>
              <w:tab/>
            </w:r>
            <w:r w:rsidR="003F3A8C">
              <w:rPr>
                <w:noProof/>
                <w:webHidden/>
              </w:rPr>
              <w:fldChar w:fldCharType="begin"/>
            </w:r>
            <w:r w:rsidR="003F3A8C">
              <w:rPr>
                <w:noProof/>
                <w:webHidden/>
              </w:rPr>
              <w:instrText xml:space="preserve"> PAGEREF _Toc202995342 \h </w:instrText>
            </w:r>
            <w:r w:rsidR="003F3A8C">
              <w:rPr>
                <w:noProof/>
                <w:webHidden/>
              </w:rPr>
            </w:r>
            <w:r w:rsidR="003F3A8C">
              <w:rPr>
                <w:noProof/>
                <w:webHidden/>
              </w:rPr>
              <w:fldChar w:fldCharType="separate"/>
            </w:r>
            <w:r w:rsidR="003F3A8C">
              <w:rPr>
                <w:noProof/>
                <w:webHidden/>
              </w:rPr>
              <w:t>10</w:t>
            </w:r>
            <w:r w:rsidR="003F3A8C">
              <w:rPr>
                <w:noProof/>
                <w:webHidden/>
              </w:rPr>
              <w:fldChar w:fldCharType="end"/>
            </w:r>
          </w:hyperlink>
        </w:p>
        <w:p w14:paraId="3391417F" w14:textId="5E7B237D" w:rsidR="003F3A8C" w:rsidRDefault="004A42D3">
          <w:pPr>
            <w:pStyle w:val="TOC2"/>
            <w:tabs>
              <w:tab w:val="right" w:leader="dot" w:pos="9350"/>
            </w:tabs>
            <w:rPr>
              <w:rFonts w:eastAsiaTheme="minorEastAsia"/>
              <w:noProof/>
            </w:rPr>
          </w:pPr>
          <w:hyperlink w:anchor="_Toc202995343" w:history="1">
            <w:r w:rsidR="003F3A8C" w:rsidRPr="00671E11">
              <w:rPr>
                <w:rStyle w:val="Hyperlink"/>
                <w:rFonts w:ascii="Rockwell" w:hAnsi="Rockwell"/>
                <w:b/>
                <w:bCs/>
                <w:noProof/>
              </w:rPr>
              <w:t>12. Conclusion</w:t>
            </w:r>
            <w:r w:rsidR="003F3A8C">
              <w:rPr>
                <w:noProof/>
                <w:webHidden/>
              </w:rPr>
              <w:tab/>
            </w:r>
            <w:r w:rsidR="003F3A8C">
              <w:rPr>
                <w:noProof/>
                <w:webHidden/>
              </w:rPr>
              <w:fldChar w:fldCharType="begin"/>
            </w:r>
            <w:r w:rsidR="003F3A8C">
              <w:rPr>
                <w:noProof/>
                <w:webHidden/>
              </w:rPr>
              <w:instrText xml:space="preserve"> PAGEREF _Toc202995343 \h </w:instrText>
            </w:r>
            <w:r w:rsidR="003F3A8C">
              <w:rPr>
                <w:noProof/>
                <w:webHidden/>
              </w:rPr>
            </w:r>
            <w:r w:rsidR="003F3A8C">
              <w:rPr>
                <w:noProof/>
                <w:webHidden/>
              </w:rPr>
              <w:fldChar w:fldCharType="separate"/>
            </w:r>
            <w:r w:rsidR="003F3A8C">
              <w:rPr>
                <w:noProof/>
                <w:webHidden/>
              </w:rPr>
              <w:t>11</w:t>
            </w:r>
            <w:r w:rsidR="003F3A8C">
              <w:rPr>
                <w:noProof/>
                <w:webHidden/>
              </w:rPr>
              <w:fldChar w:fldCharType="end"/>
            </w:r>
          </w:hyperlink>
        </w:p>
        <w:p w14:paraId="668A8318" w14:textId="3183C0E3" w:rsidR="003F3A8C" w:rsidRDefault="004A42D3">
          <w:pPr>
            <w:pStyle w:val="TOC2"/>
            <w:tabs>
              <w:tab w:val="left" w:pos="660"/>
              <w:tab w:val="right" w:leader="dot" w:pos="9350"/>
            </w:tabs>
            <w:rPr>
              <w:rFonts w:eastAsiaTheme="minorEastAsia"/>
              <w:noProof/>
            </w:rPr>
          </w:pPr>
          <w:hyperlink w:anchor="_Toc202995344" w:history="1">
            <w:r w:rsidR="003F3A8C" w:rsidRPr="00671E11">
              <w:rPr>
                <w:rStyle w:val="Hyperlink"/>
                <w:rFonts w:ascii="Rockwell" w:hAnsi="Rockwell"/>
                <w:b/>
                <w:bCs/>
                <w:noProof/>
              </w:rPr>
              <w:t>13. References</w:t>
            </w:r>
            <w:r w:rsidR="003F3A8C">
              <w:rPr>
                <w:noProof/>
                <w:webHidden/>
              </w:rPr>
              <w:tab/>
            </w:r>
            <w:r w:rsidR="003F3A8C">
              <w:rPr>
                <w:noProof/>
                <w:webHidden/>
              </w:rPr>
              <w:fldChar w:fldCharType="begin"/>
            </w:r>
            <w:r w:rsidR="003F3A8C">
              <w:rPr>
                <w:noProof/>
                <w:webHidden/>
              </w:rPr>
              <w:instrText xml:space="preserve"> PAGEREF _Toc202995344 \h </w:instrText>
            </w:r>
            <w:r w:rsidR="003F3A8C">
              <w:rPr>
                <w:noProof/>
                <w:webHidden/>
              </w:rPr>
            </w:r>
            <w:r w:rsidR="003F3A8C">
              <w:rPr>
                <w:noProof/>
                <w:webHidden/>
              </w:rPr>
              <w:fldChar w:fldCharType="separate"/>
            </w:r>
            <w:r w:rsidR="003F3A8C">
              <w:rPr>
                <w:noProof/>
                <w:webHidden/>
              </w:rPr>
              <w:t>12</w:t>
            </w:r>
            <w:r w:rsidR="003F3A8C">
              <w:rPr>
                <w:noProof/>
                <w:webHidden/>
              </w:rPr>
              <w:fldChar w:fldCharType="end"/>
            </w:r>
          </w:hyperlink>
        </w:p>
        <w:p w14:paraId="6AC71F4F" w14:textId="6AD42760" w:rsidR="006F15B6" w:rsidRDefault="006F15B6">
          <w:r>
            <w:rPr>
              <w:b/>
              <w:bCs/>
              <w:noProof/>
            </w:rPr>
            <w:fldChar w:fldCharType="end"/>
          </w:r>
        </w:p>
      </w:sdtContent>
    </w:sdt>
    <w:p w14:paraId="12692666" w14:textId="77777777" w:rsidR="006F15B6" w:rsidRDefault="006F15B6" w:rsidP="00E878F7">
      <w:pPr>
        <w:rPr>
          <w:rFonts w:ascii="Rockwell" w:hAnsi="Rockwell"/>
          <w:b/>
          <w:bCs/>
        </w:rPr>
      </w:pPr>
    </w:p>
    <w:p w14:paraId="31969ABA" w14:textId="77777777" w:rsidR="00A84307" w:rsidRDefault="00A84307" w:rsidP="00E878F7">
      <w:pPr>
        <w:rPr>
          <w:rFonts w:ascii="Rockwell" w:hAnsi="Rockwell"/>
          <w:b/>
          <w:bCs/>
        </w:rPr>
      </w:pPr>
    </w:p>
    <w:p w14:paraId="07D05E05" w14:textId="21150D68" w:rsidR="00A84307" w:rsidRDefault="00A84307" w:rsidP="00E878F7">
      <w:pPr>
        <w:rPr>
          <w:rFonts w:ascii="Rockwell" w:hAnsi="Rockwell"/>
          <w:b/>
          <w:bCs/>
        </w:rPr>
      </w:pPr>
    </w:p>
    <w:p w14:paraId="3FB000C2" w14:textId="5E19F23C" w:rsidR="00CA7256" w:rsidRDefault="00CA7256" w:rsidP="00E878F7">
      <w:pPr>
        <w:rPr>
          <w:rFonts w:ascii="Rockwell" w:hAnsi="Rockwell"/>
          <w:b/>
          <w:bCs/>
        </w:rPr>
      </w:pPr>
    </w:p>
    <w:p w14:paraId="246EC6E2" w14:textId="48D092D5" w:rsidR="00CA7256" w:rsidRDefault="00CA7256" w:rsidP="00E878F7">
      <w:pPr>
        <w:rPr>
          <w:rFonts w:ascii="Rockwell" w:hAnsi="Rockwell"/>
          <w:b/>
          <w:bCs/>
        </w:rPr>
      </w:pPr>
    </w:p>
    <w:p w14:paraId="049DE134" w14:textId="77777777" w:rsidR="00CA7256" w:rsidRDefault="00CA7256" w:rsidP="00E878F7">
      <w:pPr>
        <w:rPr>
          <w:rFonts w:ascii="Rockwell" w:hAnsi="Rockwell"/>
          <w:b/>
          <w:bCs/>
        </w:rPr>
      </w:pPr>
    </w:p>
    <w:p w14:paraId="09A4D18F" w14:textId="77777777" w:rsidR="00A84307" w:rsidRDefault="00A84307" w:rsidP="00E878F7">
      <w:pPr>
        <w:rPr>
          <w:rFonts w:ascii="Rockwell" w:hAnsi="Rockwell"/>
          <w:b/>
          <w:bCs/>
        </w:rPr>
      </w:pPr>
    </w:p>
    <w:p w14:paraId="7E88B431" w14:textId="77777777" w:rsidR="00A84307" w:rsidRDefault="00A84307" w:rsidP="00E878F7">
      <w:pPr>
        <w:rPr>
          <w:rFonts w:ascii="Rockwell" w:hAnsi="Rockwell"/>
          <w:b/>
          <w:bCs/>
        </w:rPr>
      </w:pPr>
    </w:p>
    <w:p w14:paraId="0966BC5B" w14:textId="77777777" w:rsidR="00A84307" w:rsidRDefault="00A84307" w:rsidP="00E878F7">
      <w:pPr>
        <w:rPr>
          <w:rFonts w:ascii="Rockwell" w:hAnsi="Rockwell"/>
          <w:b/>
          <w:bCs/>
        </w:rPr>
      </w:pPr>
    </w:p>
    <w:p w14:paraId="1BA73904" w14:textId="1726C9F3" w:rsidR="00A84307" w:rsidRDefault="004A42D3" w:rsidP="005C2308">
      <w:pPr>
        <w:rPr>
          <w:rFonts w:ascii="Rockwell" w:hAnsi="Rockwell"/>
          <w:b/>
          <w:bCs/>
        </w:rPr>
      </w:pPr>
      <w:r>
        <w:rPr>
          <w:rFonts w:ascii="Rockwell" w:hAnsi="Rockwell"/>
          <w:b/>
          <w:bCs/>
        </w:rPr>
        <w:pict w14:anchorId="7F47B819">
          <v:rect id="_x0000_i1027" style="width:0;height:1.5pt" o:hralign="center" o:hrstd="t" o:hr="t" fillcolor="#a0a0a0" stroked="f"/>
        </w:pict>
      </w:r>
    </w:p>
    <w:p w14:paraId="1F73822C" w14:textId="77777777" w:rsidR="00A84307" w:rsidRDefault="00A84307" w:rsidP="00E878F7">
      <w:pPr>
        <w:pStyle w:val="Heading2"/>
        <w:rPr>
          <w:rFonts w:ascii="Rockwell" w:hAnsi="Rockwell"/>
          <w:b/>
          <w:bCs/>
        </w:rPr>
      </w:pPr>
    </w:p>
    <w:p w14:paraId="025BEBFF" w14:textId="794321C5" w:rsidR="00E878F7" w:rsidRPr="0095508A" w:rsidRDefault="00E878F7" w:rsidP="00E878F7">
      <w:pPr>
        <w:pStyle w:val="Heading2"/>
        <w:rPr>
          <w:rFonts w:ascii="Rockwell" w:hAnsi="Rockwell"/>
          <w:b/>
          <w:bCs/>
        </w:rPr>
      </w:pPr>
      <w:bookmarkStart w:id="17" w:name="_Toc202995328"/>
      <w:r w:rsidRPr="0095508A">
        <w:rPr>
          <w:rFonts w:ascii="Rockwell" w:hAnsi="Rockwell"/>
          <w:b/>
          <w:bCs/>
        </w:rPr>
        <w:t>1. Executive Summary</w:t>
      </w:r>
      <w:bookmarkEnd w:id="17"/>
    </w:p>
    <w:p w14:paraId="1B7946B8" w14:textId="0736E6DA" w:rsidR="00E878F7" w:rsidRPr="00A84307" w:rsidRDefault="00E878F7" w:rsidP="00E878F7">
      <w:pPr>
        <w:pStyle w:val="NormalWeb"/>
        <w:rPr>
          <w:rFonts w:ascii="Rockwell" w:hAnsi="Rockwell"/>
        </w:rPr>
      </w:pPr>
      <w:r w:rsidRPr="00A84307">
        <w:rPr>
          <w:rFonts w:ascii="Rockwell" w:hAnsi="Rockwell"/>
        </w:rPr>
        <w:t xml:space="preserve">This comprehensive report presents a detailed evaluation of the current supply chain management system of </w:t>
      </w:r>
      <w:proofErr w:type="spellStart"/>
      <w:r w:rsidRPr="00A84307">
        <w:rPr>
          <w:rFonts w:ascii="Rockwell" w:hAnsi="Rockwell"/>
        </w:rPr>
        <w:t>Deder</w:t>
      </w:r>
      <w:proofErr w:type="spellEnd"/>
      <w:r w:rsidRPr="00A84307">
        <w:rPr>
          <w:rFonts w:ascii="Rockwell" w:hAnsi="Rockwell"/>
        </w:rPr>
        <w:t xml:space="preserve"> General Hospital, conducted during Quarter 3 of 2015EC. The primary goal was to assess operational performance, identify inefficiencies, and determine associated cost implications. Inefficiencies in procurement, inventory tracking, communication, and performance monitoring were identified as critical challenges, leading to stockouts, overstocking, increased operational costs, and delayed services. By applying structured metrics, cost formulas, and international supply chain benchmarks, this report outlines a corrective roadmap aimed at improving system-wide efficiency. With focused interventions and strengthened accountability, contributing to improved patient care, timely service delivery, and responsible resource management.</w:t>
      </w:r>
    </w:p>
    <w:p w14:paraId="169AB35A" w14:textId="77777777" w:rsidR="00E878F7" w:rsidRPr="0095508A" w:rsidRDefault="004A42D3" w:rsidP="00E878F7">
      <w:pPr>
        <w:rPr>
          <w:rFonts w:ascii="Rockwell" w:hAnsi="Rockwell"/>
          <w:b/>
          <w:bCs/>
        </w:rPr>
      </w:pPr>
      <w:r>
        <w:rPr>
          <w:rFonts w:ascii="Rockwell" w:hAnsi="Rockwell"/>
          <w:b/>
          <w:bCs/>
        </w:rPr>
        <w:pict w14:anchorId="7D6E8BD1">
          <v:rect id="_x0000_i1028" style="width:0;height:1.5pt" o:hralign="center" o:hrstd="t" o:hr="t" fillcolor="#a0a0a0" stroked="f"/>
        </w:pict>
      </w:r>
    </w:p>
    <w:p w14:paraId="47DF3825" w14:textId="77777777" w:rsidR="00E878F7" w:rsidRPr="0095508A" w:rsidRDefault="00E878F7" w:rsidP="00E878F7">
      <w:pPr>
        <w:pStyle w:val="Heading2"/>
        <w:rPr>
          <w:rFonts w:ascii="Rockwell" w:hAnsi="Rockwell"/>
          <w:b/>
          <w:bCs/>
        </w:rPr>
      </w:pPr>
      <w:bookmarkStart w:id="18" w:name="_Toc202995329"/>
      <w:r w:rsidRPr="0095508A">
        <w:rPr>
          <w:rFonts w:ascii="Rockwell" w:hAnsi="Rockwell"/>
          <w:b/>
          <w:bCs/>
        </w:rPr>
        <w:t>2. Introduction</w:t>
      </w:r>
      <w:bookmarkEnd w:id="18"/>
    </w:p>
    <w:p w14:paraId="5979C2F9" w14:textId="77777777" w:rsidR="00E878F7" w:rsidRPr="00A84307" w:rsidRDefault="00E878F7" w:rsidP="00E878F7">
      <w:pPr>
        <w:pStyle w:val="NormalWeb"/>
        <w:rPr>
          <w:rFonts w:ascii="Rockwell" w:hAnsi="Rockwell"/>
        </w:rPr>
      </w:pPr>
      <w:r w:rsidRPr="00A84307">
        <w:rPr>
          <w:rFonts w:ascii="Rockwell" w:hAnsi="Rockwell"/>
        </w:rPr>
        <w:t xml:space="preserve">Efficient supply chain management is vital for the continuous provision of quality healthcare services. At </w:t>
      </w:r>
      <w:proofErr w:type="spellStart"/>
      <w:r w:rsidRPr="00A84307">
        <w:rPr>
          <w:rFonts w:ascii="Rockwell" w:hAnsi="Rockwell"/>
        </w:rPr>
        <w:t>Deder</w:t>
      </w:r>
      <w:proofErr w:type="spellEnd"/>
      <w:r w:rsidRPr="00A84307">
        <w:rPr>
          <w:rFonts w:ascii="Rockwell" w:hAnsi="Rockwell"/>
        </w:rPr>
        <w:t xml:space="preserve"> General Hospital, supply chain inefficiencies have resulted in stockouts, excess inventory, and increased procurement costs, adversely affecting patient care and operational efficiency. This assessment seeks to identify these inefficiencies and provide a structured approach to reduce supply-related costs by 20% within a one-year timeframe.</w:t>
      </w:r>
    </w:p>
    <w:p w14:paraId="2F39BB00" w14:textId="77777777" w:rsidR="00E878F7" w:rsidRPr="0095508A" w:rsidRDefault="004A42D3" w:rsidP="00E878F7">
      <w:pPr>
        <w:rPr>
          <w:rFonts w:ascii="Rockwell" w:hAnsi="Rockwell"/>
          <w:b/>
          <w:bCs/>
        </w:rPr>
      </w:pPr>
      <w:r>
        <w:rPr>
          <w:rFonts w:ascii="Rockwell" w:hAnsi="Rockwell"/>
          <w:b/>
          <w:bCs/>
        </w:rPr>
        <w:pict w14:anchorId="14F6D122">
          <v:rect id="_x0000_i1029" style="width:0;height:1.5pt" o:hralign="center" o:hrstd="t" o:hr="t" fillcolor="#a0a0a0" stroked="f"/>
        </w:pict>
      </w:r>
    </w:p>
    <w:p w14:paraId="54C7C218" w14:textId="77777777" w:rsidR="00E878F7" w:rsidRPr="0095508A" w:rsidRDefault="00E878F7" w:rsidP="00E878F7">
      <w:pPr>
        <w:pStyle w:val="Heading2"/>
        <w:rPr>
          <w:rFonts w:ascii="Rockwell" w:hAnsi="Rockwell"/>
          <w:b/>
          <w:bCs/>
        </w:rPr>
      </w:pPr>
      <w:bookmarkStart w:id="19" w:name="_Toc202995330"/>
      <w:r w:rsidRPr="0095508A">
        <w:rPr>
          <w:rFonts w:ascii="Rockwell" w:hAnsi="Rockwell"/>
          <w:b/>
          <w:bCs/>
        </w:rPr>
        <w:t>3. Objectives of the Assessment</w:t>
      </w:r>
      <w:bookmarkEnd w:id="19"/>
    </w:p>
    <w:p w14:paraId="0E6DFD6C" w14:textId="77777777" w:rsidR="00E878F7" w:rsidRPr="007F212E" w:rsidRDefault="00E878F7" w:rsidP="00E878F7">
      <w:pPr>
        <w:pStyle w:val="NormalWeb"/>
        <w:rPr>
          <w:rFonts w:ascii="Rockwell" w:hAnsi="Rockwell"/>
        </w:rPr>
      </w:pPr>
      <w:r w:rsidRPr="007F212E">
        <w:rPr>
          <w:rFonts w:ascii="Rockwell" w:hAnsi="Rockwell"/>
        </w:rPr>
        <w:t>The assessment aimed to:</w:t>
      </w:r>
    </w:p>
    <w:p w14:paraId="2C9FBE86" w14:textId="77777777" w:rsidR="00E878F7" w:rsidRPr="007F212E" w:rsidRDefault="00E878F7" w:rsidP="00540A1E">
      <w:pPr>
        <w:pStyle w:val="NormalWeb"/>
        <w:numPr>
          <w:ilvl w:val="0"/>
          <w:numId w:val="1"/>
        </w:numPr>
        <w:rPr>
          <w:rFonts w:ascii="Rockwell" w:hAnsi="Rockwell"/>
        </w:rPr>
      </w:pPr>
      <w:r w:rsidRPr="007F212E">
        <w:rPr>
          <w:rFonts w:ascii="Rockwell" w:hAnsi="Rockwell"/>
        </w:rPr>
        <w:t>Conduct a structured analysis of current supply chain performance indicators.</w:t>
      </w:r>
    </w:p>
    <w:p w14:paraId="075CED8E" w14:textId="77777777" w:rsidR="00E878F7" w:rsidRPr="007F212E" w:rsidRDefault="00E878F7" w:rsidP="00540A1E">
      <w:pPr>
        <w:pStyle w:val="NormalWeb"/>
        <w:numPr>
          <w:ilvl w:val="0"/>
          <w:numId w:val="1"/>
        </w:numPr>
        <w:rPr>
          <w:rFonts w:ascii="Rockwell" w:hAnsi="Rockwell"/>
        </w:rPr>
      </w:pPr>
      <w:r w:rsidRPr="007F212E">
        <w:rPr>
          <w:rFonts w:ascii="Rockwell" w:hAnsi="Rockwell"/>
        </w:rPr>
        <w:t>Identify specific operational gaps causing inefficiencies across the supply chain.</w:t>
      </w:r>
    </w:p>
    <w:p w14:paraId="13121005" w14:textId="77777777" w:rsidR="00E878F7" w:rsidRPr="007F212E" w:rsidRDefault="00E878F7" w:rsidP="00540A1E">
      <w:pPr>
        <w:pStyle w:val="NormalWeb"/>
        <w:numPr>
          <w:ilvl w:val="0"/>
          <w:numId w:val="1"/>
        </w:numPr>
        <w:rPr>
          <w:rFonts w:ascii="Rockwell" w:hAnsi="Rockwell"/>
        </w:rPr>
      </w:pPr>
      <w:r w:rsidRPr="007F212E">
        <w:rPr>
          <w:rFonts w:ascii="Rockwell" w:hAnsi="Rockwell"/>
        </w:rPr>
        <w:t>Evaluate financial impacts and risks associated with these inefficiencies.</w:t>
      </w:r>
    </w:p>
    <w:p w14:paraId="36FD4278" w14:textId="77777777" w:rsidR="00E878F7" w:rsidRPr="007F212E" w:rsidRDefault="00E878F7" w:rsidP="00540A1E">
      <w:pPr>
        <w:pStyle w:val="NormalWeb"/>
        <w:numPr>
          <w:ilvl w:val="0"/>
          <w:numId w:val="1"/>
        </w:numPr>
        <w:rPr>
          <w:rFonts w:ascii="Rockwell" w:hAnsi="Rockwell"/>
        </w:rPr>
      </w:pPr>
      <w:r w:rsidRPr="007F212E">
        <w:rPr>
          <w:rFonts w:ascii="Rockwell" w:hAnsi="Rockwell"/>
        </w:rPr>
        <w:t>Recommend strategic, evidence-based interventions that are practical and resource-conscious.</w:t>
      </w:r>
    </w:p>
    <w:p w14:paraId="2CEBC758" w14:textId="54E53C93" w:rsidR="00E878F7" w:rsidRPr="0041062E" w:rsidRDefault="00E878F7" w:rsidP="00540A1E">
      <w:pPr>
        <w:pStyle w:val="NormalWeb"/>
        <w:numPr>
          <w:ilvl w:val="0"/>
          <w:numId w:val="1"/>
        </w:numPr>
        <w:rPr>
          <w:rFonts w:ascii="Rockwell" w:hAnsi="Rockwell"/>
          <w:b/>
          <w:bCs/>
        </w:rPr>
      </w:pPr>
      <w:r w:rsidRPr="007F212E">
        <w:rPr>
          <w:rFonts w:ascii="Rockwell" w:hAnsi="Rockwell"/>
        </w:rPr>
        <w:t>Provide a baseline for continuous quality improvement in inventory, procurement, and logistics functions.</w:t>
      </w:r>
    </w:p>
    <w:p w14:paraId="7951AEF6" w14:textId="4DB21238" w:rsidR="0041062E" w:rsidRDefault="0041062E" w:rsidP="0041062E">
      <w:pPr>
        <w:pStyle w:val="NormalWeb"/>
        <w:rPr>
          <w:rFonts w:ascii="Rockwell" w:hAnsi="Rockwell"/>
        </w:rPr>
      </w:pPr>
    </w:p>
    <w:p w14:paraId="4371DC1D" w14:textId="77777777" w:rsidR="0041062E" w:rsidRPr="0095508A" w:rsidRDefault="0041062E" w:rsidP="0041062E">
      <w:pPr>
        <w:pStyle w:val="NormalWeb"/>
        <w:rPr>
          <w:rFonts w:ascii="Rockwell" w:hAnsi="Rockwell"/>
          <w:b/>
          <w:bCs/>
        </w:rPr>
      </w:pPr>
    </w:p>
    <w:p w14:paraId="6C4B34F6" w14:textId="77777777" w:rsidR="00E878F7" w:rsidRPr="0095508A" w:rsidRDefault="004A42D3" w:rsidP="00E878F7">
      <w:pPr>
        <w:rPr>
          <w:rFonts w:ascii="Rockwell" w:hAnsi="Rockwell"/>
          <w:b/>
          <w:bCs/>
        </w:rPr>
      </w:pPr>
      <w:r>
        <w:rPr>
          <w:rFonts w:ascii="Rockwell" w:hAnsi="Rockwell"/>
          <w:b/>
          <w:bCs/>
        </w:rPr>
        <w:pict w14:anchorId="5BC1B0BC">
          <v:rect id="_x0000_i1030" style="width:0;height:1.5pt" o:hralign="center" o:hrstd="t" o:hr="t" fillcolor="#a0a0a0" stroked="f"/>
        </w:pict>
      </w:r>
    </w:p>
    <w:p w14:paraId="1C3BB1D6" w14:textId="77777777" w:rsidR="00E878F7" w:rsidRPr="0095508A" w:rsidRDefault="00E878F7" w:rsidP="00E878F7">
      <w:pPr>
        <w:pStyle w:val="Heading2"/>
        <w:rPr>
          <w:rFonts w:ascii="Rockwell" w:hAnsi="Rockwell"/>
          <w:b/>
          <w:bCs/>
        </w:rPr>
      </w:pPr>
      <w:bookmarkStart w:id="20" w:name="_Toc202995331"/>
      <w:r w:rsidRPr="0095508A">
        <w:rPr>
          <w:rFonts w:ascii="Rockwell" w:hAnsi="Rockwell"/>
          <w:b/>
          <w:bCs/>
        </w:rPr>
        <w:lastRenderedPageBreak/>
        <w:t>4. Methodology</w:t>
      </w:r>
      <w:bookmarkEnd w:id="20"/>
    </w:p>
    <w:p w14:paraId="39222AF2" w14:textId="77777777" w:rsidR="00E878F7" w:rsidRPr="007F212E" w:rsidRDefault="00E878F7" w:rsidP="00E878F7">
      <w:pPr>
        <w:pStyle w:val="Heading3"/>
        <w:rPr>
          <w:rFonts w:ascii="Rockwell" w:hAnsi="Rockwell"/>
          <w:b w:val="0"/>
          <w:bCs w:val="0"/>
        </w:rPr>
      </w:pPr>
      <w:bookmarkStart w:id="21" w:name="_Toc202961192"/>
      <w:bookmarkStart w:id="22" w:name="_Toc202962669"/>
      <w:bookmarkStart w:id="23" w:name="_Toc202986010"/>
      <w:bookmarkStart w:id="24" w:name="_Toc202995234"/>
      <w:bookmarkStart w:id="25" w:name="_Toc202995332"/>
      <w:r w:rsidRPr="007F212E">
        <w:rPr>
          <w:rFonts w:ascii="Rockwell" w:hAnsi="Rockwell"/>
          <w:b w:val="0"/>
          <w:bCs w:val="0"/>
        </w:rPr>
        <w:t>a) Data Collection Methods</w:t>
      </w:r>
      <w:bookmarkEnd w:id="21"/>
      <w:bookmarkEnd w:id="22"/>
      <w:bookmarkEnd w:id="23"/>
      <w:bookmarkEnd w:id="24"/>
      <w:bookmarkEnd w:id="25"/>
    </w:p>
    <w:p w14:paraId="6ED65556" w14:textId="79243CF9" w:rsidR="00E878F7" w:rsidRPr="007F212E" w:rsidRDefault="00E878F7" w:rsidP="00540A1E">
      <w:pPr>
        <w:pStyle w:val="NormalWeb"/>
        <w:numPr>
          <w:ilvl w:val="0"/>
          <w:numId w:val="2"/>
        </w:numPr>
        <w:rPr>
          <w:rFonts w:ascii="Rockwell" w:hAnsi="Rockwell"/>
        </w:rPr>
      </w:pPr>
      <w:r w:rsidRPr="007F212E">
        <w:rPr>
          <w:rStyle w:val="Strong"/>
          <w:rFonts w:ascii="Rockwell" w:hAnsi="Rockwell"/>
        </w:rPr>
        <w:t>Document Review:</w:t>
      </w:r>
      <w:r w:rsidRPr="007F212E">
        <w:rPr>
          <w:rFonts w:ascii="Rockwell" w:hAnsi="Rockwell"/>
        </w:rPr>
        <w:t xml:space="preserve"> Examined monthly consumption reports,</w:t>
      </w:r>
      <w:r w:rsidR="00101981" w:rsidRPr="007F212E">
        <w:rPr>
          <w:rFonts w:ascii="Rockwell" w:hAnsi="Rockwell"/>
        </w:rPr>
        <w:t xml:space="preserve"> Quarterly Inventory, </w:t>
      </w:r>
      <w:r w:rsidRPr="007F212E">
        <w:rPr>
          <w:rFonts w:ascii="Rockwell" w:hAnsi="Rockwell"/>
        </w:rPr>
        <w:t>procurement records, supplier delivery logs, and</w:t>
      </w:r>
      <w:r w:rsidR="0056498C">
        <w:rPr>
          <w:rFonts w:ascii="Rockwell" w:hAnsi="Rockwell"/>
        </w:rPr>
        <w:t xml:space="preserve"> Bin Card and </w:t>
      </w:r>
      <w:r w:rsidRPr="007F212E">
        <w:rPr>
          <w:rFonts w:ascii="Rockwell" w:hAnsi="Rockwell"/>
        </w:rPr>
        <w:t xml:space="preserve"> stock cards to assess historical performance.</w:t>
      </w:r>
    </w:p>
    <w:p w14:paraId="2F94B2C3" w14:textId="77777777" w:rsidR="00E878F7" w:rsidRPr="007F212E" w:rsidRDefault="00E878F7" w:rsidP="00540A1E">
      <w:pPr>
        <w:pStyle w:val="NormalWeb"/>
        <w:numPr>
          <w:ilvl w:val="0"/>
          <w:numId w:val="2"/>
        </w:numPr>
        <w:rPr>
          <w:rFonts w:ascii="Rockwell" w:hAnsi="Rockwell"/>
        </w:rPr>
      </w:pPr>
      <w:r w:rsidRPr="007F212E">
        <w:rPr>
          <w:rStyle w:val="Strong"/>
          <w:rFonts w:ascii="Rockwell" w:hAnsi="Rockwell"/>
        </w:rPr>
        <w:t>Direct Observation:</w:t>
      </w:r>
      <w:r w:rsidRPr="007F212E">
        <w:rPr>
          <w:rFonts w:ascii="Rockwell" w:hAnsi="Rockwell"/>
        </w:rPr>
        <w:t xml:space="preserve"> Inspected pharmacy storage rooms, inventory shelves, and distribution workflows on-site.</w:t>
      </w:r>
    </w:p>
    <w:p w14:paraId="769AB9AE" w14:textId="1B94B4C2" w:rsidR="00E878F7" w:rsidRPr="007F212E" w:rsidRDefault="00E878F7" w:rsidP="00540A1E">
      <w:pPr>
        <w:pStyle w:val="NormalWeb"/>
        <w:numPr>
          <w:ilvl w:val="0"/>
          <w:numId w:val="2"/>
        </w:numPr>
        <w:rPr>
          <w:rFonts w:ascii="Rockwell" w:hAnsi="Rockwell"/>
        </w:rPr>
      </w:pPr>
      <w:r w:rsidRPr="007F212E">
        <w:rPr>
          <w:rStyle w:val="Strong"/>
          <w:rFonts w:ascii="Rockwell" w:hAnsi="Rockwell"/>
        </w:rPr>
        <w:t>Key Informant Interviews:</w:t>
      </w:r>
      <w:r w:rsidRPr="007F212E">
        <w:rPr>
          <w:rFonts w:ascii="Rockwell" w:hAnsi="Rockwell"/>
        </w:rPr>
        <w:t xml:space="preserve"> Conduct</w:t>
      </w:r>
      <w:r w:rsidR="00A92901">
        <w:rPr>
          <w:rFonts w:ascii="Rockwell" w:hAnsi="Rockwell"/>
        </w:rPr>
        <w:t xml:space="preserve">ed </w:t>
      </w:r>
      <w:r w:rsidRPr="007F212E">
        <w:rPr>
          <w:rFonts w:ascii="Rockwell" w:hAnsi="Rockwell"/>
        </w:rPr>
        <w:t>interviews with pharmacy heads, procurement officers, and department heads.</w:t>
      </w:r>
    </w:p>
    <w:p w14:paraId="28D2360F" w14:textId="77777777" w:rsidR="00E878F7" w:rsidRPr="0095508A" w:rsidRDefault="00E878F7" w:rsidP="00540A1E">
      <w:pPr>
        <w:pStyle w:val="NormalWeb"/>
        <w:numPr>
          <w:ilvl w:val="0"/>
          <w:numId w:val="2"/>
        </w:numPr>
        <w:rPr>
          <w:rFonts w:ascii="Rockwell" w:hAnsi="Rockwell"/>
          <w:b/>
          <w:bCs/>
        </w:rPr>
      </w:pPr>
      <w:r w:rsidRPr="007F212E">
        <w:rPr>
          <w:rStyle w:val="Strong"/>
          <w:rFonts w:ascii="Rockwell" w:hAnsi="Rockwell"/>
        </w:rPr>
        <w:t>Checklist-based Assessment:</w:t>
      </w:r>
      <w:r w:rsidRPr="007F212E">
        <w:rPr>
          <w:rFonts w:ascii="Rockwell" w:hAnsi="Rockwell"/>
        </w:rPr>
        <w:t xml:space="preserve"> Utilized a customized supply chain performance checklist for standardized evaluation</w:t>
      </w:r>
      <w:r w:rsidRPr="0095508A">
        <w:rPr>
          <w:rFonts w:ascii="Rockwell" w:hAnsi="Rockwell"/>
          <w:b/>
          <w:bCs/>
        </w:rPr>
        <w:t>.</w:t>
      </w:r>
    </w:p>
    <w:p w14:paraId="23709C04" w14:textId="77777777" w:rsidR="00E878F7" w:rsidRPr="0095508A" w:rsidRDefault="00E878F7" w:rsidP="00E878F7">
      <w:pPr>
        <w:pStyle w:val="Heading3"/>
        <w:rPr>
          <w:rFonts w:ascii="Rockwell" w:hAnsi="Rockwell"/>
        </w:rPr>
      </w:pPr>
      <w:bookmarkStart w:id="26" w:name="_Toc202961193"/>
      <w:bookmarkStart w:id="27" w:name="_Toc202962670"/>
      <w:bookmarkStart w:id="28" w:name="_Toc202986011"/>
      <w:bookmarkStart w:id="29" w:name="_Toc202995235"/>
      <w:bookmarkStart w:id="30" w:name="_Toc202995333"/>
      <w:r w:rsidRPr="0095508A">
        <w:rPr>
          <w:rFonts w:ascii="Rockwell" w:hAnsi="Rockwell"/>
        </w:rPr>
        <w:t>b) Assessment Scope</w:t>
      </w:r>
      <w:bookmarkEnd w:id="26"/>
      <w:bookmarkEnd w:id="27"/>
      <w:bookmarkEnd w:id="28"/>
      <w:bookmarkEnd w:id="29"/>
      <w:bookmarkEnd w:id="30"/>
    </w:p>
    <w:p w14:paraId="321E12A1" w14:textId="77777777" w:rsidR="00E878F7" w:rsidRPr="007F212E" w:rsidRDefault="00E878F7" w:rsidP="00540A1E">
      <w:pPr>
        <w:pStyle w:val="NormalWeb"/>
        <w:numPr>
          <w:ilvl w:val="0"/>
          <w:numId w:val="3"/>
        </w:numPr>
        <w:rPr>
          <w:rFonts w:ascii="Rockwell" w:hAnsi="Rockwell"/>
        </w:rPr>
      </w:pPr>
      <w:r w:rsidRPr="007F212E">
        <w:rPr>
          <w:rFonts w:ascii="Rockwell" w:hAnsi="Rockwell"/>
        </w:rPr>
        <w:t>Covered Quarter 3, 2015EC (3-month period).</w:t>
      </w:r>
    </w:p>
    <w:p w14:paraId="46BD87C6" w14:textId="77777777" w:rsidR="00E878F7" w:rsidRPr="0095508A" w:rsidRDefault="00E878F7" w:rsidP="00540A1E">
      <w:pPr>
        <w:pStyle w:val="NormalWeb"/>
        <w:numPr>
          <w:ilvl w:val="0"/>
          <w:numId w:val="3"/>
        </w:numPr>
        <w:rPr>
          <w:rFonts w:ascii="Rockwell" w:hAnsi="Rockwell"/>
          <w:b/>
          <w:bCs/>
        </w:rPr>
      </w:pPr>
      <w:r w:rsidRPr="007F212E">
        <w:rPr>
          <w:rFonts w:ascii="Rockwell" w:hAnsi="Rockwell"/>
        </w:rPr>
        <w:t>Included all stages of the supply chain: planning, procurement, storage, inventory management, distribution, and monitoring</w:t>
      </w:r>
      <w:r w:rsidRPr="0095508A">
        <w:rPr>
          <w:rFonts w:ascii="Rockwell" w:hAnsi="Rockwell"/>
          <w:b/>
          <w:bCs/>
        </w:rPr>
        <w:t>.</w:t>
      </w:r>
    </w:p>
    <w:p w14:paraId="700E963C" w14:textId="77777777" w:rsidR="00E878F7" w:rsidRPr="0095508A" w:rsidRDefault="00E878F7" w:rsidP="00E878F7">
      <w:pPr>
        <w:pStyle w:val="Heading3"/>
        <w:rPr>
          <w:rFonts w:ascii="Rockwell" w:hAnsi="Rockwell"/>
        </w:rPr>
      </w:pPr>
      <w:bookmarkStart w:id="31" w:name="_Toc202961194"/>
      <w:bookmarkStart w:id="32" w:name="_Toc202962671"/>
      <w:bookmarkStart w:id="33" w:name="_Toc202986012"/>
      <w:bookmarkStart w:id="34" w:name="_Toc202995236"/>
      <w:bookmarkStart w:id="35" w:name="_Toc202995334"/>
      <w:r w:rsidRPr="0095508A">
        <w:rPr>
          <w:rFonts w:ascii="Rockwell" w:hAnsi="Rockwell"/>
        </w:rPr>
        <w:t>c) Analysis Techniques</w:t>
      </w:r>
      <w:bookmarkEnd w:id="31"/>
      <w:bookmarkEnd w:id="32"/>
      <w:bookmarkEnd w:id="33"/>
      <w:bookmarkEnd w:id="34"/>
      <w:bookmarkEnd w:id="35"/>
    </w:p>
    <w:p w14:paraId="7AA67DCB" w14:textId="77777777" w:rsidR="00E878F7" w:rsidRPr="007F212E" w:rsidRDefault="00E878F7" w:rsidP="00540A1E">
      <w:pPr>
        <w:pStyle w:val="NormalWeb"/>
        <w:numPr>
          <w:ilvl w:val="0"/>
          <w:numId w:val="4"/>
        </w:numPr>
        <w:rPr>
          <w:rFonts w:ascii="Rockwell" w:hAnsi="Rockwell"/>
        </w:rPr>
      </w:pPr>
      <w:r w:rsidRPr="007F212E">
        <w:rPr>
          <w:rFonts w:ascii="Rockwell" w:hAnsi="Rockwell"/>
        </w:rPr>
        <w:t>Numerical scoring and ranking of inefficiency areas based on cost and operational impact.</w:t>
      </w:r>
    </w:p>
    <w:p w14:paraId="6034DAA4" w14:textId="20CFD3CC" w:rsidR="00E878F7" w:rsidRPr="007F212E" w:rsidRDefault="00E878F7" w:rsidP="00540A1E">
      <w:pPr>
        <w:pStyle w:val="NormalWeb"/>
        <w:numPr>
          <w:ilvl w:val="0"/>
          <w:numId w:val="4"/>
        </w:numPr>
        <w:rPr>
          <w:rFonts w:ascii="Rockwell" w:hAnsi="Rockwell"/>
        </w:rPr>
      </w:pPr>
      <w:r w:rsidRPr="007F212E">
        <w:rPr>
          <w:rFonts w:ascii="Rockwell" w:hAnsi="Rockwell"/>
        </w:rPr>
        <w:t>Root cause analysis internally.</w:t>
      </w:r>
    </w:p>
    <w:p w14:paraId="66B4B631" w14:textId="77777777" w:rsidR="00E878F7" w:rsidRPr="007F212E" w:rsidRDefault="00E878F7" w:rsidP="00540A1E">
      <w:pPr>
        <w:pStyle w:val="NormalWeb"/>
        <w:numPr>
          <w:ilvl w:val="0"/>
          <w:numId w:val="4"/>
        </w:numPr>
        <w:rPr>
          <w:rFonts w:ascii="Rockwell" w:hAnsi="Rockwell"/>
        </w:rPr>
      </w:pPr>
      <w:r w:rsidRPr="007F212E">
        <w:rPr>
          <w:rFonts w:ascii="Rockwell" w:hAnsi="Rockwell"/>
        </w:rPr>
        <w:t>Application of cost formulas to quantify inefficiencies and adjust weight percentages.</w:t>
      </w:r>
    </w:p>
    <w:p w14:paraId="3DBE763A" w14:textId="77777777" w:rsidR="00E878F7" w:rsidRPr="0095508A" w:rsidRDefault="00E878F7" w:rsidP="00E878F7">
      <w:pPr>
        <w:pStyle w:val="Heading3"/>
        <w:rPr>
          <w:rFonts w:ascii="Rockwell" w:hAnsi="Rockwell"/>
        </w:rPr>
      </w:pPr>
      <w:bookmarkStart w:id="36" w:name="_Toc202961195"/>
      <w:bookmarkStart w:id="37" w:name="_Toc202962672"/>
      <w:bookmarkStart w:id="38" w:name="_Toc202986013"/>
      <w:bookmarkStart w:id="39" w:name="_Toc202995237"/>
      <w:bookmarkStart w:id="40" w:name="_Toc202995335"/>
      <w:r w:rsidRPr="0095508A">
        <w:rPr>
          <w:rFonts w:ascii="Rockwell" w:hAnsi="Rockwell"/>
        </w:rPr>
        <w:t>d) Validation</w:t>
      </w:r>
      <w:bookmarkEnd w:id="36"/>
      <w:bookmarkEnd w:id="37"/>
      <w:bookmarkEnd w:id="38"/>
      <w:bookmarkEnd w:id="39"/>
      <w:bookmarkEnd w:id="40"/>
    </w:p>
    <w:p w14:paraId="4ECA75A6" w14:textId="77777777" w:rsidR="00E878F7" w:rsidRPr="007F212E" w:rsidRDefault="00E878F7" w:rsidP="00540A1E">
      <w:pPr>
        <w:pStyle w:val="NormalWeb"/>
        <w:numPr>
          <w:ilvl w:val="0"/>
          <w:numId w:val="5"/>
        </w:numPr>
        <w:rPr>
          <w:rFonts w:ascii="Rockwell" w:hAnsi="Rockwell"/>
        </w:rPr>
      </w:pPr>
      <w:r w:rsidRPr="007F212E">
        <w:rPr>
          <w:rFonts w:ascii="Rockwell" w:hAnsi="Rockwell"/>
        </w:rPr>
        <w:t>Findings validated through team review meetings.</w:t>
      </w:r>
    </w:p>
    <w:p w14:paraId="48102E55" w14:textId="77777777" w:rsidR="00E878F7" w:rsidRPr="007F212E" w:rsidRDefault="00E878F7" w:rsidP="00540A1E">
      <w:pPr>
        <w:pStyle w:val="NormalWeb"/>
        <w:numPr>
          <w:ilvl w:val="0"/>
          <w:numId w:val="5"/>
        </w:numPr>
        <w:rPr>
          <w:rFonts w:ascii="Rockwell" w:hAnsi="Rockwell"/>
        </w:rPr>
      </w:pPr>
      <w:r w:rsidRPr="007F212E">
        <w:rPr>
          <w:rFonts w:ascii="Rockwell" w:hAnsi="Rockwell"/>
        </w:rPr>
        <w:t>Inputs from clinical and non-clinical units ensured accuracy across functions.</w:t>
      </w:r>
    </w:p>
    <w:p w14:paraId="2FCE423B" w14:textId="77777777" w:rsidR="00E878F7" w:rsidRPr="0095508A" w:rsidRDefault="00E878F7" w:rsidP="00E878F7">
      <w:pPr>
        <w:pStyle w:val="NormalWeb"/>
        <w:rPr>
          <w:rFonts w:ascii="Rockwell" w:hAnsi="Rockwell"/>
          <w:b/>
          <w:bCs/>
        </w:rPr>
      </w:pPr>
      <w:r w:rsidRPr="0095508A">
        <w:rPr>
          <w:rFonts w:ascii="Rockwell" w:hAnsi="Rockwell"/>
          <w:b/>
          <w:bCs/>
        </w:rPr>
        <w:t>This mixed-method approach provided a comprehensive understanding of supply chain challenges and informed practical, context-appropriate solutions.</w:t>
      </w:r>
    </w:p>
    <w:p w14:paraId="16CF92A0" w14:textId="77777777" w:rsidR="00E878F7" w:rsidRDefault="004A42D3" w:rsidP="00E878F7">
      <w:pPr>
        <w:rPr>
          <w:rFonts w:ascii="Rockwell" w:hAnsi="Rockwell"/>
          <w:b/>
          <w:bCs/>
        </w:rPr>
      </w:pPr>
      <w:r>
        <w:rPr>
          <w:rFonts w:ascii="Rockwell" w:hAnsi="Rockwell"/>
          <w:b/>
          <w:bCs/>
        </w:rPr>
        <w:pict w14:anchorId="30A5FCA8">
          <v:rect id="_x0000_i1031" style="width:0;height:1.5pt" o:hralign="center" o:bullet="t" o:hrstd="t" o:hr="t" fillcolor="#a0a0a0" stroked="f"/>
        </w:pict>
      </w:r>
    </w:p>
    <w:p w14:paraId="7BA6CBB9" w14:textId="150B989A" w:rsidR="002528D8" w:rsidRPr="00CA7DE5" w:rsidRDefault="00345EA9" w:rsidP="002528D8">
      <w:pPr>
        <w:spacing w:before="100" w:beforeAutospacing="1" w:after="100" w:afterAutospacing="1" w:line="240" w:lineRule="auto"/>
        <w:outlineLvl w:val="1"/>
        <w:rPr>
          <w:rFonts w:ascii="Rockwell" w:eastAsia="Times New Roman" w:hAnsi="Rockwell" w:cs="Times New Roman"/>
          <w:b/>
          <w:bCs/>
          <w:sz w:val="36"/>
          <w:szCs w:val="36"/>
        </w:rPr>
      </w:pPr>
      <w:bookmarkStart w:id="41" w:name="_Toc202995336"/>
      <w:r>
        <w:rPr>
          <w:rFonts w:ascii="Rockwell" w:eastAsia="Times New Roman" w:hAnsi="Rockwell" w:cs="Times New Roman"/>
          <w:b/>
          <w:bCs/>
          <w:sz w:val="36"/>
          <w:szCs w:val="36"/>
        </w:rPr>
        <w:t>5</w:t>
      </w:r>
      <w:r w:rsidR="002528D8" w:rsidRPr="00CA7DE5">
        <w:rPr>
          <w:rFonts w:ascii="Rockwell" w:eastAsia="Times New Roman" w:hAnsi="Rockwell" w:cs="Times New Roman"/>
          <w:b/>
          <w:bCs/>
          <w:sz w:val="36"/>
          <w:szCs w:val="36"/>
        </w:rPr>
        <w:t>. Cost Calculation Formulas</w:t>
      </w:r>
      <w:bookmarkEnd w:id="41"/>
    </w:p>
    <w:p w14:paraId="48E26155" w14:textId="77777777"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Stockouts Cost</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Stockouts Cost = Number of Stockouts × Average Cost per Stockout</w:t>
      </w:r>
    </w:p>
    <w:p w14:paraId="2FBCCDBA" w14:textId="77777777" w:rsidR="002528D8" w:rsidRPr="00CA7DE5" w:rsidRDefault="002528D8" w:rsidP="002528D8">
      <w:pPr>
        <w:numPr>
          <w:ilvl w:val="0"/>
          <w:numId w:val="10"/>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Number of Stockouts</w:t>
      </w:r>
      <w:r w:rsidRPr="00CA7DE5">
        <w:rPr>
          <w:rFonts w:ascii="Rockwell" w:eastAsia="Times New Roman" w:hAnsi="Rockwell" w:cs="Times New Roman"/>
          <w:sz w:val="24"/>
          <w:szCs w:val="24"/>
        </w:rPr>
        <w:t>: Total instances where essential supplies were unavailable.</w:t>
      </w:r>
    </w:p>
    <w:p w14:paraId="792D15DC" w14:textId="77777777" w:rsidR="002528D8" w:rsidRPr="00CA7DE5" w:rsidRDefault="002528D8" w:rsidP="002528D8">
      <w:pPr>
        <w:numPr>
          <w:ilvl w:val="0"/>
          <w:numId w:val="10"/>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lastRenderedPageBreak/>
        <w:t>Average Cost per Stockout</w:t>
      </w:r>
      <w:r w:rsidRPr="00CA7DE5">
        <w:rPr>
          <w:rFonts w:ascii="Rockwell" w:eastAsia="Times New Roman" w:hAnsi="Rockwell" w:cs="Times New Roman"/>
          <w:sz w:val="24"/>
          <w:szCs w:val="24"/>
        </w:rPr>
        <w:t>: Estimated cost from lost revenue, emergency procurement, or alternate arrangements.</w:t>
      </w:r>
    </w:p>
    <w:p w14:paraId="51AC8917" w14:textId="77777777" w:rsidR="002528D8" w:rsidRPr="00CA7DE5" w:rsidRDefault="004A42D3" w:rsidP="002528D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57E30DF1">
          <v:rect id="_x0000_i1032" style="width:0;height:1.5pt" o:hralign="center" o:hrstd="t" o:hr="t" fillcolor="#a0a0a0" stroked="f"/>
        </w:pict>
      </w:r>
    </w:p>
    <w:p w14:paraId="63140E0C" w14:textId="77777777"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Excess Inventory Cost</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Excess Inventory Cost = Excess Inventory Level × Carrying Cost per Unit</w:t>
      </w:r>
    </w:p>
    <w:p w14:paraId="136BC245" w14:textId="77777777" w:rsidR="002528D8" w:rsidRPr="00CA7DE5" w:rsidRDefault="002528D8" w:rsidP="002528D8">
      <w:pPr>
        <w:numPr>
          <w:ilvl w:val="0"/>
          <w:numId w:val="11"/>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Excess Inventory Level</w:t>
      </w:r>
      <w:r w:rsidRPr="00CA7DE5">
        <w:rPr>
          <w:rFonts w:ascii="Rockwell" w:eastAsia="Times New Roman" w:hAnsi="Rockwell" w:cs="Times New Roman"/>
          <w:sz w:val="24"/>
          <w:szCs w:val="24"/>
        </w:rPr>
        <w:t>: Inventory above optimal or required levels.</w:t>
      </w:r>
    </w:p>
    <w:p w14:paraId="36FD7897" w14:textId="77777777" w:rsidR="008516E6" w:rsidRDefault="002528D8" w:rsidP="002528D8">
      <w:pPr>
        <w:numPr>
          <w:ilvl w:val="0"/>
          <w:numId w:val="11"/>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Carrying Cost per Unit</w:t>
      </w:r>
      <w:r w:rsidRPr="00CA7DE5">
        <w:rPr>
          <w:rFonts w:ascii="Rockwell" w:eastAsia="Times New Roman" w:hAnsi="Rockwell" w:cs="Times New Roman"/>
          <w:sz w:val="24"/>
          <w:szCs w:val="24"/>
        </w:rPr>
        <w:t>: Cost of storage, depreciation, insurance, and wastage per unit</w:t>
      </w:r>
    </w:p>
    <w:p w14:paraId="0958DB63" w14:textId="77777777" w:rsidR="008516E6" w:rsidRDefault="002528D8" w:rsidP="008516E6">
      <w:pPr>
        <w:numPr>
          <w:ilvl w:val="0"/>
          <w:numId w:val="11"/>
        </w:numPr>
        <w:spacing w:before="100" w:beforeAutospacing="1" w:after="100" w:afterAutospacing="1" w:line="240" w:lineRule="auto"/>
        <w:rPr>
          <w:rFonts w:ascii="Rockwell" w:eastAsia="Times New Roman" w:hAnsi="Rockwell" w:cs="Times New Roman"/>
          <w:sz w:val="24"/>
          <w:szCs w:val="24"/>
        </w:rPr>
      </w:pPr>
      <w:r w:rsidRPr="008516E6">
        <w:rPr>
          <w:rFonts w:ascii="Rockwell" w:eastAsia="Times New Roman" w:hAnsi="Rockwell" w:cs="Times New Roman"/>
          <w:b/>
          <w:bCs/>
          <w:sz w:val="24"/>
          <w:szCs w:val="24"/>
        </w:rPr>
        <w:t>Supplier Communication Cost</w:t>
      </w:r>
      <w:r w:rsidRPr="008516E6">
        <w:rPr>
          <w:rFonts w:ascii="Rockwell" w:eastAsia="Times New Roman" w:hAnsi="Rockwell" w:cs="Times New Roman"/>
          <w:sz w:val="24"/>
          <w:szCs w:val="24"/>
        </w:rPr>
        <w:br/>
      </w:r>
      <w:r w:rsidRPr="008516E6">
        <w:rPr>
          <w:rFonts w:ascii="Rockwell" w:eastAsia="Times New Roman" w:hAnsi="Rockwell" w:cs="Courier New"/>
          <w:sz w:val="20"/>
          <w:szCs w:val="20"/>
        </w:rPr>
        <w:t>Supplier Communication Cost = Number of Communication Errors × Cost per Error</w:t>
      </w:r>
    </w:p>
    <w:p w14:paraId="54C59E4C" w14:textId="4EBED0B0" w:rsidR="002528D8" w:rsidRPr="008516E6" w:rsidRDefault="002528D8" w:rsidP="008516E6">
      <w:pPr>
        <w:numPr>
          <w:ilvl w:val="0"/>
          <w:numId w:val="11"/>
        </w:numPr>
        <w:spacing w:before="100" w:beforeAutospacing="1" w:after="100" w:afterAutospacing="1" w:line="240" w:lineRule="auto"/>
        <w:rPr>
          <w:rFonts w:ascii="Rockwell" w:eastAsia="Times New Roman" w:hAnsi="Rockwell" w:cs="Times New Roman"/>
          <w:sz w:val="24"/>
          <w:szCs w:val="24"/>
        </w:rPr>
      </w:pPr>
      <w:r w:rsidRPr="008516E6">
        <w:rPr>
          <w:rFonts w:ascii="Rockwell" w:eastAsia="Times New Roman" w:hAnsi="Rockwell" w:cs="Times New Roman"/>
          <w:b/>
          <w:bCs/>
          <w:sz w:val="24"/>
          <w:szCs w:val="24"/>
        </w:rPr>
        <w:t>Number of Communication Errors</w:t>
      </w:r>
      <w:r w:rsidRPr="008516E6">
        <w:rPr>
          <w:rFonts w:ascii="Rockwell" w:eastAsia="Times New Roman" w:hAnsi="Rockwell" w:cs="Times New Roman"/>
          <w:sz w:val="24"/>
          <w:szCs w:val="24"/>
        </w:rPr>
        <w:t>: Miscommunications with suppliers.</w:t>
      </w:r>
    </w:p>
    <w:p w14:paraId="649AEF7F" w14:textId="04E5ADFF" w:rsidR="002528D8" w:rsidRPr="00E539B6" w:rsidRDefault="002528D8" w:rsidP="00E539B6">
      <w:pPr>
        <w:numPr>
          <w:ilvl w:val="0"/>
          <w:numId w:val="12"/>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Cost per Error</w:t>
      </w:r>
      <w:r w:rsidRPr="00CA7DE5">
        <w:rPr>
          <w:rFonts w:ascii="Rockwell" w:eastAsia="Times New Roman" w:hAnsi="Rockwell" w:cs="Times New Roman"/>
          <w:sz w:val="24"/>
          <w:szCs w:val="24"/>
        </w:rPr>
        <w:t>: Financial impact of delays, re-orders, or incorrect shipments.</w:t>
      </w:r>
    </w:p>
    <w:p w14:paraId="26E2CB75" w14:textId="7A50BE77"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Performance Monitoring Cost</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Performance Monitoring Cost = Number of Performance Assessments × Cost per Assessment</w:t>
      </w:r>
    </w:p>
    <w:p w14:paraId="65A405B1" w14:textId="77777777" w:rsidR="002528D8" w:rsidRPr="00CA7DE5" w:rsidRDefault="002528D8" w:rsidP="002528D8">
      <w:pPr>
        <w:numPr>
          <w:ilvl w:val="0"/>
          <w:numId w:val="13"/>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Number of Performance Assessments</w:t>
      </w:r>
      <w:r w:rsidRPr="00CA7DE5">
        <w:rPr>
          <w:rFonts w:ascii="Rockwell" w:eastAsia="Times New Roman" w:hAnsi="Rockwell" w:cs="Times New Roman"/>
          <w:sz w:val="24"/>
          <w:szCs w:val="24"/>
        </w:rPr>
        <w:t>: Reviews or audits conducted.</w:t>
      </w:r>
    </w:p>
    <w:p w14:paraId="22427A87" w14:textId="77777777" w:rsidR="00E539B6" w:rsidRDefault="002528D8" w:rsidP="002528D8">
      <w:pPr>
        <w:numPr>
          <w:ilvl w:val="0"/>
          <w:numId w:val="13"/>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Cost per Assessment</w:t>
      </w:r>
      <w:r w:rsidRPr="00CA7DE5">
        <w:rPr>
          <w:rFonts w:ascii="Rockwell" w:eastAsia="Times New Roman" w:hAnsi="Rockwell" w:cs="Times New Roman"/>
          <w:sz w:val="24"/>
          <w:szCs w:val="24"/>
        </w:rPr>
        <w:t>: Resources (time, labor, documentation) used per review.</w:t>
      </w:r>
    </w:p>
    <w:p w14:paraId="66F7077F" w14:textId="3F43ACA1" w:rsidR="002528D8" w:rsidRPr="00E539B6" w:rsidRDefault="002528D8" w:rsidP="00BC434A">
      <w:pPr>
        <w:spacing w:before="100" w:beforeAutospacing="1" w:after="100" w:afterAutospacing="1" w:line="240" w:lineRule="auto"/>
        <w:rPr>
          <w:rFonts w:ascii="Rockwell" w:eastAsia="Times New Roman" w:hAnsi="Rockwell" w:cs="Times New Roman"/>
          <w:sz w:val="24"/>
          <w:szCs w:val="24"/>
        </w:rPr>
      </w:pPr>
      <w:r w:rsidRPr="00E539B6">
        <w:rPr>
          <w:rFonts w:ascii="Rockwell" w:eastAsia="Times New Roman" w:hAnsi="Rockwell" w:cs="Times New Roman"/>
          <w:b/>
          <w:bCs/>
          <w:sz w:val="24"/>
          <w:szCs w:val="24"/>
        </w:rPr>
        <w:t xml:space="preserve"> Transportation Cost</w:t>
      </w:r>
      <w:r w:rsidRPr="00E539B6">
        <w:rPr>
          <w:rFonts w:ascii="Rockwell" w:eastAsia="Times New Roman" w:hAnsi="Rockwell" w:cs="Times New Roman"/>
          <w:sz w:val="24"/>
          <w:szCs w:val="24"/>
        </w:rPr>
        <w:br/>
      </w:r>
      <w:r w:rsidRPr="00E539B6">
        <w:rPr>
          <w:rFonts w:ascii="Rockwell" w:eastAsia="Times New Roman" w:hAnsi="Rockwell" w:cs="Courier New"/>
          <w:sz w:val="20"/>
          <w:szCs w:val="20"/>
        </w:rPr>
        <w:t>Transportation Cost = Number of Shipments × Average Cost per Shipment</w:t>
      </w:r>
    </w:p>
    <w:p w14:paraId="2DE78075" w14:textId="77777777" w:rsidR="002528D8" w:rsidRPr="00CA7DE5" w:rsidRDefault="002528D8" w:rsidP="002528D8">
      <w:pPr>
        <w:numPr>
          <w:ilvl w:val="0"/>
          <w:numId w:val="14"/>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Number of Shipments</w:t>
      </w:r>
      <w:r w:rsidRPr="00CA7DE5">
        <w:rPr>
          <w:rFonts w:ascii="Rockwell" w:eastAsia="Times New Roman" w:hAnsi="Rockwell" w:cs="Times New Roman"/>
          <w:sz w:val="24"/>
          <w:szCs w:val="24"/>
        </w:rPr>
        <w:t>: All supply deliveries made.</w:t>
      </w:r>
    </w:p>
    <w:p w14:paraId="4A8F6375" w14:textId="77777777" w:rsidR="00E7329B" w:rsidRDefault="002528D8" w:rsidP="002528D8">
      <w:pPr>
        <w:numPr>
          <w:ilvl w:val="0"/>
          <w:numId w:val="14"/>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Average Cost per Shipment</w:t>
      </w:r>
      <w:r w:rsidRPr="00CA7DE5">
        <w:rPr>
          <w:rFonts w:ascii="Rockwell" w:eastAsia="Times New Roman" w:hAnsi="Rockwell" w:cs="Times New Roman"/>
          <w:sz w:val="24"/>
          <w:szCs w:val="24"/>
        </w:rPr>
        <w:t>: Includes vehicle cost, fuel, labor, and logistics.</w:t>
      </w:r>
    </w:p>
    <w:p w14:paraId="6C652133" w14:textId="23E2B03A" w:rsidR="002528D8" w:rsidRPr="00E7329B" w:rsidRDefault="002528D8" w:rsidP="00BC434A">
      <w:pPr>
        <w:spacing w:before="100" w:beforeAutospacing="1" w:after="100" w:afterAutospacing="1" w:line="240" w:lineRule="auto"/>
        <w:rPr>
          <w:rFonts w:ascii="Rockwell" w:eastAsia="Times New Roman" w:hAnsi="Rockwell" w:cs="Times New Roman"/>
          <w:sz w:val="24"/>
          <w:szCs w:val="24"/>
        </w:rPr>
      </w:pPr>
      <w:r w:rsidRPr="00E7329B">
        <w:rPr>
          <w:rFonts w:ascii="Rockwell" w:eastAsia="Times New Roman" w:hAnsi="Rockwell" w:cs="Times New Roman"/>
          <w:b/>
          <w:bCs/>
          <w:sz w:val="24"/>
          <w:szCs w:val="24"/>
        </w:rPr>
        <w:t xml:space="preserve"> Poor Inventory Tracking Cost</w:t>
      </w:r>
      <w:r w:rsidRPr="00E7329B">
        <w:rPr>
          <w:rFonts w:ascii="Rockwell" w:eastAsia="Times New Roman" w:hAnsi="Rockwell" w:cs="Times New Roman"/>
          <w:sz w:val="24"/>
          <w:szCs w:val="24"/>
        </w:rPr>
        <w:br/>
      </w:r>
      <w:r w:rsidRPr="00E7329B">
        <w:rPr>
          <w:rFonts w:ascii="Rockwell" w:eastAsia="Times New Roman" w:hAnsi="Rockwell" w:cs="Courier New"/>
          <w:sz w:val="20"/>
          <w:szCs w:val="20"/>
        </w:rPr>
        <w:t>Poor Inventory Tracking Cost = Number of Inventory Discrepancies × Cost per Discrepancy</w:t>
      </w:r>
    </w:p>
    <w:p w14:paraId="7EB798BC" w14:textId="77777777" w:rsidR="002528D8" w:rsidRPr="00CA7DE5" w:rsidRDefault="002528D8" w:rsidP="002528D8">
      <w:pPr>
        <w:numPr>
          <w:ilvl w:val="0"/>
          <w:numId w:val="15"/>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Number of Inventory Discrepancies</w:t>
      </w:r>
      <w:r w:rsidRPr="00CA7DE5">
        <w:rPr>
          <w:rFonts w:ascii="Rockwell" w:eastAsia="Times New Roman" w:hAnsi="Rockwell" w:cs="Times New Roman"/>
          <w:sz w:val="24"/>
          <w:szCs w:val="24"/>
        </w:rPr>
        <w:t>: Mismatches between records and physical stock.</w:t>
      </w:r>
    </w:p>
    <w:p w14:paraId="06EFD4C5" w14:textId="50DB77E7" w:rsidR="002528D8" w:rsidRPr="00BC434A" w:rsidRDefault="002528D8" w:rsidP="00BC434A">
      <w:pPr>
        <w:numPr>
          <w:ilvl w:val="0"/>
          <w:numId w:val="15"/>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Cost per Discrepancy</w:t>
      </w:r>
      <w:r w:rsidRPr="00CA7DE5">
        <w:rPr>
          <w:rFonts w:ascii="Rockwell" w:eastAsia="Times New Roman" w:hAnsi="Rockwell" w:cs="Times New Roman"/>
          <w:sz w:val="24"/>
          <w:szCs w:val="24"/>
        </w:rPr>
        <w:t>: Includes correction cost, reordering, and delays.</w:t>
      </w:r>
    </w:p>
    <w:p w14:paraId="695F5B2D" w14:textId="31D95181" w:rsidR="002528D8" w:rsidRPr="00EC02FB" w:rsidRDefault="002528D8" w:rsidP="00ED6B26">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Total Supply Chain Costs</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Total Supply Chain Costs = Stockouts Cost + Excess Inventory Cost + Supplier Communication Cost + Performance Monitoring Cost + Transportation Cost + Poor Inventory Tracking Cost</w:t>
      </w:r>
    </w:p>
    <w:p w14:paraId="0A39CDEE" w14:textId="10782FE3"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Procurement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((Actual Procurement Cost - Benchmark Cost) / Benchmark Cost) × 100</w:t>
      </w:r>
    </w:p>
    <w:p w14:paraId="4E8B1B09" w14:textId="2524E608" w:rsidR="002528D8" w:rsidRPr="00ED6B26" w:rsidRDefault="002528D8" w:rsidP="00ED6B26">
      <w:pPr>
        <w:numPr>
          <w:ilvl w:val="0"/>
          <w:numId w:val="16"/>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Compares actual cost to standard/optimal cost.</w:t>
      </w:r>
    </w:p>
    <w:p w14:paraId="4998F85E" w14:textId="23329EEF"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lastRenderedPageBreak/>
        <w:t xml:space="preserve"> Inventory Management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((Stockouts + Overstocks) / Total Inventory Transactions) × 100</w:t>
      </w:r>
    </w:p>
    <w:p w14:paraId="34A81B13" w14:textId="2888976C" w:rsidR="002528D8" w:rsidRPr="00AC407B" w:rsidRDefault="002528D8" w:rsidP="00AC407B">
      <w:pPr>
        <w:numPr>
          <w:ilvl w:val="0"/>
          <w:numId w:val="17"/>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Measures how often supply is either unavailable or overstocked.</w:t>
      </w:r>
    </w:p>
    <w:p w14:paraId="30236BCA" w14:textId="16277009"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Storage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(Damaged or Expired Stock / Total Stock) × 100</w:t>
      </w:r>
    </w:p>
    <w:p w14:paraId="24A97F17" w14:textId="20CE9349" w:rsidR="002528D8" w:rsidRPr="00AC407B" w:rsidRDefault="002528D8" w:rsidP="00AC407B">
      <w:pPr>
        <w:numPr>
          <w:ilvl w:val="0"/>
          <w:numId w:val="18"/>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Captures the percentage of unusable items due to poor storage.</w:t>
      </w:r>
    </w:p>
    <w:p w14:paraId="157D68E7" w14:textId="1A843C9A"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Demand Forecasting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(|Actual Demand - Forecast| / Actual Demand) × 100</w:t>
      </w:r>
    </w:p>
    <w:p w14:paraId="119C0652" w14:textId="5F59F752" w:rsidR="002528D8" w:rsidRPr="00AC407B" w:rsidRDefault="002528D8" w:rsidP="00AC407B">
      <w:pPr>
        <w:numPr>
          <w:ilvl w:val="0"/>
          <w:numId w:val="19"/>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Tracks accuracy in predicting demand.</w:t>
      </w:r>
    </w:p>
    <w:p w14:paraId="29AB268C" w14:textId="43DD90F9"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Supplier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(Late or Incorrect Deliveries / Total Deliveries) × 100</w:t>
      </w:r>
    </w:p>
    <w:p w14:paraId="6492AA27" w14:textId="3D6C9C6C" w:rsidR="002528D8" w:rsidRPr="00AC407B" w:rsidRDefault="002528D8" w:rsidP="00AC407B">
      <w:pPr>
        <w:numPr>
          <w:ilvl w:val="0"/>
          <w:numId w:val="20"/>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Measures supplier delivery failures.</w:t>
      </w:r>
    </w:p>
    <w:p w14:paraId="69967727" w14:textId="0F08C6BC"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Distribution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(Delayed or Incomplete Deliveries / Total Shipments) × 100</w:t>
      </w:r>
    </w:p>
    <w:p w14:paraId="7FA67BD9" w14:textId="22042BD5" w:rsidR="002528D8" w:rsidRPr="00AC407B" w:rsidRDefault="002528D8" w:rsidP="00AC407B">
      <w:pPr>
        <w:numPr>
          <w:ilvl w:val="0"/>
          <w:numId w:val="21"/>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Shows failures in internal distribution of supplies.</w:t>
      </w:r>
    </w:p>
    <w:p w14:paraId="30EA3828" w14:textId="64FB70D7"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Cost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((Actual Supply Chain Costs - Budgeted Costs) / Budgeted Costs) × 100</w:t>
      </w:r>
    </w:p>
    <w:p w14:paraId="56FF8CAB" w14:textId="53957E73" w:rsidR="002528D8" w:rsidRPr="00AC407B" w:rsidRDefault="002528D8" w:rsidP="00AC407B">
      <w:pPr>
        <w:numPr>
          <w:ilvl w:val="0"/>
          <w:numId w:val="22"/>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Measures overspending against what was planned.</w:t>
      </w:r>
    </w:p>
    <w:p w14:paraId="24C456B6" w14:textId="27FFFDC4"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Reporting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(Delayed Reports / Total Reports) × 100</w:t>
      </w:r>
    </w:p>
    <w:p w14:paraId="7F9F418A" w14:textId="77777777" w:rsidR="00345EA9" w:rsidRDefault="002528D8" w:rsidP="002528D8">
      <w:pPr>
        <w:numPr>
          <w:ilvl w:val="0"/>
          <w:numId w:val="23"/>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Identifies how often reporting is delayed.</w:t>
      </w:r>
    </w:p>
    <w:p w14:paraId="73E83B6E" w14:textId="38471705" w:rsidR="002528D8" w:rsidRPr="00345EA9" w:rsidRDefault="002528D8" w:rsidP="00345EA9">
      <w:pPr>
        <w:spacing w:before="100" w:beforeAutospacing="1" w:after="100" w:afterAutospacing="1" w:line="240" w:lineRule="auto"/>
        <w:rPr>
          <w:rFonts w:ascii="Rockwell" w:eastAsia="Times New Roman" w:hAnsi="Rockwell" w:cs="Times New Roman"/>
          <w:sz w:val="24"/>
          <w:szCs w:val="24"/>
        </w:rPr>
      </w:pPr>
      <w:r w:rsidRPr="00345EA9">
        <w:rPr>
          <w:rFonts w:ascii="Rockwell" w:eastAsia="Times New Roman" w:hAnsi="Rockwell" w:cs="Times New Roman"/>
          <w:b/>
          <w:bCs/>
          <w:sz w:val="24"/>
          <w:szCs w:val="24"/>
        </w:rPr>
        <w:t xml:space="preserve"> Technology and System Integration Inefficiency (%)</w:t>
      </w:r>
      <w:r w:rsidRPr="00345EA9">
        <w:rPr>
          <w:rFonts w:ascii="Rockwell" w:eastAsia="Times New Roman" w:hAnsi="Rockwell" w:cs="Times New Roman"/>
          <w:sz w:val="24"/>
          <w:szCs w:val="24"/>
        </w:rPr>
        <w:br/>
      </w:r>
      <w:r w:rsidRPr="00345EA9">
        <w:rPr>
          <w:rFonts w:ascii="Rockwell" w:eastAsia="Times New Roman" w:hAnsi="Rockwell" w:cs="Courier New"/>
          <w:sz w:val="20"/>
          <w:szCs w:val="20"/>
        </w:rPr>
        <w:t>= (Manual Processes / Total Processes) × 100</w:t>
      </w:r>
    </w:p>
    <w:p w14:paraId="4D72CEE3" w14:textId="13B6D0E0" w:rsidR="002528D8" w:rsidRPr="00AC407B" w:rsidRDefault="002528D8" w:rsidP="00AC407B">
      <w:pPr>
        <w:numPr>
          <w:ilvl w:val="0"/>
          <w:numId w:val="24"/>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Reflects use of outdated or non-digital systems.</w:t>
      </w:r>
    </w:p>
    <w:p w14:paraId="4877AEAF" w14:textId="123C8F03"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Communication and Coordination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[1 - (Communication Failures / Total Communications)] × 100</w:t>
      </w:r>
    </w:p>
    <w:p w14:paraId="597FAE51" w14:textId="426B3FA1" w:rsidR="002528D8" w:rsidRPr="00AC407B" w:rsidRDefault="002528D8" w:rsidP="00AC407B">
      <w:pPr>
        <w:numPr>
          <w:ilvl w:val="0"/>
          <w:numId w:val="25"/>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Measures breakdown in communication across departments.</w:t>
      </w:r>
    </w:p>
    <w:p w14:paraId="124F31EB" w14:textId="69EA5C89"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Waste Management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(Unusable or Expired Stock / Total Stock Handled) × 100</w:t>
      </w:r>
    </w:p>
    <w:p w14:paraId="01A58F3D" w14:textId="3143FEFC" w:rsidR="002528D8" w:rsidRPr="00AC407B" w:rsidRDefault="002528D8" w:rsidP="00AC407B">
      <w:pPr>
        <w:numPr>
          <w:ilvl w:val="0"/>
          <w:numId w:val="26"/>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lastRenderedPageBreak/>
        <w:t>Identifies how much of the total handled stock is wasted.</w:t>
      </w:r>
    </w:p>
    <w:p w14:paraId="4774B848" w14:textId="6B1DD227" w:rsidR="002528D8" w:rsidRPr="00CA7DE5" w:rsidRDefault="002528D8" w:rsidP="002528D8">
      <w:p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b/>
          <w:bCs/>
          <w:sz w:val="24"/>
          <w:szCs w:val="24"/>
        </w:rPr>
        <w:t xml:space="preserve"> Dispensing Practice Inefficiency (%)</w:t>
      </w:r>
      <w:r w:rsidRPr="00CA7DE5">
        <w:rPr>
          <w:rFonts w:ascii="Rockwell" w:eastAsia="Times New Roman" w:hAnsi="Rockwell" w:cs="Times New Roman"/>
          <w:sz w:val="24"/>
          <w:szCs w:val="24"/>
        </w:rPr>
        <w:br/>
      </w:r>
      <w:r w:rsidRPr="00CA7DE5">
        <w:rPr>
          <w:rFonts w:ascii="Rockwell" w:eastAsia="Times New Roman" w:hAnsi="Rockwell" w:cs="Courier New"/>
          <w:sz w:val="20"/>
          <w:szCs w:val="20"/>
        </w:rPr>
        <w:t>= (Incorrect or Delayed Dispensing Cases / Total Dispensing Transactions) × 100</w:t>
      </w:r>
    </w:p>
    <w:p w14:paraId="0F71841B" w14:textId="52390BF5" w:rsidR="002528D8" w:rsidRPr="00AC407B" w:rsidRDefault="002528D8" w:rsidP="00E878F7">
      <w:pPr>
        <w:numPr>
          <w:ilvl w:val="0"/>
          <w:numId w:val="27"/>
        </w:numPr>
        <w:spacing w:before="100" w:beforeAutospacing="1" w:after="100" w:afterAutospacing="1" w:line="240" w:lineRule="auto"/>
        <w:rPr>
          <w:rFonts w:ascii="Rockwell" w:eastAsia="Times New Roman" w:hAnsi="Rockwell" w:cs="Times New Roman"/>
          <w:sz w:val="24"/>
          <w:szCs w:val="24"/>
        </w:rPr>
      </w:pPr>
      <w:r w:rsidRPr="00CA7DE5">
        <w:rPr>
          <w:rFonts w:ascii="Rockwell" w:eastAsia="Times New Roman" w:hAnsi="Rockwell" w:cs="Times New Roman"/>
          <w:sz w:val="24"/>
          <w:szCs w:val="24"/>
        </w:rPr>
        <w:t>Evaluates issues in giving out supplies or medicines to wards or patients.</w:t>
      </w:r>
    </w:p>
    <w:p w14:paraId="5A6EA2E9" w14:textId="616CA5D3" w:rsidR="002528D8" w:rsidRDefault="002528D8" w:rsidP="00E878F7">
      <w:pPr>
        <w:rPr>
          <w:rFonts w:ascii="Rockwell" w:hAnsi="Rockwell"/>
          <w:b/>
          <w:bCs/>
        </w:rPr>
      </w:pPr>
    </w:p>
    <w:p w14:paraId="4FF504F9" w14:textId="1CBAF79B" w:rsidR="002528D8" w:rsidRPr="0095508A" w:rsidRDefault="000211DA" w:rsidP="002528D8">
      <w:pPr>
        <w:pStyle w:val="Heading2"/>
        <w:rPr>
          <w:rFonts w:ascii="Rockwell" w:hAnsi="Rockwell"/>
          <w:b/>
          <w:bCs/>
        </w:rPr>
      </w:pPr>
      <w:bookmarkStart w:id="42" w:name="_Toc202995337"/>
      <w:r>
        <w:rPr>
          <w:rFonts w:ascii="Rockwell" w:hAnsi="Rockwell"/>
          <w:b/>
          <w:bCs/>
        </w:rPr>
        <w:t>6</w:t>
      </w:r>
      <w:r w:rsidR="002528D8" w:rsidRPr="0095508A">
        <w:rPr>
          <w:rFonts w:ascii="Rockwell" w:hAnsi="Rockwell"/>
          <w:b/>
          <w:bCs/>
        </w:rPr>
        <w:t>. Inefficiency Summary Table (Q3 2015EC)</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5627"/>
        <w:gridCol w:w="1222"/>
        <w:gridCol w:w="1734"/>
      </w:tblGrid>
      <w:tr w:rsidR="002528D8" w:rsidRPr="0095508A" w14:paraId="10DF64C8" w14:textId="77777777" w:rsidTr="009C258F">
        <w:trPr>
          <w:tblHeader/>
          <w:tblCellSpacing w:w="15" w:type="dxa"/>
        </w:trPr>
        <w:tc>
          <w:tcPr>
            <w:tcW w:w="0" w:type="auto"/>
            <w:vAlign w:val="center"/>
            <w:hideMark/>
          </w:tcPr>
          <w:p w14:paraId="05CCB095" w14:textId="77777777" w:rsidR="002528D8" w:rsidRPr="0095508A" w:rsidRDefault="002528D8" w:rsidP="009C258F">
            <w:pPr>
              <w:jc w:val="center"/>
              <w:rPr>
                <w:rFonts w:ascii="Rockwell" w:hAnsi="Rockwell"/>
                <w:b/>
                <w:bCs/>
              </w:rPr>
            </w:pPr>
            <w:r w:rsidRPr="0095508A">
              <w:rPr>
                <w:rFonts w:ascii="Rockwell" w:hAnsi="Rockwell"/>
                <w:b/>
                <w:bCs/>
              </w:rPr>
              <w:t>No.</w:t>
            </w:r>
          </w:p>
        </w:tc>
        <w:tc>
          <w:tcPr>
            <w:tcW w:w="0" w:type="auto"/>
            <w:vAlign w:val="center"/>
            <w:hideMark/>
          </w:tcPr>
          <w:p w14:paraId="189EFBBA" w14:textId="77777777" w:rsidR="002528D8" w:rsidRPr="0095508A" w:rsidRDefault="002528D8" w:rsidP="009C258F">
            <w:pPr>
              <w:jc w:val="center"/>
              <w:rPr>
                <w:rFonts w:ascii="Rockwell" w:hAnsi="Rockwell"/>
                <w:b/>
                <w:bCs/>
              </w:rPr>
            </w:pPr>
            <w:r w:rsidRPr="0095508A">
              <w:rPr>
                <w:rFonts w:ascii="Rockwell" w:hAnsi="Rockwell"/>
                <w:b/>
                <w:bCs/>
              </w:rPr>
              <w:t>Assessment Area</w:t>
            </w:r>
          </w:p>
        </w:tc>
        <w:tc>
          <w:tcPr>
            <w:tcW w:w="0" w:type="auto"/>
            <w:vAlign w:val="center"/>
            <w:hideMark/>
          </w:tcPr>
          <w:p w14:paraId="262BDFDF" w14:textId="77777777" w:rsidR="002528D8" w:rsidRPr="0095508A" w:rsidRDefault="002528D8" w:rsidP="009C258F">
            <w:pPr>
              <w:jc w:val="center"/>
              <w:rPr>
                <w:rFonts w:ascii="Rockwell" w:hAnsi="Rockwell"/>
                <w:b/>
                <w:bCs/>
              </w:rPr>
            </w:pPr>
            <w:r w:rsidRPr="0095508A">
              <w:rPr>
                <w:rFonts w:ascii="Rockwell" w:hAnsi="Rockwell"/>
                <w:b/>
                <w:bCs/>
              </w:rPr>
              <w:t>Cost (ETB)</w:t>
            </w:r>
          </w:p>
        </w:tc>
        <w:tc>
          <w:tcPr>
            <w:tcW w:w="0" w:type="auto"/>
            <w:vAlign w:val="center"/>
            <w:hideMark/>
          </w:tcPr>
          <w:p w14:paraId="7C38248E" w14:textId="77777777" w:rsidR="002528D8" w:rsidRPr="0095508A" w:rsidRDefault="002528D8" w:rsidP="009C258F">
            <w:pPr>
              <w:jc w:val="center"/>
              <w:rPr>
                <w:rFonts w:ascii="Rockwell" w:hAnsi="Rockwell"/>
                <w:b/>
                <w:bCs/>
              </w:rPr>
            </w:pPr>
            <w:r w:rsidRPr="0095508A">
              <w:rPr>
                <w:rFonts w:ascii="Rockwell" w:hAnsi="Rockwell"/>
                <w:b/>
                <w:bCs/>
              </w:rPr>
              <w:t>% Contribution</w:t>
            </w:r>
          </w:p>
        </w:tc>
      </w:tr>
      <w:tr w:rsidR="002528D8" w:rsidRPr="0095508A" w14:paraId="27687B28" w14:textId="77777777" w:rsidTr="009C258F">
        <w:trPr>
          <w:tblCellSpacing w:w="15" w:type="dxa"/>
        </w:trPr>
        <w:tc>
          <w:tcPr>
            <w:tcW w:w="0" w:type="auto"/>
            <w:vAlign w:val="center"/>
            <w:hideMark/>
          </w:tcPr>
          <w:p w14:paraId="652A169C" w14:textId="77777777" w:rsidR="002528D8" w:rsidRPr="0095508A" w:rsidRDefault="002528D8" w:rsidP="009C258F">
            <w:pPr>
              <w:rPr>
                <w:rFonts w:ascii="Rockwell" w:hAnsi="Rockwell"/>
                <w:b/>
                <w:bCs/>
              </w:rPr>
            </w:pPr>
            <w:r w:rsidRPr="0095508A">
              <w:rPr>
                <w:rFonts w:ascii="Rockwell" w:hAnsi="Rockwell"/>
                <w:b/>
                <w:bCs/>
              </w:rPr>
              <w:t>1</w:t>
            </w:r>
          </w:p>
        </w:tc>
        <w:tc>
          <w:tcPr>
            <w:tcW w:w="0" w:type="auto"/>
            <w:vAlign w:val="center"/>
            <w:hideMark/>
          </w:tcPr>
          <w:p w14:paraId="1AB2433A" w14:textId="77777777" w:rsidR="002528D8" w:rsidRPr="0095508A" w:rsidRDefault="002528D8" w:rsidP="009C258F">
            <w:pPr>
              <w:rPr>
                <w:rFonts w:ascii="Rockwell" w:hAnsi="Rockwell"/>
                <w:b/>
                <w:bCs/>
              </w:rPr>
            </w:pPr>
            <w:r w:rsidRPr="0095508A">
              <w:rPr>
                <w:rFonts w:ascii="Rockwell" w:hAnsi="Rockwell"/>
                <w:b/>
                <w:bCs/>
              </w:rPr>
              <w:t>Procurement Efficiency</w:t>
            </w:r>
            <w:r>
              <w:rPr>
                <w:rFonts w:ascii="Rockwell" w:hAnsi="Rockwell"/>
                <w:b/>
                <w:bCs/>
              </w:rPr>
              <w:t xml:space="preserve"> inefficiency</w:t>
            </w:r>
          </w:p>
        </w:tc>
        <w:tc>
          <w:tcPr>
            <w:tcW w:w="0" w:type="auto"/>
            <w:vAlign w:val="center"/>
            <w:hideMark/>
          </w:tcPr>
          <w:p w14:paraId="43C9D8C5" w14:textId="77777777" w:rsidR="002528D8" w:rsidRPr="0095508A" w:rsidRDefault="002528D8" w:rsidP="009C258F">
            <w:pPr>
              <w:rPr>
                <w:rFonts w:ascii="Rockwell" w:hAnsi="Rockwell"/>
                <w:b/>
                <w:bCs/>
              </w:rPr>
            </w:pPr>
            <w:r w:rsidRPr="0095508A">
              <w:rPr>
                <w:rFonts w:ascii="Rockwell" w:hAnsi="Rockwell"/>
                <w:b/>
                <w:bCs/>
              </w:rPr>
              <w:t>9,000</w:t>
            </w:r>
          </w:p>
        </w:tc>
        <w:tc>
          <w:tcPr>
            <w:tcW w:w="0" w:type="auto"/>
            <w:vAlign w:val="center"/>
            <w:hideMark/>
          </w:tcPr>
          <w:p w14:paraId="318DC918" w14:textId="77777777" w:rsidR="002528D8" w:rsidRPr="0095508A" w:rsidRDefault="002528D8" w:rsidP="009C258F">
            <w:pPr>
              <w:rPr>
                <w:rFonts w:ascii="Rockwell" w:hAnsi="Rockwell"/>
                <w:b/>
                <w:bCs/>
              </w:rPr>
            </w:pPr>
            <w:r w:rsidRPr="0095508A">
              <w:rPr>
                <w:rFonts w:ascii="Rockwell" w:hAnsi="Rockwell"/>
                <w:b/>
                <w:bCs/>
              </w:rPr>
              <w:t>1.50%</w:t>
            </w:r>
          </w:p>
        </w:tc>
      </w:tr>
      <w:tr w:rsidR="002528D8" w:rsidRPr="0095508A" w14:paraId="24849DCB" w14:textId="77777777" w:rsidTr="009C258F">
        <w:trPr>
          <w:tblCellSpacing w:w="15" w:type="dxa"/>
        </w:trPr>
        <w:tc>
          <w:tcPr>
            <w:tcW w:w="0" w:type="auto"/>
            <w:vAlign w:val="center"/>
            <w:hideMark/>
          </w:tcPr>
          <w:p w14:paraId="6E497469" w14:textId="77777777" w:rsidR="002528D8" w:rsidRPr="0095508A" w:rsidRDefault="002528D8" w:rsidP="009C258F">
            <w:pPr>
              <w:rPr>
                <w:rFonts w:ascii="Rockwell" w:hAnsi="Rockwell"/>
                <w:b/>
                <w:bCs/>
              </w:rPr>
            </w:pPr>
            <w:r w:rsidRPr="0095508A">
              <w:rPr>
                <w:rFonts w:ascii="Rockwell" w:hAnsi="Rockwell"/>
                <w:b/>
                <w:bCs/>
              </w:rPr>
              <w:t>2</w:t>
            </w:r>
          </w:p>
        </w:tc>
        <w:tc>
          <w:tcPr>
            <w:tcW w:w="0" w:type="auto"/>
            <w:vAlign w:val="center"/>
            <w:hideMark/>
          </w:tcPr>
          <w:p w14:paraId="1303D9E8" w14:textId="77777777" w:rsidR="002528D8" w:rsidRPr="0095508A" w:rsidRDefault="002528D8" w:rsidP="009C258F">
            <w:pPr>
              <w:rPr>
                <w:rFonts w:ascii="Rockwell" w:hAnsi="Rockwell"/>
                <w:b/>
                <w:bCs/>
              </w:rPr>
            </w:pPr>
            <w:r w:rsidRPr="0095508A">
              <w:rPr>
                <w:rFonts w:ascii="Rockwell" w:hAnsi="Rockwell"/>
                <w:b/>
                <w:bCs/>
              </w:rPr>
              <w:t>Inventory Management</w:t>
            </w:r>
            <w:r>
              <w:rPr>
                <w:rFonts w:ascii="Rockwell" w:hAnsi="Rockwell"/>
                <w:b/>
                <w:bCs/>
              </w:rPr>
              <w:t xml:space="preserve"> inefficiency</w:t>
            </w:r>
          </w:p>
        </w:tc>
        <w:tc>
          <w:tcPr>
            <w:tcW w:w="0" w:type="auto"/>
            <w:vAlign w:val="center"/>
            <w:hideMark/>
          </w:tcPr>
          <w:p w14:paraId="15CB5334" w14:textId="77777777" w:rsidR="002528D8" w:rsidRPr="0095508A" w:rsidRDefault="002528D8" w:rsidP="009C258F">
            <w:pPr>
              <w:rPr>
                <w:rFonts w:ascii="Rockwell" w:hAnsi="Rockwell"/>
                <w:b/>
                <w:bCs/>
              </w:rPr>
            </w:pPr>
            <w:r w:rsidRPr="0095508A">
              <w:rPr>
                <w:rFonts w:ascii="Rockwell" w:hAnsi="Rockwell"/>
                <w:b/>
                <w:bCs/>
              </w:rPr>
              <w:t>7,440</w:t>
            </w:r>
          </w:p>
        </w:tc>
        <w:tc>
          <w:tcPr>
            <w:tcW w:w="0" w:type="auto"/>
            <w:vAlign w:val="center"/>
            <w:hideMark/>
          </w:tcPr>
          <w:p w14:paraId="3443B507" w14:textId="77777777" w:rsidR="002528D8" w:rsidRPr="0095508A" w:rsidRDefault="002528D8" w:rsidP="009C258F">
            <w:pPr>
              <w:rPr>
                <w:rFonts w:ascii="Rockwell" w:hAnsi="Rockwell"/>
                <w:b/>
                <w:bCs/>
              </w:rPr>
            </w:pPr>
            <w:r w:rsidRPr="0095508A">
              <w:rPr>
                <w:rFonts w:ascii="Rockwell" w:hAnsi="Rockwell"/>
                <w:b/>
                <w:bCs/>
              </w:rPr>
              <w:t>1.24%</w:t>
            </w:r>
          </w:p>
        </w:tc>
      </w:tr>
      <w:tr w:rsidR="002528D8" w:rsidRPr="0095508A" w14:paraId="0A916EB6" w14:textId="77777777" w:rsidTr="009C258F">
        <w:trPr>
          <w:tblCellSpacing w:w="15" w:type="dxa"/>
        </w:trPr>
        <w:tc>
          <w:tcPr>
            <w:tcW w:w="0" w:type="auto"/>
            <w:vAlign w:val="center"/>
            <w:hideMark/>
          </w:tcPr>
          <w:p w14:paraId="0EA63CD5" w14:textId="77777777" w:rsidR="002528D8" w:rsidRPr="0095508A" w:rsidRDefault="002528D8" w:rsidP="009C258F">
            <w:pPr>
              <w:rPr>
                <w:rFonts w:ascii="Rockwell" w:hAnsi="Rockwell"/>
                <w:b/>
                <w:bCs/>
              </w:rPr>
            </w:pPr>
            <w:r w:rsidRPr="0095508A">
              <w:rPr>
                <w:rFonts w:ascii="Rockwell" w:hAnsi="Rockwell"/>
                <w:b/>
                <w:bCs/>
              </w:rPr>
              <w:t>3</w:t>
            </w:r>
          </w:p>
        </w:tc>
        <w:tc>
          <w:tcPr>
            <w:tcW w:w="0" w:type="auto"/>
            <w:vAlign w:val="center"/>
            <w:hideMark/>
          </w:tcPr>
          <w:p w14:paraId="1A7860D1" w14:textId="77777777" w:rsidR="002528D8" w:rsidRPr="0095508A" w:rsidRDefault="002528D8" w:rsidP="009C258F">
            <w:pPr>
              <w:rPr>
                <w:rFonts w:ascii="Rockwell" w:hAnsi="Rockwell"/>
                <w:b/>
                <w:bCs/>
              </w:rPr>
            </w:pPr>
            <w:r w:rsidRPr="0095508A">
              <w:rPr>
                <w:rFonts w:ascii="Rockwell" w:hAnsi="Rockwell"/>
                <w:b/>
                <w:bCs/>
              </w:rPr>
              <w:t>Demand Forecasting</w:t>
            </w:r>
            <w:r>
              <w:rPr>
                <w:rFonts w:ascii="Rockwell" w:hAnsi="Rockwell"/>
                <w:b/>
                <w:bCs/>
              </w:rPr>
              <w:t xml:space="preserve"> inefficiency</w:t>
            </w:r>
          </w:p>
        </w:tc>
        <w:tc>
          <w:tcPr>
            <w:tcW w:w="0" w:type="auto"/>
            <w:vAlign w:val="center"/>
            <w:hideMark/>
          </w:tcPr>
          <w:p w14:paraId="1726F690" w14:textId="77777777" w:rsidR="002528D8" w:rsidRPr="0095508A" w:rsidRDefault="002528D8" w:rsidP="009C258F">
            <w:pPr>
              <w:rPr>
                <w:rFonts w:ascii="Rockwell" w:hAnsi="Rockwell"/>
                <w:b/>
                <w:bCs/>
              </w:rPr>
            </w:pPr>
            <w:r w:rsidRPr="0095508A">
              <w:rPr>
                <w:rFonts w:ascii="Rockwell" w:hAnsi="Rockwell"/>
                <w:b/>
                <w:bCs/>
              </w:rPr>
              <w:t>6,660</w:t>
            </w:r>
          </w:p>
        </w:tc>
        <w:tc>
          <w:tcPr>
            <w:tcW w:w="0" w:type="auto"/>
            <w:vAlign w:val="center"/>
            <w:hideMark/>
          </w:tcPr>
          <w:p w14:paraId="4CCDB479" w14:textId="77777777" w:rsidR="002528D8" w:rsidRPr="0095508A" w:rsidRDefault="002528D8" w:rsidP="009C258F">
            <w:pPr>
              <w:rPr>
                <w:rFonts w:ascii="Rockwell" w:hAnsi="Rockwell"/>
                <w:b/>
                <w:bCs/>
              </w:rPr>
            </w:pPr>
            <w:r w:rsidRPr="0095508A">
              <w:rPr>
                <w:rFonts w:ascii="Rockwell" w:hAnsi="Rockwell"/>
                <w:b/>
                <w:bCs/>
              </w:rPr>
              <w:t>1.11%</w:t>
            </w:r>
          </w:p>
        </w:tc>
      </w:tr>
      <w:tr w:rsidR="002528D8" w:rsidRPr="0095508A" w14:paraId="18717740" w14:textId="77777777" w:rsidTr="009C258F">
        <w:trPr>
          <w:tblCellSpacing w:w="15" w:type="dxa"/>
        </w:trPr>
        <w:tc>
          <w:tcPr>
            <w:tcW w:w="0" w:type="auto"/>
            <w:vAlign w:val="center"/>
            <w:hideMark/>
          </w:tcPr>
          <w:p w14:paraId="0850ED0D" w14:textId="77777777" w:rsidR="002528D8" w:rsidRPr="0095508A" w:rsidRDefault="002528D8" w:rsidP="009C258F">
            <w:pPr>
              <w:rPr>
                <w:rFonts w:ascii="Rockwell" w:hAnsi="Rockwell"/>
                <w:b/>
                <w:bCs/>
              </w:rPr>
            </w:pPr>
            <w:r w:rsidRPr="0095508A">
              <w:rPr>
                <w:rFonts w:ascii="Rockwell" w:hAnsi="Rockwell"/>
                <w:b/>
                <w:bCs/>
              </w:rPr>
              <w:t>4</w:t>
            </w:r>
          </w:p>
        </w:tc>
        <w:tc>
          <w:tcPr>
            <w:tcW w:w="0" w:type="auto"/>
            <w:vAlign w:val="center"/>
            <w:hideMark/>
          </w:tcPr>
          <w:p w14:paraId="23A2B04A" w14:textId="77777777" w:rsidR="002528D8" w:rsidRPr="0095508A" w:rsidRDefault="002528D8" w:rsidP="009C258F">
            <w:pPr>
              <w:rPr>
                <w:rFonts w:ascii="Rockwell" w:hAnsi="Rockwell"/>
                <w:b/>
                <w:bCs/>
              </w:rPr>
            </w:pPr>
            <w:r w:rsidRPr="0095508A">
              <w:rPr>
                <w:rFonts w:ascii="Rockwell" w:hAnsi="Rockwell"/>
                <w:b/>
                <w:bCs/>
              </w:rPr>
              <w:t>Supplier and Distribution Performance</w:t>
            </w:r>
            <w:r>
              <w:rPr>
                <w:rFonts w:ascii="Rockwell" w:hAnsi="Rockwell"/>
                <w:b/>
                <w:bCs/>
              </w:rPr>
              <w:t xml:space="preserve"> inefficiency</w:t>
            </w:r>
          </w:p>
        </w:tc>
        <w:tc>
          <w:tcPr>
            <w:tcW w:w="0" w:type="auto"/>
            <w:vAlign w:val="center"/>
            <w:hideMark/>
          </w:tcPr>
          <w:p w14:paraId="3351D2F0" w14:textId="77777777" w:rsidR="002528D8" w:rsidRPr="0095508A" w:rsidRDefault="002528D8" w:rsidP="009C258F">
            <w:pPr>
              <w:rPr>
                <w:rFonts w:ascii="Rockwell" w:hAnsi="Rockwell"/>
                <w:b/>
                <w:bCs/>
              </w:rPr>
            </w:pPr>
            <w:r w:rsidRPr="0095508A">
              <w:rPr>
                <w:rFonts w:ascii="Rockwell" w:hAnsi="Rockwell"/>
                <w:b/>
                <w:bCs/>
              </w:rPr>
              <w:t>7,800</w:t>
            </w:r>
          </w:p>
        </w:tc>
        <w:tc>
          <w:tcPr>
            <w:tcW w:w="0" w:type="auto"/>
            <w:vAlign w:val="center"/>
            <w:hideMark/>
          </w:tcPr>
          <w:p w14:paraId="651602AC" w14:textId="77777777" w:rsidR="002528D8" w:rsidRPr="0095508A" w:rsidRDefault="002528D8" w:rsidP="009C258F">
            <w:pPr>
              <w:rPr>
                <w:rFonts w:ascii="Rockwell" w:hAnsi="Rockwell"/>
                <w:b/>
                <w:bCs/>
              </w:rPr>
            </w:pPr>
            <w:r w:rsidRPr="0095508A">
              <w:rPr>
                <w:rFonts w:ascii="Rockwell" w:hAnsi="Rockwell"/>
                <w:b/>
                <w:bCs/>
              </w:rPr>
              <w:t>1.30%</w:t>
            </w:r>
          </w:p>
        </w:tc>
      </w:tr>
      <w:tr w:rsidR="002528D8" w:rsidRPr="0095508A" w14:paraId="5E422978" w14:textId="77777777" w:rsidTr="009C258F">
        <w:trPr>
          <w:tblCellSpacing w:w="15" w:type="dxa"/>
        </w:trPr>
        <w:tc>
          <w:tcPr>
            <w:tcW w:w="0" w:type="auto"/>
            <w:vAlign w:val="center"/>
            <w:hideMark/>
          </w:tcPr>
          <w:p w14:paraId="53F881E7" w14:textId="77777777" w:rsidR="002528D8" w:rsidRPr="0095508A" w:rsidRDefault="002528D8" w:rsidP="009C258F">
            <w:pPr>
              <w:rPr>
                <w:rFonts w:ascii="Rockwell" w:hAnsi="Rockwell"/>
                <w:b/>
                <w:bCs/>
              </w:rPr>
            </w:pPr>
            <w:r w:rsidRPr="0095508A">
              <w:rPr>
                <w:rFonts w:ascii="Rockwell" w:hAnsi="Rockwell"/>
                <w:b/>
                <w:bCs/>
              </w:rPr>
              <w:t>5</w:t>
            </w:r>
          </w:p>
        </w:tc>
        <w:tc>
          <w:tcPr>
            <w:tcW w:w="0" w:type="auto"/>
            <w:vAlign w:val="center"/>
            <w:hideMark/>
          </w:tcPr>
          <w:p w14:paraId="7F9C68D6" w14:textId="77777777" w:rsidR="002528D8" w:rsidRPr="0095508A" w:rsidRDefault="002528D8" w:rsidP="009C258F">
            <w:pPr>
              <w:rPr>
                <w:rFonts w:ascii="Rockwell" w:hAnsi="Rockwell"/>
                <w:b/>
                <w:bCs/>
              </w:rPr>
            </w:pPr>
            <w:r w:rsidRPr="0095508A">
              <w:rPr>
                <w:rFonts w:ascii="Rockwell" w:hAnsi="Rockwell"/>
                <w:b/>
                <w:bCs/>
              </w:rPr>
              <w:t xml:space="preserve">Financial Management and Cost </w:t>
            </w:r>
            <w:r>
              <w:rPr>
                <w:rFonts w:ascii="Rockwell" w:hAnsi="Rockwell"/>
                <w:b/>
                <w:bCs/>
              </w:rPr>
              <w:t>inefficiency</w:t>
            </w:r>
          </w:p>
        </w:tc>
        <w:tc>
          <w:tcPr>
            <w:tcW w:w="0" w:type="auto"/>
            <w:vAlign w:val="center"/>
            <w:hideMark/>
          </w:tcPr>
          <w:p w14:paraId="2E6EC57E" w14:textId="77777777" w:rsidR="002528D8" w:rsidRPr="0095508A" w:rsidRDefault="002528D8" w:rsidP="009C258F">
            <w:pPr>
              <w:rPr>
                <w:rFonts w:ascii="Rockwell" w:hAnsi="Rockwell"/>
                <w:b/>
                <w:bCs/>
              </w:rPr>
            </w:pPr>
            <w:r w:rsidRPr="0095508A">
              <w:rPr>
                <w:rFonts w:ascii="Rockwell" w:hAnsi="Rockwell"/>
                <w:b/>
                <w:bCs/>
              </w:rPr>
              <w:t>8,160</w:t>
            </w:r>
          </w:p>
        </w:tc>
        <w:tc>
          <w:tcPr>
            <w:tcW w:w="0" w:type="auto"/>
            <w:vAlign w:val="center"/>
            <w:hideMark/>
          </w:tcPr>
          <w:p w14:paraId="6A9B2E0A" w14:textId="77777777" w:rsidR="002528D8" w:rsidRPr="0095508A" w:rsidRDefault="002528D8" w:rsidP="009C258F">
            <w:pPr>
              <w:rPr>
                <w:rFonts w:ascii="Rockwell" w:hAnsi="Rockwell"/>
                <w:b/>
                <w:bCs/>
              </w:rPr>
            </w:pPr>
            <w:r w:rsidRPr="0095508A">
              <w:rPr>
                <w:rFonts w:ascii="Rockwell" w:hAnsi="Rockwell"/>
                <w:b/>
                <w:bCs/>
              </w:rPr>
              <w:t>1.36%</w:t>
            </w:r>
          </w:p>
        </w:tc>
      </w:tr>
      <w:tr w:rsidR="002528D8" w:rsidRPr="0095508A" w14:paraId="03BEB46F" w14:textId="77777777" w:rsidTr="009C258F">
        <w:trPr>
          <w:tblCellSpacing w:w="15" w:type="dxa"/>
        </w:trPr>
        <w:tc>
          <w:tcPr>
            <w:tcW w:w="0" w:type="auto"/>
            <w:vAlign w:val="center"/>
            <w:hideMark/>
          </w:tcPr>
          <w:p w14:paraId="2B3DD9C1" w14:textId="77777777" w:rsidR="002528D8" w:rsidRPr="0095508A" w:rsidRDefault="002528D8" w:rsidP="009C258F">
            <w:pPr>
              <w:rPr>
                <w:rFonts w:ascii="Rockwell" w:hAnsi="Rockwell"/>
                <w:b/>
                <w:bCs/>
              </w:rPr>
            </w:pPr>
            <w:r w:rsidRPr="0095508A">
              <w:rPr>
                <w:rFonts w:ascii="Rockwell" w:hAnsi="Rockwell"/>
                <w:b/>
                <w:bCs/>
              </w:rPr>
              <w:t>6</w:t>
            </w:r>
          </w:p>
        </w:tc>
        <w:tc>
          <w:tcPr>
            <w:tcW w:w="0" w:type="auto"/>
            <w:vAlign w:val="center"/>
            <w:hideMark/>
          </w:tcPr>
          <w:p w14:paraId="7ED78FEF" w14:textId="77777777" w:rsidR="002528D8" w:rsidRPr="0095508A" w:rsidRDefault="002528D8" w:rsidP="009C258F">
            <w:pPr>
              <w:rPr>
                <w:rFonts w:ascii="Rockwell" w:hAnsi="Rockwell"/>
                <w:b/>
                <w:bCs/>
              </w:rPr>
            </w:pPr>
            <w:r w:rsidRPr="0095508A">
              <w:rPr>
                <w:rFonts w:ascii="Rockwell" w:hAnsi="Rockwell"/>
                <w:b/>
                <w:bCs/>
              </w:rPr>
              <w:t>Monitoring and Reporting</w:t>
            </w:r>
            <w:r>
              <w:rPr>
                <w:rFonts w:ascii="Rockwell" w:hAnsi="Rockwell"/>
                <w:b/>
                <w:bCs/>
              </w:rPr>
              <w:t xml:space="preserve"> inefficiency</w:t>
            </w:r>
          </w:p>
        </w:tc>
        <w:tc>
          <w:tcPr>
            <w:tcW w:w="0" w:type="auto"/>
            <w:vAlign w:val="center"/>
            <w:hideMark/>
          </w:tcPr>
          <w:p w14:paraId="2EB9C753" w14:textId="77777777" w:rsidR="002528D8" w:rsidRPr="0095508A" w:rsidRDefault="002528D8" w:rsidP="009C258F">
            <w:pPr>
              <w:rPr>
                <w:rFonts w:ascii="Rockwell" w:hAnsi="Rockwell"/>
                <w:b/>
                <w:bCs/>
              </w:rPr>
            </w:pPr>
            <w:r w:rsidRPr="0095508A">
              <w:rPr>
                <w:rFonts w:ascii="Rockwell" w:hAnsi="Rockwell"/>
                <w:b/>
                <w:bCs/>
              </w:rPr>
              <w:t>9,000</w:t>
            </w:r>
          </w:p>
        </w:tc>
        <w:tc>
          <w:tcPr>
            <w:tcW w:w="0" w:type="auto"/>
            <w:vAlign w:val="center"/>
            <w:hideMark/>
          </w:tcPr>
          <w:p w14:paraId="28208C9A" w14:textId="77777777" w:rsidR="002528D8" w:rsidRPr="0095508A" w:rsidRDefault="002528D8" w:rsidP="009C258F">
            <w:pPr>
              <w:rPr>
                <w:rFonts w:ascii="Rockwell" w:hAnsi="Rockwell"/>
                <w:b/>
                <w:bCs/>
              </w:rPr>
            </w:pPr>
            <w:r w:rsidRPr="0095508A">
              <w:rPr>
                <w:rFonts w:ascii="Rockwell" w:hAnsi="Rockwell"/>
                <w:b/>
                <w:bCs/>
              </w:rPr>
              <w:t>1.50%</w:t>
            </w:r>
          </w:p>
        </w:tc>
      </w:tr>
      <w:tr w:rsidR="002528D8" w:rsidRPr="0095508A" w14:paraId="06F1E3C1" w14:textId="77777777" w:rsidTr="009C258F">
        <w:trPr>
          <w:tblCellSpacing w:w="15" w:type="dxa"/>
        </w:trPr>
        <w:tc>
          <w:tcPr>
            <w:tcW w:w="0" w:type="auto"/>
            <w:vAlign w:val="center"/>
            <w:hideMark/>
          </w:tcPr>
          <w:p w14:paraId="461CBA8D" w14:textId="77777777" w:rsidR="002528D8" w:rsidRPr="0095508A" w:rsidRDefault="002528D8" w:rsidP="009C258F">
            <w:pPr>
              <w:rPr>
                <w:rFonts w:ascii="Rockwell" w:hAnsi="Rockwell"/>
                <w:b/>
                <w:bCs/>
              </w:rPr>
            </w:pPr>
            <w:r w:rsidRPr="0095508A">
              <w:rPr>
                <w:rFonts w:ascii="Rockwell" w:hAnsi="Rockwell"/>
                <w:b/>
                <w:bCs/>
              </w:rPr>
              <w:t>7</w:t>
            </w:r>
          </w:p>
        </w:tc>
        <w:tc>
          <w:tcPr>
            <w:tcW w:w="0" w:type="auto"/>
            <w:vAlign w:val="center"/>
            <w:hideMark/>
          </w:tcPr>
          <w:p w14:paraId="572D7DDA" w14:textId="77777777" w:rsidR="002528D8" w:rsidRPr="0095508A" w:rsidRDefault="002528D8" w:rsidP="009C258F">
            <w:pPr>
              <w:rPr>
                <w:rFonts w:ascii="Rockwell" w:hAnsi="Rockwell"/>
                <w:b/>
                <w:bCs/>
              </w:rPr>
            </w:pPr>
            <w:r w:rsidRPr="0095508A">
              <w:rPr>
                <w:rFonts w:ascii="Rockwell" w:hAnsi="Rockwell"/>
                <w:b/>
                <w:bCs/>
              </w:rPr>
              <w:t>Technology and System Integration</w:t>
            </w:r>
            <w:r>
              <w:rPr>
                <w:rFonts w:ascii="Rockwell" w:hAnsi="Rockwell"/>
                <w:b/>
                <w:bCs/>
              </w:rPr>
              <w:t xml:space="preserve"> inefficiency</w:t>
            </w:r>
          </w:p>
        </w:tc>
        <w:tc>
          <w:tcPr>
            <w:tcW w:w="0" w:type="auto"/>
            <w:vAlign w:val="center"/>
            <w:hideMark/>
          </w:tcPr>
          <w:p w14:paraId="0741EABE" w14:textId="77777777" w:rsidR="002528D8" w:rsidRPr="0095508A" w:rsidRDefault="002528D8" w:rsidP="009C258F">
            <w:pPr>
              <w:rPr>
                <w:rFonts w:ascii="Rockwell" w:hAnsi="Rockwell"/>
                <w:b/>
                <w:bCs/>
              </w:rPr>
            </w:pPr>
            <w:r w:rsidRPr="0095508A">
              <w:rPr>
                <w:rFonts w:ascii="Rockwell" w:hAnsi="Rockwell"/>
                <w:b/>
                <w:bCs/>
              </w:rPr>
              <w:t>4,680</w:t>
            </w:r>
          </w:p>
        </w:tc>
        <w:tc>
          <w:tcPr>
            <w:tcW w:w="0" w:type="auto"/>
            <w:vAlign w:val="center"/>
            <w:hideMark/>
          </w:tcPr>
          <w:p w14:paraId="06D726A3" w14:textId="77777777" w:rsidR="002528D8" w:rsidRPr="0095508A" w:rsidRDefault="002528D8" w:rsidP="009C258F">
            <w:pPr>
              <w:rPr>
                <w:rFonts w:ascii="Rockwell" w:hAnsi="Rockwell"/>
                <w:b/>
                <w:bCs/>
              </w:rPr>
            </w:pPr>
            <w:r w:rsidRPr="0095508A">
              <w:rPr>
                <w:rFonts w:ascii="Rockwell" w:hAnsi="Rockwell"/>
                <w:b/>
                <w:bCs/>
              </w:rPr>
              <w:t>0.78%</w:t>
            </w:r>
          </w:p>
        </w:tc>
      </w:tr>
      <w:tr w:rsidR="002528D8" w:rsidRPr="0095508A" w14:paraId="599BC287" w14:textId="77777777" w:rsidTr="009C258F">
        <w:trPr>
          <w:tblCellSpacing w:w="15" w:type="dxa"/>
        </w:trPr>
        <w:tc>
          <w:tcPr>
            <w:tcW w:w="0" w:type="auto"/>
            <w:vAlign w:val="center"/>
            <w:hideMark/>
          </w:tcPr>
          <w:p w14:paraId="08BB20DC" w14:textId="77777777" w:rsidR="002528D8" w:rsidRPr="0095508A" w:rsidRDefault="002528D8" w:rsidP="009C258F">
            <w:pPr>
              <w:rPr>
                <w:rFonts w:ascii="Rockwell" w:hAnsi="Rockwell"/>
                <w:b/>
                <w:bCs/>
              </w:rPr>
            </w:pPr>
            <w:r w:rsidRPr="0095508A">
              <w:rPr>
                <w:rFonts w:ascii="Rockwell" w:hAnsi="Rockwell"/>
                <w:b/>
                <w:bCs/>
              </w:rPr>
              <w:t>8</w:t>
            </w:r>
          </w:p>
        </w:tc>
        <w:tc>
          <w:tcPr>
            <w:tcW w:w="0" w:type="auto"/>
            <w:vAlign w:val="center"/>
            <w:hideMark/>
          </w:tcPr>
          <w:p w14:paraId="0DE83ED0" w14:textId="77777777" w:rsidR="002528D8" w:rsidRPr="0095508A" w:rsidRDefault="002528D8" w:rsidP="009C258F">
            <w:pPr>
              <w:rPr>
                <w:rFonts w:ascii="Rockwell" w:hAnsi="Rockwell"/>
                <w:b/>
                <w:bCs/>
              </w:rPr>
            </w:pPr>
            <w:r w:rsidRPr="0095508A">
              <w:rPr>
                <w:rFonts w:ascii="Rockwell" w:hAnsi="Rockwell"/>
                <w:b/>
                <w:bCs/>
              </w:rPr>
              <w:t>Communication and Coordination</w:t>
            </w:r>
            <w:r>
              <w:rPr>
                <w:rFonts w:ascii="Rockwell" w:hAnsi="Rockwell"/>
                <w:b/>
                <w:bCs/>
              </w:rPr>
              <w:t xml:space="preserve"> inefficiency</w:t>
            </w:r>
          </w:p>
        </w:tc>
        <w:tc>
          <w:tcPr>
            <w:tcW w:w="0" w:type="auto"/>
            <w:vAlign w:val="center"/>
            <w:hideMark/>
          </w:tcPr>
          <w:p w14:paraId="21BE6F75" w14:textId="77777777" w:rsidR="002528D8" w:rsidRPr="0095508A" w:rsidRDefault="002528D8" w:rsidP="009C258F">
            <w:pPr>
              <w:rPr>
                <w:rFonts w:ascii="Rockwell" w:hAnsi="Rockwell"/>
                <w:b/>
                <w:bCs/>
              </w:rPr>
            </w:pPr>
            <w:r w:rsidRPr="0095508A">
              <w:rPr>
                <w:rFonts w:ascii="Rockwell" w:hAnsi="Rockwell"/>
                <w:b/>
                <w:bCs/>
              </w:rPr>
              <w:t>5,460</w:t>
            </w:r>
          </w:p>
        </w:tc>
        <w:tc>
          <w:tcPr>
            <w:tcW w:w="0" w:type="auto"/>
            <w:vAlign w:val="center"/>
            <w:hideMark/>
          </w:tcPr>
          <w:p w14:paraId="21C69055" w14:textId="77777777" w:rsidR="002528D8" w:rsidRPr="0095508A" w:rsidRDefault="002528D8" w:rsidP="009C258F">
            <w:pPr>
              <w:rPr>
                <w:rFonts w:ascii="Rockwell" w:hAnsi="Rockwell"/>
                <w:b/>
                <w:bCs/>
              </w:rPr>
            </w:pPr>
            <w:r w:rsidRPr="0095508A">
              <w:rPr>
                <w:rFonts w:ascii="Rockwell" w:hAnsi="Rockwell"/>
                <w:b/>
                <w:bCs/>
              </w:rPr>
              <w:t>0.91%</w:t>
            </w:r>
          </w:p>
        </w:tc>
      </w:tr>
      <w:tr w:rsidR="002528D8" w:rsidRPr="0095508A" w14:paraId="4042517C" w14:textId="77777777" w:rsidTr="009C258F">
        <w:trPr>
          <w:tblCellSpacing w:w="15" w:type="dxa"/>
        </w:trPr>
        <w:tc>
          <w:tcPr>
            <w:tcW w:w="0" w:type="auto"/>
            <w:vAlign w:val="center"/>
            <w:hideMark/>
          </w:tcPr>
          <w:p w14:paraId="478290FB" w14:textId="77777777" w:rsidR="002528D8" w:rsidRPr="0095508A" w:rsidRDefault="002528D8" w:rsidP="009C258F">
            <w:pPr>
              <w:rPr>
                <w:rFonts w:ascii="Rockwell" w:hAnsi="Rockwell"/>
                <w:b/>
                <w:bCs/>
              </w:rPr>
            </w:pPr>
            <w:r w:rsidRPr="0095508A">
              <w:rPr>
                <w:rFonts w:ascii="Rockwell" w:hAnsi="Rockwell"/>
                <w:b/>
                <w:bCs/>
              </w:rPr>
              <w:t>9</w:t>
            </w:r>
          </w:p>
        </w:tc>
        <w:tc>
          <w:tcPr>
            <w:tcW w:w="0" w:type="auto"/>
            <w:vAlign w:val="center"/>
            <w:hideMark/>
          </w:tcPr>
          <w:p w14:paraId="7700C226" w14:textId="77777777" w:rsidR="002528D8" w:rsidRPr="0095508A" w:rsidRDefault="002528D8" w:rsidP="009C258F">
            <w:pPr>
              <w:rPr>
                <w:rFonts w:ascii="Rockwell" w:hAnsi="Rockwell"/>
                <w:b/>
                <w:bCs/>
              </w:rPr>
            </w:pPr>
            <w:r w:rsidRPr="0095508A">
              <w:rPr>
                <w:rFonts w:ascii="Rockwell" w:hAnsi="Rockwell"/>
                <w:b/>
                <w:bCs/>
              </w:rPr>
              <w:t>Wastage Reduction</w:t>
            </w:r>
            <w:r>
              <w:rPr>
                <w:rFonts w:ascii="Rockwell" w:hAnsi="Rockwell"/>
                <w:b/>
                <w:bCs/>
              </w:rPr>
              <w:t xml:space="preserve"> inefficiency</w:t>
            </w:r>
          </w:p>
        </w:tc>
        <w:tc>
          <w:tcPr>
            <w:tcW w:w="0" w:type="auto"/>
            <w:vAlign w:val="center"/>
            <w:hideMark/>
          </w:tcPr>
          <w:p w14:paraId="73252B41" w14:textId="77777777" w:rsidR="002528D8" w:rsidRPr="0095508A" w:rsidRDefault="002528D8" w:rsidP="009C258F">
            <w:pPr>
              <w:rPr>
                <w:rFonts w:ascii="Rockwell" w:hAnsi="Rockwell"/>
                <w:b/>
                <w:bCs/>
              </w:rPr>
            </w:pPr>
            <w:r w:rsidRPr="0095508A">
              <w:rPr>
                <w:rFonts w:ascii="Rockwell" w:hAnsi="Rockwell"/>
                <w:b/>
                <w:bCs/>
              </w:rPr>
              <w:t>3,540</w:t>
            </w:r>
          </w:p>
        </w:tc>
        <w:tc>
          <w:tcPr>
            <w:tcW w:w="0" w:type="auto"/>
            <w:vAlign w:val="center"/>
            <w:hideMark/>
          </w:tcPr>
          <w:p w14:paraId="73F95BC4" w14:textId="77777777" w:rsidR="002528D8" w:rsidRPr="0095508A" w:rsidRDefault="002528D8" w:rsidP="009C258F">
            <w:pPr>
              <w:rPr>
                <w:rFonts w:ascii="Rockwell" w:hAnsi="Rockwell"/>
                <w:b/>
                <w:bCs/>
              </w:rPr>
            </w:pPr>
            <w:r w:rsidRPr="0095508A">
              <w:rPr>
                <w:rFonts w:ascii="Rockwell" w:hAnsi="Rockwell"/>
                <w:b/>
                <w:bCs/>
              </w:rPr>
              <w:t>0.59%</w:t>
            </w:r>
          </w:p>
        </w:tc>
      </w:tr>
      <w:tr w:rsidR="002528D8" w:rsidRPr="0095508A" w14:paraId="731360A3" w14:textId="77777777" w:rsidTr="009C258F">
        <w:trPr>
          <w:tblCellSpacing w:w="15" w:type="dxa"/>
        </w:trPr>
        <w:tc>
          <w:tcPr>
            <w:tcW w:w="0" w:type="auto"/>
            <w:vAlign w:val="center"/>
            <w:hideMark/>
          </w:tcPr>
          <w:p w14:paraId="4B3CCF73" w14:textId="77777777" w:rsidR="002528D8" w:rsidRPr="0095508A" w:rsidRDefault="002528D8" w:rsidP="009C258F">
            <w:pPr>
              <w:rPr>
                <w:rFonts w:ascii="Rockwell" w:hAnsi="Rockwell"/>
                <w:b/>
                <w:bCs/>
              </w:rPr>
            </w:pPr>
            <w:r w:rsidRPr="0095508A">
              <w:rPr>
                <w:rFonts w:ascii="Rockwell" w:hAnsi="Rockwell"/>
                <w:b/>
                <w:bCs/>
              </w:rPr>
              <w:t>10</w:t>
            </w:r>
          </w:p>
        </w:tc>
        <w:tc>
          <w:tcPr>
            <w:tcW w:w="0" w:type="auto"/>
            <w:vAlign w:val="center"/>
            <w:hideMark/>
          </w:tcPr>
          <w:p w14:paraId="76EF3A9A" w14:textId="77777777" w:rsidR="002528D8" w:rsidRPr="0095508A" w:rsidRDefault="002528D8" w:rsidP="009C258F">
            <w:pPr>
              <w:rPr>
                <w:rFonts w:ascii="Rockwell" w:hAnsi="Rockwell"/>
                <w:b/>
                <w:bCs/>
              </w:rPr>
            </w:pPr>
            <w:r w:rsidRPr="0095508A">
              <w:rPr>
                <w:rFonts w:ascii="Rockwell" w:hAnsi="Rockwell"/>
                <w:b/>
                <w:bCs/>
              </w:rPr>
              <w:t>Storage Practice Inefficiency</w:t>
            </w:r>
          </w:p>
        </w:tc>
        <w:tc>
          <w:tcPr>
            <w:tcW w:w="0" w:type="auto"/>
            <w:vAlign w:val="center"/>
            <w:hideMark/>
          </w:tcPr>
          <w:p w14:paraId="52A81F41" w14:textId="77777777" w:rsidR="002528D8" w:rsidRPr="0095508A" w:rsidRDefault="002528D8" w:rsidP="009C258F">
            <w:pPr>
              <w:rPr>
                <w:rFonts w:ascii="Rockwell" w:hAnsi="Rockwell"/>
                <w:b/>
                <w:bCs/>
              </w:rPr>
            </w:pPr>
            <w:r w:rsidRPr="0095508A">
              <w:rPr>
                <w:rFonts w:ascii="Rockwell" w:hAnsi="Rockwell"/>
                <w:b/>
                <w:bCs/>
              </w:rPr>
              <w:t>5,460</w:t>
            </w:r>
          </w:p>
        </w:tc>
        <w:tc>
          <w:tcPr>
            <w:tcW w:w="0" w:type="auto"/>
            <w:vAlign w:val="center"/>
            <w:hideMark/>
          </w:tcPr>
          <w:p w14:paraId="16C3DD74" w14:textId="77777777" w:rsidR="002528D8" w:rsidRPr="0095508A" w:rsidRDefault="002528D8" w:rsidP="009C258F">
            <w:pPr>
              <w:rPr>
                <w:rFonts w:ascii="Rockwell" w:hAnsi="Rockwell"/>
                <w:b/>
                <w:bCs/>
              </w:rPr>
            </w:pPr>
            <w:r w:rsidRPr="0095508A">
              <w:rPr>
                <w:rFonts w:ascii="Rockwell" w:hAnsi="Rockwell"/>
                <w:b/>
                <w:bCs/>
              </w:rPr>
              <w:t>0.91%</w:t>
            </w:r>
          </w:p>
        </w:tc>
      </w:tr>
      <w:tr w:rsidR="002528D8" w:rsidRPr="0095508A" w14:paraId="333FF408" w14:textId="77777777" w:rsidTr="009C258F">
        <w:trPr>
          <w:tblCellSpacing w:w="15" w:type="dxa"/>
        </w:trPr>
        <w:tc>
          <w:tcPr>
            <w:tcW w:w="0" w:type="auto"/>
            <w:vAlign w:val="center"/>
            <w:hideMark/>
          </w:tcPr>
          <w:p w14:paraId="496F4194" w14:textId="77777777" w:rsidR="002528D8" w:rsidRPr="0095508A" w:rsidRDefault="002528D8" w:rsidP="009C258F">
            <w:pPr>
              <w:rPr>
                <w:rFonts w:ascii="Rockwell" w:hAnsi="Rockwell"/>
                <w:b/>
                <w:bCs/>
              </w:rPr>
            </w:pPr>
            <w:r w:rsidRPr="0095508A">
              <w:rPr>
                <w:rFonts w:ascii="Rockwell" w:hAnsi="Rockwell"/>
                <w:b/>
                <w:bCs/>
              </w:rPr>
              <w:t>11</w:t>
            </w:r>
          </w:p>
        </w:tc>
        <w:tc>
          <w:tcPr>
            <w:tcW w:w="0" w:type="auto"/>
            <w:vAlign w:val="center"/>
            <w:hideMark/>
          </w:tcPr>
          <w:p w14:paraId="4C33A80D" w14:textId="77777777" w:rsidR="002528D8" w:rsidRPr="0095508A" w:rsidRDefault="002528D8" w:rsidP="009C258F">
            <w:pPr>
              <w:rPr>
                <w:rFonts w:ascii="Rockwell" w:hAnsi="Rockwell"/>
                <w:b/>
                <w:bCs/>
              </w:rPr>
            </w:pPr>
            <w:r w:rsidRPr="0095508A">
              <w:rPr>
                <w:rFonts w:ascii="Rockwell" w:hAnsi="Rockwell"/>
                <w:b/>
                <w:bCs/>
              </w:rPr>
              <w:t>Dispensing Practice Inefficiency</w:t>
            </w:r>
          </w:p>
        </w:tc>
        <w:tc>
          <w:tcPr>
            <w:tcW w:w="0" w:type="auto"/>
            <w:vAlign w:val="center"/>
            <w:hideMark/>
          </w:tcPr>
          <w:p w14:paraId="74C2DA07" w14:textId="77777777" w:rsidR="002528D8" w:rsidRPr="0095508A" w:rsidRDefault="002528D8" w:rsidP="009C258F">
            <w:pPr>
              <w:rPr>
                <w:rFonts w:ascii="Rockwell" w:hAnsi="Rockwell"/>
                <w:b/>
                <w:bCs/>
              </w:rPr>
            </w:pPr>
            <w:r w:rsidRPr="0095508A">
              <w:rPr>
                <w:rFonts w:ascii="Rockwell" w:hAnsi="Rockwell"/>
                <w:b/>
                <w:bCs/>
              </w:rPr>
              <w:t>4,800</w:t>
            </w:r>
          </w:p>
        </w:tc>
        <w:tc>
          <w:tcPr>
            <w:tcW w:w="0" w:type="auto"/>
            <w:vAlign w:val="center"/>
            <w:hideMark/>
          </w:tcPr>
          <w:p w14:paraId="7233408A" w14:textId="77777777" w:rsidR="002528D8" w:rsidRPr="0095508A" w:rsidRDefault="002528D8" w:rsidP="009C258F">
            <w:pPr>
              <w:rPr>
                <w:rFonts w:ascii="Rockwell" w:hAnsi="Rockwell"/>
                <w:b/>
                <w:bCs/>
              </w:rPr>
            </w:pPr>
            <w:r w:rsidRPr="0095508A">
              <w:rPr>
                <w:rFonts w:ascii="Rockwell" w:hAnsi="Rockwell"/>
                <w:b/>
                <w:bCs/>
              </w:rPr>
              <w:t>0.80%</w:t>
            </w:r>
          </w:p>
        </w:tc>
      </w:tr>
      <w:tr w:rsidR="002528D8" w:rsidRPr="0095508A" w14:paraId="1C038DE3" w14:textId="77777777" w:rsidTr="009C258F">
        <w:trPr>
          <w:tblCellSpacing w:w="15" w:type="dxa"/>
        </w:trPr>
        <w:tc>
          <w:tcPr>
            <w:tcW w:w="0" w:type="auto"/>
            <w:vAlign w:val="center"/>
            <w:hideMark/>
          </w:tcPr>
          <w:p w14:paraId="3781A129" w14:textId="77777777" w:rsidR="002528D8" w:rsidRPr="0095508A" w:rsidRDefault="002528D8" w:rsidP="009C258F">
            <w:pPr>
              <w:rPr>
                <w:rFonts w:ascii="Rockwell" w:hAnsi="Rockwell"/>
                <w:b/>
                <w:bCs/>
              </w:rPr>
            </w:pPr>
            <w:r w:rsidRPr="0095508A">
              <w:rPr>
                <w:rStyle w:val="Strong"/>
                <w:rFonts w:ascii="Rockwell" w:hAnsi="Rockwell"/>
              </w:rPr>
              <w:t>Total</w:t>
            </w:r>
          </w:p>
        </w:tc>
        <w:tc>
          <w:tcPr>
            <w:tcW w:w="0" w:type="auto"/>
            <w:vAlign w:val="center"/>
            <w:hideMark/>
          </w:tcPr>
          <w:p w14:paraId="03107BF6" w14:textId="77777777" w:rsidR="002528D8" w:rsidRPr="0095508A" w:rsidRDefault="002528D8" w:rsidP="009C258F">
            <w:pPr>
              <w:rPr>
                <w:rFonts w:ascii="Rockwell" w:hAnsi="Rockwell"/>
                <w:b/>
                <w:bCs/>
              </w:rPr>
            </w:pPr>
          </w:p>
        </w:tc>
        <w:tc>
          <w:tcPr>
            <w:tcW w:w="0" w:type="auto"/>
            <w:vAlign w:val="center"/>
            <w:hideMark/>
          </w:tcPr>
          <w:p w14:paraId="2A704C95" w14:textId="77777777" w:rsidR="002528D8" w:rsidRPr="0095508A" w:rsidRDefault="002528D8" w:rsidP="009C258F">
            <w:pPr>
              <w:rPr>
                <w:rFonts w:ascii="Rockwell" w:hAnsi="Rockwell"/>
                <w:b/>
                <w:bCs/>
                <w:sz w:val="24"/>
                <w:szCs w:val="24"/>
              </w:rPr>
            </w:pPr>
            <w:r w:rsidRPr="0095508A">
              <w:rPr>
                <w:rStyle w:val="Strong"/>
                <w:rFonts w:ascii="Rockwell" w:hAnsi="Rockwell"/>
              </w:rPr>
              <w:t>60,000</w:t>
            </w:r>
          </w:p>
        </w:tc>
        <w:tc>
          <w:tcPr>
            <w:tcW w:w="0" w:type="auto"/>
            <w:vAlign w:val="center"/>
            <w:hideMark/>
          </w:tcPr>
          <w:p w14:paraId="3136BD29" w14:textId="77777777" w:rsidR="002528D8" w:rsidRPr="0095508A" w:rsidRDefault="002528D8" w:rsidP="009C258F">
            <w:pPr>
              <w:rPr>
                <w:rFonts w:ascii="Rockwell" w:hAnsi="Rockwell"/>
                <w:b/>
                <w:bCs/>
              </w:rPr>
            </w:pPr>
            <w:r w:rsidRPr="0095508A">
              <w:rPr>
                <w:rStyle w:val="Strong"/>
                <w:rFonts w:ascii="Rockwell" w:hAnsi="Rockwell"/>
              </w:rPr>
              <w:t>12.00%</w:t>
            </w:r>
          </w:p>
        </w:tc>
      </w:tr>
    </w:tbl>
    <w:p w14:paraId="4F66F596" w14:textId="77777777" w:rsidR="002528D8" w:rsidRDefault="004A42D3" w:rsidP="002528D8">
      <w:pPr>
        <w:rPr>
          <w:rFonts w:ascii="Rockwell" w:hAnsi="Rockwell"/>
          <w:b/>
          <w:bCs/>
        </w:rPr>
      </w:pPr>
      <w:r>
        <w:rPr>
          <w:rFonts w:ascii="Rockwell" w:hAnsi="Rockwell"/>
          <w:b/>
          <w:bCs/>
        </w:rPr>
        <w:pict w14:anchorId="7B24DB11">
          <v:rect id="_x0000_i1033" style="width:0;height:1.5pt" o:hralign="center" o:hrstd="t" o:hr="t" fillcolor="#a0a0a0" stroked="f"/>
        </w:pict>
      </w:r>
    </w:p>
    <w:p w14:paraId="3BE85734" w14:textId="77777777" w:rsidR="002528D8" w:rsidRDefault="002528D8" w:rsidP="002528D8">
      <w:pPr>
        <w:rPr>
          <w:rFonts w:ascii="Rockwell" w:hAnsi="Rockwell"/>
          <w:b/>
          <w:bCs/>
        </w:rPr>
      </w:pPr>
    </w:p>
    <w:p w14:paraId="5B664C51" w14:textId="77777777" w:rsidR="002528D8" w:rsidRDefault="002528D8" w:rsidP="002528D8">
      <w:pPr>
        <w:rPr>
          <w:rFonts w:ascii="Rockwell" w:hAnsi="Rockwell"/>
          <w:b/>
          <w:bCs/>
        </w:rPr>
      </w:pPr>
    </w:p>
    <w:p w14:paraId="7E8AA4E0" w14:textId="02162259" w:rsidR="002528D8" w:rsidRDefault="002528D8" w:rsidP="002528D8">
      <w:pPr>
        <w:rPr>
          <w:rFonts w:ascii="Rockwell" w:hAnsi="Rockwell"/>
          <w:b/>
          <w:bCs/>
        </w:rPr>
      </w:pPr>
    </w:p>
    <w:p w14:paraId="263073B2" w14:textId="2BD33275" w:rsidR="0041062E" w:rsidRDefault="0041062E" w:rsidP="002528D8">
      <w:pPr>
        <w:rPr>
          <w:rFonts w:ascii="Rockwell" w:hAnsi="Rockwell"/>
          <w:b/>
          <w:bCs/>
        </w:rPr>
      </w:pPr>
    </w:p>
    <w:p w14:paraId="60438539" w14:textId="77777777" w:rsidR="0041062E" w:rsidRDefault="0041062E" w:rsidP="002528D8">
      <w:pPr>
        <w:rPr>
          <w:rFonts w:ascii="Rockwell" w:hAnsi="Rockwell"/>
          <w:b/>
          <w:bCs/>
        </w:rPr>
      </w:pPr>
    </w:p>
    <w:p w14:paraId="27E42355" w14:textId="77777777" w:rsidR="002528D8" w:rsidRPr="00B323F9" w:rsidRDefault="002528D8" w:rsidP="002528D8">
      <w:pPr>
        <w:rPr>
          <w:rFonts w:ascii="Rockwell" w:hAnsi="Rockwell"/>
          <w:b/>
          <w:bCs/>
        </w:rPr>
      </w:pPr>
      <w:r>
        <w:rPr>
          <w:rFonts w:ascii="Rockwell" w:hAnsi="Rockwell"/>
          <w:b/>
          <w:bCs/>
        </w:rPr>
        <w:t xml:space="preserve">Figure 1: </w:t>
      </w:r>
      <w:r w:rsidRPr="00B323F9">
        <w:rPr>
          <w:rFonts w:ascii="Rockwell" w:hAnsi="Rockwell"/>
          <w:b/>
          <w:bCs/>
        </w:rPr>
        <w:t>Supply chain inefficiency rate  Quarter 3,2015 EC</w:t>
      </w:r>
    </w:p>
    <w:p w14:paraId="762C3464" w14:textId="77777777" w:rsidR="002528D8" w:rsidRDefault="002528D8" w:rsidP="002528D8">
      <w:pPr>
        <w:rPr>
          <w:rFonts w:ascii="Rockwell" w:hAnsi="Rockwell"/>
          <w:b/>
          <w:bCs/>
        </w:rPr>
      </w:pPr>
      <w:r>
        <w:rPr>
          <w:noProof/>
        </w:rPr>
        <w:drawing>
          <wp:inline distT="0" distB="0" distL="0" distR="0" wp14:anchorId="18E2C93B" wp14:editId="4F4E9B4C">
            <wp:extent cx="6086475" cy="3476625"/>
            <wp:effectExtent l="0" t="0" r="9525" b="9525"/>
            <wp:docPr id="1" name="Chart 1">
              <a:extLst xmlns:a="http://schemas.openxmlformats.org/drawingml/2006/main">
                <a:ext uri="{FF2B5EF4-FFF2-40B4-BE49-F238E27FC236}">
                  <a16:creationId xmlns:a16="http://schemas.microsoft.com/office/drawing/2014/main" id="{DFC27DB5-38F7-4AD3-9E2B-D5071BA343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022800C" w14:textId="66971184" w:rsidR="002528D8" w:rsidRDefault="002528D8" w:rsidP="00E878F7">
      <w:pPr>
        <w:rPr>
          <w:rFonts w:ascii="Rockwell" w:hAnsi="Rockwell"/>
          <w:b/>
          <w:bCs/>
        </w:rPr>
      </w:pPr>
    </w:p>
    <w:p w14:paraId="4C87E7E5" w14:textId="14D80819" w:rsidR="002528D8" w:rsidRDefault="002528D8" w:rsidP="00E878F7">
      <w:pPr>
        <w:rPr>
          <w:rFonts w:ascii="Rockwell" w:hAnsi="Rockwell"/>
          <w:b/>
          <w:bCs/>
        </w:rPr>
      </w:pPr>
    </w:p>
    <w:p w14:paraId="5B324B24" w14:textId="77777777" w:rsidR="002528D8" w:rsidRPr="0095508A" w:rsidRDefault="002528D8" w:rsidP="00E878F7">
      <w:pPr>
        <w:rPr>
          <w:rFonts w:ascii="Rockwell" w:hAnsi="Rockwell"/>
          <w:b/>
          <w:bCs/>
        </w:rPr>
      </w:pPr>
    </w:p>
    <w:p w14:paraId="3438B8A7" w14:textId="2BF77F6B" w:rsidR="00E878F7" w:rsidRPr="0095508A" w:rsidRDefault="000211DA" w:rsidP="00E878F7">
      <w:pPr>
        <w:pStyle w:val="Heading2"/>
        <w:rPr>
          <w:rFonts w:ascii="Rockwell" w:hAnsi="Rockwell"/>
          <w:b/>
          <w:bCs/>
        </w:rPr>
      </w:pPr>
      <w:bookmarkStart w:id="43" w:name="_Toc202995338"/>
      <w:r>
        <w:rPr>
          <w:rFonts w:ascii="Rockwell" w:hAnsi="Rockwell"/>
          <w:b/>
          <w:bCs/>
        </w:rPr>
        <w:t>7</w:t>
      </w:r>
      <w:r w:rsidR="00E878F7" w:rsidRPr="0095508A">
        <w:rPr>
          <w:rFonts w:ascii="Rockwell" w:hAnsi="Rockwell"/>
          <w:b/>
          <w:bCs/>
        </w:rPr>
        <w:t>. Assessment Results</w:t>
      </w:r>
      <w:bookmarkEnd w:id="43"/>
    </w:p>
    <w:p w14:paraId="7F109ECE" w14:textId="77777777" w:rsidR="00E878F7" w:rsidRPr="007F212E" w:rsidRDefault="00E878F7" w:rsidP="00E878F7">
      <w:pPr>
        <w:pStyle w:val="NormalWeb"/>
        <w:rPr>
          <w:rFonts w:ascii="Rockwell" w:hAnsi="Rockwell"/>
        </w:rPr>
      </w:pPr>
      <w:r w:rsidRPr="007F212E">
        <w:rPr>
          <w:rFonts w:ascii="Rockwell" w:hAnsi="Rockwell"/>
        </w:rPr>
        <w:t>Key inefficiency areas identified include:</w:t>
      </w:r>
    </w:p>
    <w:p w14:paraId="3BA93142" w14:textId="77777777" w:rsidR="00E878F7" w:rsidRPr="007F212E" w:rsidRDefault="00E878F7" w:rsidP="00540A1E">
      <w:pPr>
        <w:pStyle w:val="NormalWeb"/>
        <w:numPr>
          <w:ilvl w:val="0"/>
          <w:numId w:val="6"/>
        </w:numPr>
        <w:rPr>
          <w:rFonts w:ascii="Rockwell" w:hAnsi="Rockwell"/>
        </w:rPr>
      </w:pPr>
      <w:r w:rsidRPr="007F212E">
        <w:rPr>
          <w:rStyle w:val="Strong"/>
          <w:rFonts w:ascii="Rockwell" w:hAnsi="Rockwell"/>
          <w:b w:val="0"/>
          <w:bCs w:val="0"/>
        </w:rPr>
        <w:t>Procurement:</w:t>
      </w:r>
      <w:r w:rsidRPr="007F212E">
        <w:rPr>
          <w:rFonts w:ascii="Rockwell" w:hAnsi="Rockwell"/>
        </w:rPr>
        <w:t xml:space="preserve"> Absence of structured timelines, lack of supplier contracts, and cost overruns.</w:t>
      </w:r>
    </w:p>
    <w:p w14:paraId="64D38485" w14:textId="77777777" w:rsidR="00E878F7" w:rsidRPr="007F212E" w:rsidRDefault="00E878F7" w:rsidP="00540A1E">
      <w:pPr>
        <w:pStyle w:val="NormalWeb"/>
        <w:numPr>
          <w:ilvl w:val="0"/>
          <w:numId w:val="6"/>
        </w:numPr>
        <w:rPr>
          <w:rFonts w:ascii="Rockwell" w:hAnsi="Rockwell"/>
        </w:rPr>
      </w:pPr>
      <w:r w:rsidRPr="007F212E">
        <w:rPr>
          <w:rStyle w:val="Strong"/>
          <w:rFonts w:ascii="Rockwell" w:hAnsi="Rockwell"/>
          <w:b w:val="0"/>
          <w:bCs w:val="0"/>
        </w:rPr>
        <w:t>Inventory Management:</w:t>
      </w:r>
      <w:r w:rsidRPr="007F212E">
        <w:rPr>
          <w:rFonts w:ascii="Rockwell" w:hAnsi="Rockwell"/>
        </w:rPr>
        <w:t xml:space="preserve"> Inadequate demand forecasting, no standardized stock levels, and reliance on manual tracking.</w:t>
      </w:r>
    </w:p>
    <w:p w14:paraId="218FD077" w14:textId="77777777" w:rsidR="00E878F7" w:rsidRPr="007F212E" w:rsidRDefault="00E878F7" w:rsidP="00540A1E">
      <w:pPr>
        <w:pStyle w:val="NormalWeb"/>
        <w:numPr>
          <w:ilvl w:val="0"/>
          <w:numId w:val="6"/>
        </w:numPr>
        <w:rPr>
          <w:rFonts w:ascii="Rockwell" w:hAnsi="Rockwell"/>
        </w:rPr>
      </w:pPr>
      <w:r w:rsidRPr="007F212E">
        <w:rPr>
          <w:rStyle w:val="Strong"/>
          <w:rFonts w:ascii="Rockwell" w:hAnsi="Rockwell"/>
          <w:b w:val="0"/>
          <w:bCs w:val="0"/>
        </w:rPr>
        <w:t>Supplier and Distribution:</w:t>
      </w:r>
      <w:r w:rsidRPr="007F212E">
        <w:rPr>
          <w:rFonts w:ascii="Rockwell" w:hAnsi="Rockwell"/>
        </w:rPr>
        <w:t xml:space="preserve"> Limited communication and absence of performance monitoring for suppliers.</w:t>
      </w:r>
    </w:p>
    <w:p w14:paraId="253D1928" w14:textId="77777777" w:rsidR="00E878F7" w:rsidRPr="007F212E" w:rsidRDefault="00E878F7" w:rsidP="00540A1E">
      <w:pPr>
        <w:pStyle w:val="NormalWeb"/>
        <w:numPr>
          <w:ilvl w:val="0"/>
          <w:numId w:val="6"/>
        </w:numPr>
        <w:rPr>
          <w:rFonts w:ascii="Rockwell" w:hAnsi="Rockwell"/>
        </w:rPr>
      </w:pPr>
      <w:r w:rsidRPr="007F212E">
        <w:rPr>
          <w:rStyle w:val="Strong"/>
          <w:rFonts w:ascii="Rockwell" w:hAnsi="Rockwell"/>
          <w:b w:val="0"/>
          <w:bCs w:val="0"/>
        </w:rPr>
        <w:t>Technology Use:</w:t>
      </w:r>
      <w:r w:rsidRPr="007F212E">
        <w:rPr>
          <w:rFonts w:ascii="Rockwell" w:hAnsi="Rockwell"/>
        </w:rPr>
        <w:t xml:space="preserve"> Under-utilization of digital inventory tools and lack of automated alerts.</w:t>
      </w:r>
    </w:p>
    <w:p w14:paraId="33FAE8A7" w14:textId="77777777" w:rsidR="00E878F7" w:rsidRPr="007F212E" w:rsidRDefault="00E878F7" w:rsidP="00540A1E">
      <w:pPr>
        <w:pStyle w:val="NormalWeb"/>
        <w:numPr>
          <w:ilvl w:val="0"/>
          <w:numId w:val="6"/>
        </w:numPr>
        <w:rPr>
          <w:rFonts w:ascii="Rockwell" w:hAnsi="Rockwell"/>
        </w:rPr>
      </w:pPr>
      <w:r w:rsidRPr="007F212E">
        <w:rPr>
          <w:rStyle w:val="Strong"/>
          <w:rFonts w:ascii="Rockwell" w:hAnsi="Rockwell"/>
          <w:b w:val="0"/>
          <w:bCs w:val="0"/>
        </w:rPr>
        <w:t>Monitoring and Reporting:</w:t>
      </w:r>
      <w:r w:rsidRPr="007F212E">
        <w:rPr>
          <w:rFonts w:ascii="Rockwell" w:hAnsi="Rockwell"/>
        </w:rPr>
        <w:t xml:space="preserve"> Infrequent performance reviews and inconsistent data reporting.</w:t>
      </w:r>
    </w:p>
    <w:p w14:paraId="3BBC0F55" w14:textId="77777777" w:rsidR="00E878F7" w:rsidRPr="007F212E" w:rsidRDefault="00E878F7" w:rsidP="00540A1E">
      <w:pPr>
        <w:pStyle w:val="NormalWeb"/>
        <w:numPr>
          <w:ilvl w:val="0"/>
          <w:numId w:val="6"/>
        </w:numPr>
        <w:rPr>
          <w:rFonts w:ascii="Rockwell" w:hAnsi="Rockwell"/>
        </w:rPr>
      </w:pPr>
      <w:r w:rsidRPr="007F212E">
        <w:rPr>
          <w:rStyle w:val="Strong"/>
          <w:rFonts w:ascii="Rockwell" w:hAnsi="Rockwell"/>
          <w:b w:val="0"/>
          <w:bCs w:val="0"/>
        </w:rPr>
        <w:t>Coordination and Communication:</w:t>
      </w:r>
      <w:r w:rsidRPr="007F212E">
        <w:rPr>
          <w:rFonts w:ascii="Rockwell" w:hAnsi="Rockwell"/>
        </w:rPr>
        <w:t xml:space="preserve"> Poor interdepartmental communication resulting in delayed urgent responses.</w:t>
      </w:r>
    </w:p>
    <w:p w14:paraId="38A5005A" w14:textId="77777777" w:rsidR="00E878F7" w:rsidRPr="0095508A" w:rsidRDefault="00E878F7" w:rsidP="00540A1E">
      <w:pPr>
        <w:pStyle w:val="NormalWeb"/>
        <w:numPr>
          <w:ilvl w:val="0"/>
          <w:numId w:val="6"/>
        </w:numPr>
        <w:rPr>
          <w:rFonts w:ascii="Rockwell" w:hAnsi="Rockwell"/>
          <w:b/>
          <w:bCs/>
        </w:rPr>
      </w:pPr>
      <w:r w:rsidRPr="007F212E">
        <w:rPr>
          <w:rStyle w:val="Strong"/>
          <w:rFonts w:ascii="Rockwell" w:hAnsi="Rockwell"/>
          <w:b w:val="0"/>
          <w:bCs w:val="0"/>
        </w:rPr>
        <w:t>Storage and Dispensing:</w:t>
      </w:r>
      <w:r w:rsidRPr="007F212E">
        <w:rPr>
          <w:rFonts w:ascii="Rockwell" w:hAnsi="Rockwell"/>
        </w:rPr>
        <w:t xml:space="preserve"> Irregular audits, high discrepancy rates, and weak stock rotation practices</w:t>
      </w:r>
      <w:r w:rsidRPr="0095508A">
        <w:rPr>
          <w:rFonts w:ascii="Rockwell" w:hAnsi="Rockwell"/>
          <w:b/>
          <w:bCs/>
        </w:rPr>
        <w:t>.</w:t>
      </w:r>
    </w:p>
    <w:p w14:paraId="2D0B59AF" w14:textId="77777777" w:rsidR="00E878F7" w:rsidRPr="0095508A" w:rsidRDefault="004A42D3" w:rsidP="00E878F7">
      <w:pPr>
        <w:rPr>
          <w:rFonts w:ascii="Rockwell" w:hAnsi="Rockwell"/>
          <w:b/>
          <w:bCs/>
        </w:rPr>
      </w:pPr>
      <w:r>
        <w:rPr>
          <w:rFonts w:ascii="Rockwell" w:hAnsi="Rockwell"/>
          <w:b/>
          <w:bCs/>
        </w:rPr>
        <w:pict w14:anchorId="6ADA8322">
          <v:rect id="_x0000_i1034" style="width:0;height:1.5pt" o:hralign="center" o:hrstd="t" o:hr="t" fillcolor="#a0a0a0" stroked="f"/>
        </w:pict>
      </w:r>
    </w:p>
    <w:p w14:paraId="277C5203" w14:textId="3AD544FC" w:rsidR="00E878F7" w:rsidRPr="0095508A" w:rsidRDefault="000211DA" w:rsidP="00E878F7">
      <w:pPr>
        <w:pStyle w:val="Heading2"/>
        <w:rPr>
          <w:rFonts w:ascii="Rockwell" w:hAnsi="Rockwell"/>
          <w:b/>
          <w:bCs/>
        </w:rPr>
      </w:pPr>
      <w:bookmarkStart w:id="44" w:name="_Toc202995339"/>
      <w:r>
        <w:rPr>
          <w:rFonts w:ascii="Rockwell" w:hAnsi="Rockwell"/>
          <w:b/>
          <w:bCs/>
        </w:rPr>
        <w:t>8</w:t>
      </w:r>
      <w:r w:rsidR="00E878F7" w:rsidRPr="0095508A">
        <w:rPr>
          <w:rFonts w:ascii="Rockwell" w:hAnsi="Rockwell"/>
          <w:b/>
          <w:bCs/>
        </w:rPr>
        <w:t>. Risk Assessment</w:t>
      </w:r>
      <w:bookmarkEnd w:id="44"/>
    </w:p>
    <w:p w14:paraId="676302D9" w14:textId="77777777" w:rsidR="00E878F7" w:rsidRPr="0095508A" w:rsidRDefault="00E878F7" w:rsidP="00E878F7">
      <w:pPr>
        <w:pStyle w:val="NormalWeb"/>
        <w:rPr>
          <w:rFonts w:ascii="Rockwell" w:hAnsi="Rockwell"/>
          <w:b/>
          <w:bCs/>
        </w:rPr>
      </w:pPr>
      <w:r w:rsidRPr="0095508A">
        <w:rPr>
          <w:rFonts w:ascii="Rockwell" w:hAnsi="Rockwell"/>
          <w:b/>
          <w:bCs/>
        </w:rPr>
        <w:t>The existing inefficiencies pose significant risks:</w:t>
      </w:r>
    </w:p>
    <w:p w14:paraId="5C711CCA" w14:textId="77777777" w:rsidR="00E878F7" w:rsidRPr="007F212E" w:rsidRDefault="00E878F7" w:rsidP="00540A1E">
      <w:pPr>
        <w:pStyle w:val="NormalWeb"/>
        <w:numPr>
          <w:ilvl w:val="0"/>
          <w:numId w:val="7"/>
        </w:numPr>
        <w:rPr>
          <w:rFonts w:ascii="Rockwell" w:hAnsi="Rockwell"/>
        </w:rPr>
      </w:pPr>
      <w:r w:rsidRPr="007F212E">
        <w:rPr>
          <w:rStyle w:val="Strong"/>
          <w:rFonts w:ascii="Rockwell" w:hAnsi="Rockwell"/>
          <w:b w:val="0"/>
          <w:bCs w:val="0"/>
        </w:rPr>
        <w:t>Inventory Shortages:</w:t>
      </w:r>
      <w:r w:rsidRPr="007F212E">
        <w:rPr>
          <w:rFonts w:ascii="Rockwell" w:hAnsi="Rockwell"/>
        </w:rPr>
        <w:t xml:space="preserve"> Leading to delayed or denied patient care.</w:t>
      </w:r>
    </w:p>
    <w:p w14:paraId="7A6A690A" w14:textId="77777777" w:rsidR="00E878F7" w:rsidRPr="007F212E" w:rsidRDefault="00E878F7" w:rsidP="00540A1E">
      <w:pPr>
        <w:pStyle w:val="NormalWeb"/>
        <w:numPr>
          <w:ilvl w:val="0"/>
          <w:numId w:val="7"/>
        </w:numPr>
        <w:rPr>
          <w:rFonts w:ascii="Rockwell" w:hAnsi="Rockwell"/>
        </w:rPr>
      </w:pPr>
      <w:r w:rsidRPr="007F212E">
        <w:rPr>
          <w:rStyle w:val="Strong"/>
          <w:rFonts w:ascii="Rockwell" w:hAnsi="Rockwell"/>
          <w:b w:val="0"/>
          <w:bCs w:val="0"/>
        </w:rPr>
        <w:t>Excess Inventory:</w:t>
      </w:r>
      <w:r w:rsidRPr="007F212E">
        <w:rPr>
          <w:rFonts w:ascii="Rockwell" w:hAnsi="Rockwell"/>
        </w:rPr>
        <w:t xml:space="preserve"> Causing wastage from expired stock and higher carrying costs.</w:t>
      </w:r>
    </w:p>
    <w:p w14:paraId="5F4CA7E8" w14:textId="77777777" w:rsidR="00E878F7" w:rsidRPr="007F212E" w:rsidRDefault="00E878F7" w:rsidP="00540A1E">
      <w:pPr>
        <w:pStyle w:val="NormalWeb"/>
        <w:numPr>
          <w:ilvl w:val="0"/>
          <w:numId w:val="7"/>
        </w:numPr>
        <w:rPr>
          <w:rFonts w:ascii="Rockwell" w:hAnsi="Rockwell"/>
        </w:rPr>
      </w:pPr>
      <w:r w:rsidRPr="007F212E">
        <w:rPr>
          <w:rStyle w:val="Strong"/>
          <w:rFonts w:ascii="Rockwell" w:hAnsi="Rockwell"/>
          <w:b w:val="0"/>
          <w:bCs w:val="0"/>
        </w:rPr>
        <w:t>Supplier Dependency:</w:t>
      </w:r>
      <w:r w:rsidRPr="007F212E">
        <w:rPr>
          <w:rFonts w:ascii="Rockwell" w:hAnsi="Rockwell"/>
        </w:rPr>
        <w:t xml:space="preserve"> Over-reliance on single suppliers without contingency plans.</w:t>
      </w:r>
    </w:p>
    <w:p w14:paraId="1AD2521D" w14:textId="77777777" w:rsidR="00E878F7" w:rsidRPr="007F212E" w:rsidRDefault="00E878F7" w:rsidP="00540A1E">
      <w:pPr>
        <w:pStyle w:val="NormalWeb"/>
        <w:numPr>
          <w:ilvl w:val="0"/>
          <w:numId w:val="7"/>
        </w:numPr>
        <w:rPr>
          <w:rFonts w:ascii="Rockwell" w:hAnsi="Rockwell"/>
        </w:rPr>
      </w:pPr>
      <w:r w:rsidRPr="007F212E">
        <w:rPr>
          <w:rStyle w:val="Strong"/>
          <w:rFonts w:ascii="Rockwell" w:hAnsi="Rockwell"/>
          <w:b w:val="0"/>
          <w:bCs w:val="0"/>
        </w:rPr>
        <w:t>Operational Delays:</w:t>
      </w:r>
      <w:r w:rsidRPr="007F212E">
        <w:rPr>
          <w:rFonts w:ascii="Rockwell" w:hAnsi="Rockwell"/>
        </w:rPr>
        <w:t xml:space="preserve"> Inefficient workflows and lack of real-time data slowing decisions.</w:t>
      </w:r>
    </w:p>
    <w:p w14:paraId="11A4EC6B" w14:textId="77777777" w:rsidR="00E878F7" w:rsidRPr="007F212E" w:rsidRDefault="00E878F7" w:rsidP="00540A1E">
      <w:pPr>
        <w:pStyle w:val="NormalWeb"/>
        <w:numPr>
          <w:ilvl w:val="0"/>
          <w:numId w:val="7"/>
        </w:numPr>
        <w:rPr>
          <w:rFonts w:ascii="Rockwell" w:hAnsi="Rockwell"/>
        </w:rPr>
      </w:pPr>
      <w:r w:rsidRPr="007F212E">
        <w:rPr>
          <w:rStyle w:val="Strong"/>
          <w:rFonts w:ascii="Rockwell" w:hAnsi="Rockwell"/>
          <w:b w:val="0"/>
          <w:bCs w:val="0"/>
        </w:rPr>
        <w:t>Financial Waste:</w:t>
      </w:r>
      <w:r w:rsidRPr="007F212E">
        <w:rPr>
          <w:rFonts w:ascii="Rockwell" w:hAnsi="Rockwell"/>
        </w:rPr>
        <w:t xml:space="preserve"> Emergency orders, duplicate purchases, and poor budgeting increase costs.</w:t>
      </w:r>
    </w:p>
    <w:p w14:paraId="7F0E7C17" w14:textId="77777777" w:rsidR="00E878F7" w:rsidRPr="007F212E" w:rsidRDefault="00E878F7" w:rsidP="00540A1E">
      <w:pPr>
        <w:pStyle w:val="NormalWeb"/>
        <w:numPr>
          <w:ilvl w:val="0"/>
          <w:numId w:val="7"/>
        </w:numPr>
        <w:rPr>
          <w:rFonts w:ascii="Rockwell" w:hAnsi="Rockwell"/>
        </w:rPr>
      </w:pPr>
      <w:r w:rsidRPr="007F212E">
        <w:rPr>
          <w:rStyle w:val="Strong"/>
          <w:rFonts w:ascii="Rockwell" w:hAnsi="Rockwell"/>
          <w:b w:val="0"/>
          <w:bCs w:val="0"/>
        </w:rPr>
        <w:t>Data Inaccuracy:</w:t>
      </w:r>
      <w:r w:rsidRPr="007F212E">
        <w:rPr>
          <w:rFonts w:ascii="Rockwell" w:hAnsi="Rockwell"/>
        </w:rPr>
        <w:t xml:space="preserve"> Manual entries without reconciliation produce unreliable stock data.</w:t>
      </w:r>
    </w:p>
    <w:p w14:paraId="69BB7989" w14:textId="77777777" w:rsidR="00E878F7" w:rsidRPr="0095508A" w:rsidRDefault="004A42D3" w:rsidP="00E878F7">
      <w:pPr>
        <w:rPr>
          <w:rFonts w:ascii="Rockwell" w:hAnsi="Rockwell"/>
          <w:b/>
          <w:bCs/>
        </w:rPr>
      </w:pPr>
      <w:r>
        <w:rPr>
          <w:rFonts w:ascii="Rockwell" w:hAnsi="Rockwell"/>
        </w:rPr>
        <w:pict w14:anchorId="5BE5A1D7">
          <v:rect id="_x0000_i1035" style="width:0;height:1.5pt" o:hralign="center" o:hrstd="t" o:hr="t" fillcolor="#a0a0a0" stroked="f"/>
        </w:pict>
      </w:r>
    </w:p>
    <w:p w14:paraId="609A9AA6" w14:textId="77777777" w:rsidR="00CA7DE5" w:rsidRPr="00CA7DE5" w:rsidRDefault="004A42D3" w:rsidP="00CA7D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37D457">
          <v:rect id="_x0000_i1036" style="width:0;height:1.5pt" o:hralign="center" o:hrstd="t" o:hr="t" fillcolor="#a0a0a0" stroked="f"/>
        </w:pict>
      </w:r>
    </w:p>
    <w:p w14:paraId="4B0E8978" w14:textId="239DA478" w:rsidR="00B323F9" w:rsidRPr="00D87B4E" w:rsidRDefault="00B323F9" w:rsidP="00EC02FB">
      <w:pPr>
        <w:spacing w:after="0" w:line="240" w:lineRule="auto"/>
        <w:rPr>
          <w:rFonts w:ascii="Rockwell" w:eastAsia="Times New Roman" w:hAnsi="Rockwell" w:cs="Times New Roman"/>
          <w:sz w:val="24"/>
          <w:szCs w:val="24"/>
        </w:rPr>
      </w:pPr>
    </w:p>
    <w:p w14:paraId="4FD37B51" w14:textId="67E506D1" w:rsidR="00EC02FB" w:rsidRPr="00F90224" w:rsidRDefault="00EC02FB" w:rsidP="00EC02FB">
      <w:pPr>
        <w:rPr>
          <w:sz w:val="20"/>
          <w:szCs w:val="20"/>
        </w:rPr>
      </w:pPr>
    </w:p>
    <w:p w14:paraId="7F2EA18C" w14:textId="5D093BF3" w:rsidR="00EC02FB" w:rsidRPr="00F90224" w:rsidRDefault="000211DA" w:rsidP="00AD1CBB">
      <w:pPr>
        <w:pStyle w:val="Heading1"/>
        <w:rPr>
          <w:b/>
          <w:bCs/>
        </w:rPr>
      </w:pPr>
      <w:bookmarkStart w:id="45" w:name="_Toc202995340"/>
      <w:r>
        <w:rPr>
          <w:rStyle w:val="Strong"/>
          <w:rFonts w:ascii="Rockwell" w:hAnsi="Rockwell"/>
          <w:b w:val="0"/>
          <w:bCs w:val="0"/>
        </w:rPr>
        <w:t>9</w:t>
      </w:r>
      <w:r w:rsidR="00EC02FB" w:rsidRPr="00F90224">
        <w:rPr>
          <w:rStyle w:val="Strong"/>
          <w:rFonts w:ascii="Rockwell" w:hAnsi="Rockwell"/>
          <w:b w:val="0"/>
          <w:bCs w:val="0"/>
        </w:rPr>
        <w:t>. Discussion</w:t>
      </w:r>
      <w:bookmarkEnd w:id="45"/>
    </w:p>
    <w:p w14:paraId="3AF870DF" w14:textId="77777777" w:rsidR="00EC02FB" w:rsidRPr="00F90224" w:rsidRDefault="00EC02FB" w:rsidP="00EC02FB">
      <w:pPr>
        <w:pStyle w:val="NormalWeb"/>
        <w:rPr>
          <w:rFonts w:ascii="Rockwell" w:hAnsi="Rockwell"/>
        </w:rPr>
      </w:pPr>
      <w:r w:rsidRPr="00F90224">
        <w:rPr>
          <w:rFonts w:ascii="Rockwell" w:hAnsi="Rockwell"/>
        </w:rPr>
        <w:t xml:space="preserve">The supply chain inefficiency assessment conducted for Quarter 3, 2015EC at </w:t>
      </w:r>
      <w:proofErr w:type="spellStart"/>
      <w:r w:rsidRPr="00F90224">
        <w:rPr>
          <w:rFonts w:ascii="Rockwell" w:hAnsi="Rockwell"/>
        </w:rPr>
        <w:t>Deder</w:t>
      </w:r>
      <w:proofErr w:type="spellEnd"/>
      <w:r w:rsidRPr="00F90224">
        <w:rPr>
          <w:rFonts w:ascii="Rockwell" w:hAnsi="Rockwell"/>
        </w:rPr>
        <w:t xml:space="preserve"> General Hospital has revealed multiple operational and systemic gaps across key areas. While inefficiencies varied in intensity, certain categories—such as procurement, inventory management, demand forecasting, and coordination—demonstrated recurring patterns that significantly contributed to service interruptions, delayed responses, and wastage of resources.</w:t>
      </w:r>
    </w:p>
    <w:p w14:paraId="680EDBF9" w14:textId="77777777" w:rsidR="00EC02FB" w:rsidRPr="00F90224" w:rsidRDefault="00EC02FB" w:rsidP="00EC02FB">
      <w:pPr>
        <w:pStyle w:val="NormalWeb"/>
        <w:rPr>
          <w:rFonts w:ascii="Rockwell" w:hAnsi="Rockwell"/>
        </w:rPr>
      </w:pPr>
      <w:r w:rsidRPr="00F90224">
        <w:rPr>
          <w:rFonts w:ascii="Rockwell" w:hAnsi="Rockwell"/>
        </w:rPr>
        <w:t xml:space="preserve">A key observation from this quarter’s findings was the persistent gap in </w:t>
      </w:r>
      <w:r w:rsidRPr="00F90224">
        <w:rPr>
          <w:rStyle w:val="Strong"/>
          <w:rFonts w:ascii="Rockwell" w:hAnsi="Rockwell"/>
          <w:b w:val="0"/>
          <w:bCs w:val="0"/>
        </w:rPr>
        <w:t>inventory management</w:t>
      </w:r>
      <w:r w:rsidRPr="00F90224">
        <w:rPr>
          <w:rFonts w:ascii="Rockwell" w:hAnsi="Rockwell"/>
        </w:rPr>
        <w:t>, where records were poorly maintained and stock audits were inconsistently conducted. This resulted in both overstocking and stockouts, which directly impacted service delivery and increased holding costs. Poor inventory tracking also led to discrepancies between reported and actual stock levels, revealing the need for better oversight and digitized tools like EAPTS.</w:t>
      </w:r>
    </w:p>
    <w:p w14:paraId="1D19CBCE" w14:textId="77777777" w:rsidR="00EC02FB" w:rsidRPr="00F90224" w:rsidRDefault="00EC02FB" w:rsidP="00EC02FB">
      <w:pPr>
        <w:pStyle w:val="NormalWeb"/>
        <w:rPr>
          <w:rFonts w:ascii="Rockwell" w:hAnsi="Rockwell"/>
        </w:rPr>
      </w:pPr>
      <w:r w:rsidRPr="00F90224">
        <w:rPr>
          <w:rFonts w:ascii="Rockwell" w:hAnsi="Rockwell"/>
        </w:rPr>
        <w:t xml:space="preserve">Although </w:t>
      </w:r>
      <w:r w:rsidRPr="00F90224">
        <w:rPr>
          <w:rStyle w:val="Strong"/>
          <w:rFonts w:ascii="Rockwell" w:hAnsi="Rockwell"/>
          <w:b w:val="0"/>
          <w:bCs w:val="0"/>
        </w:rPr>
        <w:t>forecasting and quantification are officially conducted only once a year—typically in Quarter 1 of the new budget cycle</w:t>
      </w:r>
      <w:r w:rsidRPr="00F90224">
        <w:rPr>
          <w:rFonts w:ascii="Rockwell" w:hAnsi="Rockwell"/>
        </w:rPr>
        <w:t xml:space="preserve">, their </w:t>
      </w:r>
      <w:r w:rsidRPr="00F90224">
        <w:rPr>
          <w:rStyle w:val="Strong"/>
          <w:rFonts w:ascii="Rockwell" w:hAnsi="Rockwell"/>
          <w:b w:val="0"/>
          <w:bCs w:val="0"/>
        </w:rPr>
        <w:t>impact extends across all quarters</w:t>
      </w:r>
      <w:r w:rsidRPr="00F90224">
        <w:rPr>
          <w:rFonts w:ascii="Rockwell" w:hAnsi="Rockwell"/>
        </w:rPr>
        <w:t xml:space="preserve">, especially when implementation is not adjusted based on real-time needs and program priorities. The data from this quarter showed that while annual quantification may have been completed earlier in the year, </w:t>
      </w:r>
      <w:r w:rsidRPr="00F90224">
        <w:rPr>
          <w:rStyle w:val="Strong"/>
          <w:rFonts w:ascii="Rockwell" w:hAnsi="Rockwell"/>
          <w:b w:val="0"/>
          <w:bCs w:val="0"/>
        </w:rPr>
        <w:t>prioritization of supply items during actual execution was not responsive to current consumption trends or emerging gaps</w:t>
      </w:r>
      <w:r w:rsidRPr="00F90224">
        <w:rPr>
          <w:rFonts w:ascii="Rockwell" w:hAnsi="Rockwell"/>
        </w:rPr>
        <w:t>. This disconnection between forecasted need and real-time prioritization resulted in frequent stockouts of high-demand items and accumulation of less-needed items.</w:t>
      </w:r>
    </w:p>
    <w:p w14:paraId="01AC6A58" w14:textId="77777777" w:rsidR="00EC02FB" w:rsidRPr="00F90224" w:rsidRDefault="00EC02FB" w:rsidP="00EC02FB">
      <w:pPr>
        <w:pStyle w:val="NormalWeb"/>
        <w:rPr>
          <w:rFonts w:ascii="Rockwell" w:hAnsi="Rockwell"/>
        </w:rPr>
      </w:pPr>
      <w:r w:rsidRPr="00F90224">
        <w:rPr>
          <w:rFonts w:ascii="Rockwell" w:hAnsi="Rockwell"/>
        </w:rPr>
        <w:t xml:space="preserve">The </w:t>
      </w:r>
      <w:r w:rsidRPr="00F90224">
        <w:rPr>
          <w:rStyle w:val="Strong"/>
          <w:rFonts w:ascii="Rockwell" w:hAnsi="Rockwell"/>
          <w:b w:val="0"/>
          <w:bCs w:val="0"/>
        </w:rPr>
        <w:t>procurement process</w:t>
      </w:r>
      <w:r w:rsidRPr="00F90224">
        <w:rPr>
          <w:rFonts w:ascii="Rockwell" w:hAnsi="Rockwell"/>
        </w:rPr>
        <w:t xml:space="preserve"> also showed serious inefficiencies. Lack of structured supplier contracts and delays in approvals were common, leading to irregular procurement cycles. Emergency procurement continued to consume a large share of budget and time, pointing to the absence of preventive strategies such as framework agreements or buffer stock policies.</w:t>
      </w:r>
    </w:p>
    <w:p w14:paraId="4E78508A" w14:textId="77777777" w:rsidR="00EC02FB" w:rsidRPr="00F90224" w:rsidRDefault="00EC02FB" w:rsidP="00EC02FB">
      <w:pPr>
        <w:pStyle w:val="NormalWeb"/>
        <w:rPr>
          <w:rFonts w:ascii="Rockwell" w:hAnsi="Rockwell"/>
        </w:rPr>
      </w:pPr>
      <w:r w:rsidRPr="00F90224">
        <w:rPr>
          <w:rFonts w:ascii="Rockwell" w:hAnsi="Rockwell"/>
        </w:rPr>
        <w:t xml:space="preserve">Similarly, </w:t>
      </w:r>
      <w:r w:rsidRPr="00F90224">
        <w:rPr>
          <w:rStyle w:val="Strong"/>
          <w:rFonts w:ascii="Rockwell" w:hAnsi="Rockwell"/>
          <w:b w:val="0"/>
          <w:bCs w:val="0"/>
        </w:rPr>
        <w:t>supplier and distribution performance</w:t>
      </w:r>
      <w:r w:rsidRPr="00F90224">
        <w:rPr>
          <w:rFonts w:ascii="Rockwell" w:hAnsi="Rockwell"/>
        </w:rPr>
        <w:t xml:space="preserve"> remained weak, with late deliveries and inconsistent order fulfillment. In the absence of a performance monitoring mechanism for suppliers, there were no consequences or feedback mechanisms in place, further eroding reliability.</w:t>
      </w:r>
    </w:p>
    <w:p w14:paraId="78B69C2B" w14:textId="77777777" w:rsidR="00EC02FB" w:rsidRPr="00F90224" w:rsidRDefault="00EC02FB" w:rsidP="00EC02FB">
      <w:pPr>
        <w:pStyle w:val="NormalWeb"/>
        <w:rPr>
          <w:rFonts w:ascii="Rockwell" w:hAnsi="Rockwell"/>
        </w:rPr>
      </w:pPr>
      <w:r w:rsidRPr="00F90224">
        <w:rPr>
          <w:rFonts w:ascii="Rockwell" w:hAnsi="Rockwell"/>
        </w:rPr>
        <w:t xml:space="preserve">Another key inefficiency was the </w:t>
      </w:r>
      <w:r w:rsidRPr="00F90224">
        <w:rPr>
          <w:rStyle w:val="Strong"/>
          <w:rFonts w:ascii="Rockwell" w:hAnsi="Rockwell"/>
          <w:b w:val="0"/>
          <w:bCs w:val="0"/>
        </w:rPr>
        <w:t>underutilization of digital systems</w:t>
      </w:r>
      <w:r w:rsidRPr="00F90224">
        <w:rPr>
          <w:rFonts w:ascii="Rockwell" w:hAnsi="Rockwell"/>
        </w:rPr>
        <w:t xml:space="preserve"> such as EAPTS. Though the system was available, it was not consistently used for transaction recording, analysis, or generating real-time alerts. Manual processes led to delays in decision-making and compromised the accuracy of records.</w:t>
      </w:r>
    </w:p>
    <w:p w14:paraId="10920CE5" w14:textId="77777777" w:rsidR="00EC02FB" w:rsidRPr="00F90224" w:rsidRDefault="00EC02FB" w:rsidP="00EC02FB">
      <w:pPr>
        <w:pStyle w:val="NormalWeb"/>
        <w:rPr>
          <w:rFonts w:ascii="Rockwell" w:hAnsi="Rockwell"/>
        </w:rPr>
      </w:pPr>
      <w:r w:rsidRPr="00F90224">
        <w:rPr>
          <w:rStyle w:val="Strong"/>
          <w:rFonts w:ascii="Rockwell" w:hAnsi="Rockwell"/>
          <w:b w:val="0"/>
          <w:bCs w:val="0"/>
        </w:rPr>
        <w:t>Coordination and communication gaps</w:t>
      </w:r>
      <w:r w:rsidRPr="00F90224">
        <w:rPr>
          <w:rFonts w:ascii="Rockwell" w:hAnsi="Rockwell"/>
        </w:rPr>
        <w:t xml:space="preserve"> also hindered the efficiency of supply operations. Departments were often not consulted in decisions around item reallocation or urgent requests, which undermined responsiveness and team accountability. Poorly defined roles and lack of regular communication platforms further weakened interdepartmental collaboration.</w:t>
      </w:r>
    </w:p>
    <w:p w14:paraId="4E0556A0" w14:textId="77777777" w:rsidR="00EC02FB" w:rsidRPr="00F90224" w:rsidRDefault="00EC02FB" w:rsidP="00EC02FB">
      <w:pPr>
        <w:pStyle w:val="NormalWeb"/>
        <w:rPr>
          <w:rFonts w:ascii="Rockwell" w:hAnsi="Rockwell"/>
        </w:rPr>
      </w:pPr>
      <w:r w:rsidRPr="00F90224">
        <w:rPr>
          <w:rFonts w:ascii="Rockwell" w:hAnsi="Rockwell"/>
        </w:rPr>
        <w:t xml:space="preserve">The </w:t>
      </w:r>
      <w:r w:rsidRPr="00F90224">
        <w:rPr>
          <w:rStyle w:val="Strong"/>
          <w:rFonts w:ascii="Rockwell" w:hAnsi="Rockwell"/>
          <w:b w:val="0"/>
          <w:bCs w:val="0"/>
        </w:rPr>
        <w:t>monitoring and reporting systems</w:t>
      </w:r>
      <w:r w:rsidRPr="00F90224">
        <w:rPr>
          <w:rFonts w:ascii="Rockwell" w:hAnsi="Rockwell"/>
        </w:rPr>
        <w:t xml:space="preserve"> were underdeveloped, with no consistent follow-up on indicators such as order fill rates, expiry rates, or turnaround time for requisitions. Without reliable data, the hospital was unable to identify trends early or correct systemic failures in a timely manner.</w:t>
      </w:r>
    </w:p>
    <w:p w14:paraId="3DD92320" w14:textId="77777777" w:rsidR="00EC02FB" w:rsidRPr="00F90224" w:rsidRDefault="00EC02FB" w:rsidP="00EC02FB">
      <w:pPr>
        <w:pStyle w:val="NormalWeb"/>
        <w:rPr>
          <w:rFonts w:ascii="Rockwell" w:hAnsi="Rockwell"/>
        </w:rPr>
      </w:pPr>
      <w:r w:rsidRPr="00F90224">
        <w:rPr>
          <w:rFonts w:ascii="Rockwell" w:hAnsi="Rockwell"/>
        </w:rPr>
        <w:t xml:space="preserve">On a broader level, the </w:t>
      </w:r>
      <w:r w:rsidRPr="00F90224">
        <w:rPr>
          <w:rStyle w:val="Strong"/>
          <w:rFonts w:ascii="Rockwell" w:hAnsi="Rockwell"/>
          <w:b w:val="0"/>
          <w:bCs w:val="0"/>
        </w:rPr>
        <w:t>total supply chain inefficiency was estimated at 12%</w:t>
      </w:r>
      <w:r w:rsidRPr="00F90224">
        <w:rPr>
          <w:rFonts w:ascii="Rockwell" w:hAnsi="Rockwell"/>
        </w:rPr>
        <w:t xml:space="preserve"> of the quarterly supply cost, signifying substantial resource loss. However, the findings also provide a critical baseline for change. Gaps such as stock imbalances, irregular reporting, and limited supplier engagement are all actionable areas that can be improved with minimal additional resources, given the right leadership attention and strategic planning.</w:t>
      </w:r>
    </w:p>
    <w:p w14:paraId="6C3AC670" w14:textId="041888B2" w:rsidR="00B323F9" w:rsidRPr="00397407" w:rsidRDefault="00EC02FB" w:rsidP="00397407">
      <w:pPr>
        <w:pStyle w:val="NormalWeb"/>
        <w:rPr>
          <w:rFonts w:ascii="Rockwell" w:hAnsi="Rockwell"/>
        </w:rPr>
      </w:pPr>
      <w:r w:rsidRPr="00F90224">
        <w:rPr>
          <w:rFonts w:ascii="Rockwell" w:hAnsi="Rockwell"/>
        </w:rPr>
        <w:t xml:space="preserve">In conclusion, while forecasting is structured annually, </w:t>
      </w:r>
      <w:r w:rsidRPr="00F90224">
        <w:rPr>
          <w:rStyle w:val="Strong"/>
          <w:rFonts w:ascii="Rockwell" w:hAnsi="Rockwell"/>
          <w:b w:val="0"/>
          <w:bCs w:val="0"/>
        </w:rPr>
        <w:t>its effectiveness depends on how well prioritization, follow-up, and implementation decisions are made throughout the year</w:t>
      </w:r>
      <w:r w:rsidRPr="00F90224">
        <w:rPr>
          <w:rFonts w:ascii="Rockwell" w:hAnsi="Rockwell"/>
        </w:rPr>
        <w:t>. Quarter 3 demonstrated that without dynamic review and adjustment mechanisms, even accurate forecasts can fail to meet program needs. Strengthening communication, institutionalizing quarterly reviews, and maximizing use of digital tools will be essential to shift from reactive to proactive supply chain management in the hospital.</w:t>
      </w:r>
    </w:p>
    <w:p w14:paraId="35FE2522" w14:textId="58BDB423" w:rsidR="00E878F7" w:rsidRPr="00CA7DE5" w:rsidRDefault="004A42D3" w:rsidP="00CA7DE5">
      <w:pPr>
        <w:spacing w:after="0" w:line="240" w:lineRule="auto"/>
        <w:rPr>
          <w:rFonts w:ascii="Times New Roman" w:eastAsia="Times New Roman" w:hAnsi="Times New Roman" w:cs="Times New Roman"/>
          <w:sz w:val="24"/>
          <w:szCs w:val="24"/>
        </w:rPr>
      </w:pPr>
      <w:r>
        <w:rPr>
          <w:rFonts w:ascii="Rockwell" w:hAnsi="Rockwell"/>
          <w:b/>
          <w:bCs/>
        </w:rPr>
        <w:pict w14:anchorId="7C63875F">
          <v:rect id="_x0000_i1037" style="width:0;height:1.5pt" o:hralign="center" o:hrstd="t" o:hr="t" fillcolor="#a0a0a0" stroked="f"/>
        </w:pict>
      </w:r>
    </w:p>
    <w:p w14:paraId="17A70E02" w14:textId="77777777" w:rsidR="00B323F9" w:rsidRPr="0095508A" w:rsidRDefault="00B323F9" w:rsidP="00E878F7">
      <w:pPr>
        <w:rPr>
          <w:rFonts w:ascii="Rockwell" w:hAnsi="Rockwell"/>
          <w:b/>
          <w:bCs/>
        </w:rPr>
      </w:pPr>
    </w:p>
    <w:p w14:paraId="246CC030" w14:textId="4AB18E70" w:rsidR="00E878F7" w:rsidRDefault="00E878F7" w:rsidP="00E878F7">
      <w:pPr>
        <w:pStyle w:val="Heading2"/>
        <w:rPr>
          <w:rFonts w:ascii="Rockwell" w:hAnsi="Rockwell"/>
          <w:b/>
          <w:bCs/>
        </w:rPr>
      </w:pPr>
      <w:bookmarkStart w:id="46" w:name="_Toc202995341"/>
      <w:r w:rsidRPr="0095508A">
        <w:rPr>
          <w:rFonts w:ascii="Rockwell" w:hAnsi="Rockwell"/>
          <w:b/>
          <w:bCs/>
        </w:rPr>
        <w:t>10. Action Plan</w:t>
      </w:r>
      <w:bookmarkEnd w:id="46"/>
    </w:p>
    <w:p w14:paraId="18B23143" w14:textId="07189143" w:rsidR="00502DDF" w:rsidRDefault="00502DDF" w:rsidP="00502DDF"/>
    <w:tbl>
      <w:tblPr>
        <w:tblStyle w:val="TableGrid"/>
        <w:tblW w:w="0" w:type="auto"/>
        <w:tblLook w:val="04A0" w:firstRow="1" w:lastRow="0" w:firstColumn="1" w:lastColumn="0" w:noHBand="0" w:noVBand="1"/>
      </w:tblPr>
      <w:tblGrid>
        <w:gridCol w:w="3349"/>
        <w:gridCol w:w="1766"/>
        <w:gridCol w:w="2433"/>
        <w:gridCol w:w="1802"/>
      </w:tblGrid>
      <w:tr w:rsidR="00444952" w:rsidRPr="00444952" w14:paraId="2EF3AACA" w14:textId="60F8A148" w:rsidTr="00444952">
        <w:tc>
          <w:tcPr>
            <w:tcW w:w="4855" w:type="dxa"/>
            <w:hideMark/>
          </w:tcPr>
          <w:p w14:paraId="7CC6B5B7" w14:textId="77777777" w:rsidR="00C74CDF" w:rsidRPr="00D400A2" w:rsidRDefault="00C74CDF" w:rsidP="00D400A2">
            <w:pPr>
              <w:jc w:val="center"/>
              <w:rPr>
                <w:rFonts w:ascii="Rockwell" w:eastAsia="Times New Roman" w:hAnsi="Rockwell" w:cs="Times New Roman"/>
                <w:b/>
                <w:bCs/>
              </w:rPr>
            </w:pPr>
            <w:r w:rsidRPr="00D400A2">
              <w:rPr>
                <w:rFonts w:ascii="Rockwell" w:eastAsia="Times New Roman" w:hAnsi="Rockwell" w:cs="Times New Roman"/>
                <w:b/>
                <w:bCs/>
              </w:rPr>
              <w:t>Identified Gap</w:t>
            </w:r>
          </w:p>
        </w:tc>
        <w:tc>
          <w:tcPr>
            <w:tcW w:w="596" w:type="dxa"/>
            <w:hideMark/>
          </w:tcPr>
          <w:p w14:paraId="6E3629EF" w14:textId="77777777" w:rsidR="00C74CDF" w:rsidRPr="00D400A2" w:rsidRDefault="00C74CDF" w:rsidP="00D400A2">
            <w:pPr>
              <w:jc w:val="center"/>
              <w:rPr>
                <w:rFonts w:ascii="Rockwell" w:eastAsia="Times New Roman" w:hAnsi="Rockwell" w:cs="Times New Roman"/>
                <w:b/>
                <w:bCs/>
              </w:rPr>
            </w:pPr>
            <w:r w:rsidRPr="00D400A2">
              <w:rPr>
                <w:rFonts w:ascii="Rockwell" w:eastAsia="Times New Roman" w:hAnsi="Rockwell" w:cs="Times New Roman"/>
                <w:b/>
                <w:bCs/>
              </w:rPr>
              <w:t>Strategic Intervention</w:t>
            </w:r>
          </w:p>
        </w:tc>
        <w:tc>
          <w:tcPr>
            <w:tcW w:w="2241" w:type="dxa"/>
          </w:tcPr>
          <w:p w14:paraId="7B534364" w14:textId="273C3CBC" w:rsidR="00C74CDF" w:rsidRPr="00444952" w:rsidRDefault="00C74CDF" w:rsidP="00D400A2">
            <w:pPr>
              <w:jc w:val="center"/>
              <w:rPr>
                <w:rFonts w:ascii="Rockwell" w:eastAsia="Times New Roman" w:hAnsi="Rockwell" w:cs="Times New Roman"/>
                <w:b/>
                <w:bCs/>
              </w:rPr>
            </w:pPr>
            <w:r w:rsidRPr="00444952">
              <w:rPr>
                <w:rFonts w:ascii="Rockwell" w:eastAsia="Times New Roman" w:hAnsi="Rockwell" w:cs="Times New Roman"/>
                <w:b/>
                <w:bCs/>
              </w:rPr>
              <w:t>TIME OF IMPLEMENTATION</w:t>
            </w:r>
          </w:p>
        </w:tc>
        <w:tc>
          <w:tcPr>
            <w:tcW w:w="1658" w:type="dxa"/>
          </w:tcPr>
          <w:p w14:paraId="3D5037A0" w14:textId="26733646" w:rsidR="00C74CDF" w:rsidRPr="00444952" w:rsidRDefault="00C74CDF" w:rsidP="00D400A2">
            <w:pPr>
              <w:jc w:val="center"/>
              <w:rPr>
                <w:rFonts w:ascii="Rockwell" w:eastAsia="Times New Roman" w:hAnsi="Rockwell" w:cs="Times New Roman"/>
                <w:b/>
                <w:bCs/>
              </w:rPr>
            </w:pPr>
            <w:r w:rsidRPr="00444952">
              <w:rPr>
                <w:rFonts w:ascii="Rockwell" w:eastAsia="Times New Roman" w:hAnsi="Rockwell" w:cs="Times New Roman"/>
                <w:b/>
                <w:bCs/>
              </w:rPr>
              <w:t>RESPONSIBLE BODY</w:t>
            </w:r>
          </w:p>
        </w:tc>
      </w:tr>
      <w:tr w:rsidR="00444952" w:rsidRPr="00444952" w14:paraId="0279AD37" w14:textId="4972C140" w:rsidTr="00444952">
        <w:tc>
          <w:tcPr>
            <w:tcW w:w="4855" w:type="dxa"/>
            <w:hideMark/>
          </w:tcPr>
          <w:p w14:paraId="54EBCFB0"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Inventory outcome and EAPTS transaction not reviewed</w:t>
            </w:r>
          </w:p>
        </w:tc>
        <w:tc>
          <w:tcPr>
            <w:tcW w:w="596" w:type="dxa"/>
            <w:hideMark/>
          </w:tcPr>
          <w:p w14:paraId="758B77A3"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EAPTS report review</w:t>
            </w:r>
          </w:p>
        </w:tc>
        <w:tc>
          <w:tcPr>
            <w:tcW w:w="2241" w:type="dxa"/>
          </w:tcPr>
          <w:p w14:paraId="65597C6D" w14:textId="6BDD5CB8"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QUARTER 4, 2015</w:t>
            </w:r>
          </w:p>
        </w:tc>
        <w:tc>
          <w:tcPr>
            <w:tcW w:w="1658" w:type="dxa"/>
          </w:tcPr>
          <w:p w14:paraId="526CA311" w14:textId="10A02E29"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DTC</w:t>
            </w:r>
          </w:p>
        </w:tc>
      </w:tr>
      <w:tr w:rsidR="00444952" w:rsidRPr="00444952" w14:paraId="03ACAB91" w14:textId="2CB8B5D1" w:rsidTr="00444952">
        <w:tc>
          <w:tcPr>
            <w:tcW w:w="4855" w:type="dxa"/>
            <w:hideMark/>
          </w:tcPr>
          <w:p w14:paraId="10F6DA58"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No periodic cost and procurement cycle evaluation</w:t>
            </w:r>
          </w:p>
        </w:tc>
        <w:tc>
          <w:tcPr>
            <w:tcW w:w="596" w:type="dxa"/>
            <w:hideMark/>
          </w:tcPr>
          <w:p w14:paraId="692320C2"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Monthly procurement process review</w:t>
            </w:r>
          </w:p>
        </w:tc>
        <w:tc>
          <w:tcPr>
            <w:tcW w:w="2241" w:type="dxa"/>
          </w:tcPr>
          <w:p w14:paraId="72859D97" w14:textId="3BB136A6"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QUARTER 4, 2015</w:t>
            </w:r>
          </w:p>
        </w:tc>
        <w:tc>
          <w:tcPr>
            <w:tcW w:w="1658" w:type="dxa"/>
          </w:tcPr>
          <w:p w14:paraId="4523E951" w14:textId="751DB51D"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DTC</w:t>
            </w:r>
          </w:p>
        </w:tc>
      </w:tr>
      <w:tr w:rsidR="00444952" w:rsidRPr="00444952" w14:paraId="083CE5BD" w14:textId="0DBAB2D4" w:rsidTr="00444952">
        <w:tc>
          <w:tcPr>
            <w:tcW w:w="4855" w:type="dxa"/>
            <w:hideMark/>
          </w:tcPr>
          <w:p w14:paraId="123E7B2C"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No formal inventory check or reconciliation process</w:t>
            </w:r>
          </w:p>
        </w:tc>
        <w:tc>
          <w:tcPr>
            <w:tcW w:w="596" w:type="dxa"/>
            <w:hideMark/>
          </w:tcPr>
          <w:p w14:paraId="020801E2"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Quarterly stock audits</w:t>
            </w:r>
          </w:p>
        </w:tc>
        <w:tc>
          <w:tcPr>
            <w:tcW w:w="2241" w:type="dxa"/>
          </w:tcPr>
          <w:p w14:paraId="6F31673D" w14:textId="188A4A6F"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QUARTER 4, 2015</w:t>
            </w:r>
          </w:p>
        </w:tc>
        <w:tc>
          <w:tcPr>
            <w:tcW w:w="1658" w:type="dxa"/>
          </w:tcPr>
          <w:p w14:paraId="4E6B1FCB" w14:textId="32B1441C"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DTC</w:t>
            </w:r>
          </w:p>
        </w:tc>
      </w:tr>
      <w:tr w:rsidR="00444952" w:rsidRPr="00444952" w14:paraId="2C02A8E3" w14:textId="7EAF9219" w:rsidTr="00444952">
        <w:tc>
          <w:tcPr>
            <w:tcW w:w="4855" w:type="dxa"/>
            <w:hideMark/>
          </w:tcPr>
          <w:p w14:paraId="234644B4"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Poor supplier engagement and lack of structured feedback</w:t>
            </w:r>
          </w:p>
        </w:tc>
        <w:tc>
          <w:tcPr>
            <w:tcW w:w="596" w:type="dxa"/>
            <w:hideMark/>
          </w:tcPr>
          <w:p w14:paraId="59C66AF9"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Supplier roundtables</w:t>
            </w:r>
          </w:p>
        </w:tc>
        <w:tc>
          <w:tcPr>
            <w:tcW w:w="2241" w:type="dxa"/>
          </w:tcPr>
          <w:p w14:paraId="572E0454" w14:textId="0C564CC9"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QUARTER 4, 2015</w:t>
            </w:r>
          </w:p>
        </w:tc>
        <w:tc>
          <w:tcPr>
            <w:tcW w:w="1658" w:type="dxa"/>
          </w:tcPr>
          <w:p w14:paraId="3084C3BE" w14:textId="34973288"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DTC</w:t>
            </w:r>
          </w:p>
        </w:tc>
      </w:tr>
      <w:tr w:rsidR="00444952" w:rsidRPr="00444952" w14:paraId="4E4682FD" w14:textId="705610D5" w:rsidTr="00444952">
        <w:tc>
          <w:tcPr>
            <w:tcW w:w="4855" w:type="dxa"/>
            <w:hideMark/>
          </w:tcPr>
          <w:p w14:paraId="7D15E720"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Low awareness of standard procedures among staff</w:t>
            </w:r>
          </w:p>
        </w:tc>
        <w:tc>
          <w:tcPr>
            <w:tcW w:w="596" w:type="dxa"/>
            <w:hideMark/>
          </w:tcPr>
          <w:p w14:paraId="4C50AE96"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Staff training workshops</w:t>
            </w:r>
          </w:p>
        </w:tc>
        <w:tc>
          <w:tcPr>
            <w:tcW w:w="2241" w:type="dxa"/>
          </w:tcPr>
          <w:p w14:paraId="21FEE961" w14:textId="65CC60EE"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QUARTER 4, 2015</w:t>
            </w:r>
          </w:p>
        </w:tc>
        <w:tc>
          <w:tcPr>
            <w:tcW w:w="1658" w:type="dxa"/>
          </w:tcPr>
          <w:p w14:paraId="30D0C027" w14:textId="47F126D8"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DTC</w:t>
            </w:r>
          </w:p>
        </w:tc>
      </w:tr>
      <w:tr w:rsidR="00444952" w:rsidRPr="00444952" w14:paraId="3678A364" w14:textId="53686CE9" w:rsidTr="00444952">
        <w:tc>
          <w:tcPr>
            <w:tcW w:w="4855" w:type="dxa"/>
            <w:hideMark/>
          </w:tcPr>
          <w:p w14:paraId="021BFD3B"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Lack of defined process for urgent supply requests</w:t>
            </w:r>
          </w:p>
        </w:tc>
        <w:tc>
          <w:tcPr>
            <w:tcW w:w="596" w:type="dxa"/>
            <w:hideMark/>
          </w:tcPr>
          <w:p w14:paraId="06CE6155" w14:textId="77777777" w:rsidR="00C74CDF" w:rsidRPr="00D400A2" w:rsidRDefault="00C74CDF" w:rsidP="00D400A2">
            <w:pPr>
              <w:rPr>
                <w:rFonts w:ascii="Rockwell" w:eastAsia="Times New Roman" w:hAnsi="Rockwell" w:cs="Times New Roman"/>
              </w:rPr>
            </w:pPr>
            <w:r w:rsidRPr="00D400A2">
              <w:rPr>
                <w:rFonts w:ascii="Rockwell" w:eastAsia="Times New Roman" w:hAnsi="Rockwell" w:cs="Times New Roman"/>
              </w:rPr>
              <w:t>Emergency communication SOP</w:t>
            </w:r>
          </w:p>
        </w:tc>
        <w:tc>
          <w:tcPr>
            <w:tcW w:w="2241" w:type="dxa"/>
          </w:tcPr>
          <w:p w14:paraId="3C24385D" w14:textId="2D33A462"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QUARTER 4,2015</w:t>
            </w:r>
          </w:p>
        </w:tc>
        <w:tc>
          <w:tcPr>
            <w:tcW w:w="1658" w:type="dxa"/>
          </w:tcPr>
          <w:p w14:paraId="68271131" w14:textId="44A37707" w:rsidR="00C74CDF" w:rsidRPr="00444952" w:rsidRDefault="00C74CDF" w:rsidP="00D400A2">
            <w:pPr>
              <w:rPr>
                <w:rFonts w:ascii="Rockwell" w:eastAsia="Times New Roman" w:hAnsi="Rockwell" w:cs="Times New Roman"/>
              </w:rPr>
            </w:pPr>
            <w:r w:rsidRPr="00444952">
              <w:rPr>
                <w:rFonts w:ascii="Rockwell" w:eastAsia="Times New Roman" w:hAnsi="Rockwell" w:cs="Times New Roman"/>
              </w:rPr>
              <w:t>DTC</w:t>
            </w:r>
          </w:p>
        </w:tc>
      </w:tr>
    </w:tbl>
    <w:p w14:paraId="54897A7A" w14:textId="1012982F" w:rsidR="00502DDF" w:rsidRPr="00502DDF" w:rsidRDefault="00502DDF" w:rsidP="00502DDF"/>
    <w:p w14:paraId="4B1A964F" w14:textId="77777777" w:rsidR="00E878F7" w:rsidRPr="0095508A" w:rsidRDefault="004A42D3" w:rsidP="00E878F7">
      <w:pPr>
        <w:rPr>
          <w:rFonts w:ascii="Rockwell" w:hAnsi="Rockwell"/>
          <w:b/>
          <w:bCs/>
        </w:rPr>
      </w:pPr>
      <w:r>
        <w:rPr>
          <w:rFonts w:ascii="Rockwell" w:hAnsi="Rockwell"/>
          <w:b/>
          <w:bCs/>
        </w:rPr>
        <w:pict w14:anchorId="5C40CF2D">
          <v:rect id="_x0000_i1038" style="width:0;height:1.5pt" o:hralign="center" o:hrstd="t" o:hr="t" fillcolor="#a0a0a0" stroked="f"/>
        </w:pict>
      </w:r>
    </w:p>
    <w:p w14:paraId="56053FB2" w14:textId="77777777" w:rsidR="00E878F7" w:rsidRPr="0095508A" w:rsidRDefault="00E878F7" w:rsidP="00E878F7">
      <w:pPr>
        <w:pStyle w:val="Heading2"/>
        <w:rPr>
          <w:rFonts w:ascii="Rockwell" w:hAnsi="Rockwell"/>
          <w:b/>
          <w:bCs/>
        </w:rPr>
      </w:pPr>
      <w:bookmarkStart w:id="47" w:name="_Toc202995342"/>
      <w:r w:rsidRPr="0095508A">
        <w:rPr>
          <w:rFonts w:ascii="Rockwell" w:hAnsi="Rockwell"/>
          <w:b/>
          <w:bCs/>
        </w:rPr>
        <w:t>11. Recommendations and Utilization Plan</w:t>
      </w:r>
      <w:bookmarkEnd w:id="47"/>
    </w:p>
    <w:p w14:paraId="22697831" w14:textId="77777777" w:rsidR="00E878F7" w:rsidRPr="00D400A2" w:rsidRDefault="00E878F7" w:rsidP="00540A1E">
      <w:pPr>
        <w:pStyle w:val="NormalWeb"/>
        <w:numPr>
          <w:ilvl w:val="0"/>
          <w:numId w:val="8"/>
        </w:numPr>
        <w:rPr>
          <w:rFonts w:ascii="Rockwell" w:hAnsi="Rockwell"/>
        </w:rPr>
      </w:pPr>
      <w:r w:rsidRPr="00D400A2">
        <w:rPr>
          <w:rStyle w:val="Strong"/>
          <w:rFonts w:ascii="Rockwell" w:hAnsi="Rockwell"/>
        </w:rPr>
        <w:t>Implement a Digital Inventory System:</w:t>
      </w:r>
      <w:r w:rsidRPr="00D400A2">
        <w:rPr>
          <w:rFonts w:ascii="Rockwell" w:hAnsi="Rockwell"/>
        </w:rPr>
        <w:t xml:space="preserve"> For real-time stock tracking and automated alerts to minimize stockouts and overstocking.</w:t>
      </w:r>
    </w:p>
    <w:p w14:paraId="4334B230" w14:textId="77777777" w:rsidR="00E878F7" w:rsidRPr="00D400A2" w:rsidRDefault="00E878F7" w:rsidP="00540A1E">
      <w:pPr>
        <w:pStyle w:val="NormalWeb"/>
        <w:numPr>
          <w:ilvl w:val="0"/>
          <w:numId w:val="8"/>
        </w:numPr>
        <w:rPr>
          <w:rFonts w:ascii="Rockwell" w:hAnsi="Rockwell"/>
        </w:rPr>
      </w:pPr>
      <w:r w:rsidRPr="00D400A2">
        <w:rPr>
          <w:rStyle w:val="Strong"/>
          <w:rFonts w:ascii="Rockwell" w:hAnsi="Rockwell"/>
        </w:rPr>
        <w:t>Automate Reporting:</w:t>
      </w:r>
      <w:r w:rsidRPr="00D400A2">
        <w:rPr>
          <w:rFonts w:ascii="Rockwell" w:hAnsi="Rockwell"/>
        </w:rPr>
        <w:t xml:space="preserve"> Deploy automated performance reports to facilitate timely decision-making.</w:t>
      </w:r>
    </w:p>
    <w:p w14:paraId="57A4B2BA" w14:textId="77777777" w:rsidR="00E878F7" w:rsidRPr="00D400A2" w:rsidRDefault="00E878F7" w:rsidP="00540A1E">
      <w:pPr>
        <w:pStyle w:val="NormalWeb"/>
        <w:numPr>
          <w:ilvl w:val="0"/>
          <w:numId w:val="8"/>
        </w:numPr>
        <w:rPr>
          <w:rFonts w:ascii="Rockwell" w:hAnsi="Rockwell"/>
        </w:rPr>
      </w:pPr>
      <w:r w:rsidRPr="00D400A2">
        <w:rPr>
          <w:rStyle w:val="Strong"/>
          <w:rFonts w:ascii="Rockwell" w:hAnsi="Rockwell"/>
        </w:rPr>
        <w:t>Establish KPIs:</w:t>
      </w:r>
      <w:r w:rsidRPr="00D400A2">
        <w:rPr>
          <w:rFonts w:ascii="Rockwell" w:hAnsi="Rockwell"/>
        </w:rPr>
        <w:t xml:space="preserve"> Regularly monitor critical indicators such as stockout rates, procurement lead times, and cost variances.</w:t>
      </w:r>
    </w:p>
    <w:p w14:paraId="64697ADC" w14:textId="77777777" w:rsidR="00E878F7" w:rsidRPr="00D400A2" w:rsidRDefault="00E878F7" w:rsidP="00540A1E">
      <w:pPr>
        <w:pStyle w:val="NormalWeb"/>
        <w:numPr>
          <w:ilvl w:val="0"/>
          <w:numId w:val="8"/>
        </w:numPr>
        <w:rPr>
          <w:rFonts w:ascii="Rockwell" w:hAnsi="Rockwell"/>
        </w:rPr>
      </w:pPr>
      <w:r w:rsidRPr="00D400A2">
        <w:rPr>
          <w:rStyle w:val="Strong"/>
          <w:rFonts w:ascii="Rockwell" w:hAnsi="Rockwell"/>
        </w:rPr>
        <w:t>Enhance Supplier Engagement:</w:t>
      </w:r>
      <w:r w:rsidRPr="00D400A2">
        <w:rPr>
          <w:rFonts w:ascii="Rockwell" w:hAnsi="Rockwell"/>
        </w:rPr>
        <w:t xml:space="preserve"> Hold periodic supplier meetings to improve communication and performance.</w:t>
      </w:r>
    </w:p>
    <w:p w14:paraId="3D9B3C56" w14:textId="77777777" w:rsidR="00E878F7" w:rsidRPr="00D400A2" w:rsidRDefault="00E878F7" w:rsidP="00540A1E">
      <w:pPr>
        <w:pStyle w:val="NormalWeb"/>
        <w:numPr>
          <w:ilvl w:val="0"/>
          <w:numId w:val="8"/>
        </w:numPr>
        <w:rPr>
          <w:rFonts w:ascii="Rockwell" w:hAnsi="Rockwell"/>
        </w:rPr>
      </w:pPr>
      <w:r w:rsidRPr="00D400A2">
        <w:rPr>
          <w:rStyle w:val="Strong"/>
          <w:rFonts w:ascii="Rockwell" w:hAnsi="Rockwell"/>
        </w:rPr>
        <w:t>Train Staff:</w:t>
      </w:r>
      <w:r w:rsidRPr="00D400A2">
        <w:rPr>
          <w:rFonts w:ascii="Rockwell" w:hAnsi="Rockwell"/>
        </w:rPr>
        <w:t xml:space="preserve"> Conduct continuous training on supply chain best practices and technology use.</w:t>
      </w:r>
    </w:p>
    <w:p w14:paraId="07669719" w14:textId="77777777" w:rsidR="00E878F7" w:rsidRPr="00D400A2" w:rsidRDefault="00E878F7" w:rsidP="00540A1E">
      <w:pPr>
        <w:pStyle w:val="NormalWeb"/>
        <w:numPr>
          <w:ilvl w:val="0"/>
          <w:numId w:val="8"/>
        </w:numPr>
        <w:rPr>
          <w:rFonts w:ascii="Rockwell" w:hAnsi="Rockwell"/>
        </w:rPr>
      </w:pPr>
      <w:r w:rsidRPr="00D400A2">
        <w:rPr>
          <w:rStyle w:val="Strong"/>
          <w:rFonts w:ascii="Rockwell" w:hAnsi="Rockwell"/>
        </w:rPr>
        <w:t>Strengthen Audits:</w:t>
      </w:r>
      <w:r w:rsidRPr="00D400A2">
        <w:rPr>
          <w:rFonts w:ascii="Rockwell" w:hAnsi="Rockwell"/>
        </w:rPr>
        <w:t xml:space="preserve"> Institutionalize quarterly stock audits and reconciliation procedures.</w:t>
      </w:r>
    </w:p>
    <w:p w14:paraId="05BF441F" w14:textId="77777777" w:rsidR="00E878F7" w:rsidRPr="00D400A2" w:rsidRDefault="00E878F7" w:rsidP="00540A1E">
      <w:pPr>
        <w:pStyle w:val="NormalWeb"/>
        <w:numPr>
          <w:ilvl w:val="0"/>
          <w:numId w:val="8"/>
        </w:numPr>
        <w:rPr>
          <w:rFonts w:ascii="Rockwell" w:hAnsi="Rockwell"/>
        </w:rPr>
      </w:pPr>
      <w:r w:rsidRPr="00D400A2">
        <w:rPr>
          <w:rStyle w:val="Strong"/>
          <w:rFonts w:ascii="Rockwell" w:hAnsi="Rockwell"/>
        </w:rPr>
        <w:t>Improve Urgent Requests:</w:t>
      </w:r>
      <w:r w:rsidRPr="00D400A2">
        <w:rPr>
          <w:rFonts w:ascii="Rockwell" w:hAnsi="Rockwell"/>
        </w:rPr>
        <w:t xml:space="preserve"> Define clear communication protocols for emergency procurement and stock replenishment.</w:t>
      </w:r>
    </w:p>
    <w:p w14:paraId="1C38CB3B" w14:textId="7007ED90" w:rsidR="00E878F7" w:rsidRPr="0095508A" w:rsidRDefault="004A42D3" w:rsidP="00CC612D">
      <w:pPr>
        <w:rPr>
          <w:rFonts w:ascii="Rockwell" w:hAnsi="Rockwell"/>
          <w:b/>
          <w:bCs/>
        </w:rPr>
      </w:pPr>
      <w:r>
        <w:rPr>
          <w:rFonts w:ascii="Rockwell" w:hAnsi="Rockwell"/>
          <w:b/>
          <w:bCs/>
        </w:rPr>
        <w:pict w14:anchorId="3D58CF75">
          <v:rect id="_x0000_i1039" style="width:0;height:1.5pt" o:hralign="center" o:hrstd="t" o:hr="t" fillcolor="#a0a0a0" stroked="f"/>
        </w:pict>
      </w:r>
    </w:p>
    <w:p w14:paraId="49D94CFB" w14:textId="676662F6" w:rsidR="00E878F7" w:rsidRPr="0095508A" w:rsidRDefault="00E878F7" w:rsidP="00E878F7">
      <w:pPr>
        <w:pStyle w:val="Heading2"/>
        <w:rPr>
          <w:rFonts w:ascii="Rockwell" w:hAnsi="Rockwell"/>
          <w:b/>
          <w:bCs/>
        </w:rPr>
      </w:pPr>
      <w:bookmarkStart w:id="48" w:name="_Toc202995343"/>
      <w:r w:rsidRPr="0095508A">
        <w:rPr>
          <w:rFonts w:ascii="Rockwell" w:hAnsi="Rockwell"/>
          <w:b/>
          <w:bCs/>
        </w:rPr>
        <w:t>1</w:t>
      </w:r>
      <w:r w:rsidR="00D400A2">
        <w:rPr>
          <w:rFonts w:ascii="Rockwell" w:hAnsi="Rockwell"/>
          <w:b/>
          <w:bCs/>
        </w:rPr>
        <w:t>2</w:t>
      </w:r>
      <w:r w:rsidRPr="0095508A">
        <w:rPr>
          <w:rFonts w:ascii="Rockwell" w:hAnsi="Rockwell"/>
          <w:b/>
          <w:bCs/>
        </w:rPr>
        <w:t>. Conclusion</w:t>
      </w:r>
      <w:bookmarkEnd w:id="48"/>
    </w:p>
    <w:p w14:paraId="306B1C04" w14:textId="1919B540" w:rsidR="00E878F7" w:rsidRPr="00531DFF" w:rsidRDefault="00E878F7" w:rsidP="00E878F7">
      <w:pPr>
        <w:pStyle w:val="NormalWeb"/>
        <w:rPr>
          <w:rFonts w:ascii="Rockwell" w:hAnsi="Rockwell"/>
        </w:rPr>
      </w:pPr>
      <w:r w:rsidRPr="00531DFF">
        <w:rPr>
          <w:rFonts w:ascii="Rockwell" w:hAnsi="Rockwell"/>
        </w:rPr>
        <w:t xml:space="preserve">This assessment reveals critical inefficiencies in </w:t>
      </w:r>
      <w:proofErr w:type="spellStart"/>
      <w:r w:rsidRPr="00531DFF">
        <w:rPr>
          <w:rFonts w:ascii="Rockwell" w:hAnsi="Rockwell"/>
        </w:rPr>
        <w:t>Deder</w:t>
      </w:r>
      <w:proofErr w:type="spellEnd"/>
      <w:r w:rsidRPr="00531DFF">
        <w:rPr>
          <w:rFonts w:ascii="Rockwell" w:hAnsi="Rockwell"/>
        </w:rPr>
        <w:t xml:space="preserve"> General Hospital’s supply chain management that directly affect patient care and operational cost. By adopting the recommended strategic interventions, particularly through digitalization, strengthened communication, and rigorous monitoring, the hospital can significantly reduce inefficiencies . A strong, accountable supply chain framework will ensure continuity of essential medical supplies, promote cost-effectiveness, and improve overall healthcare quality.</w:t>
      </w:r>
    </w:p>
    <w:p w14:paraId="3171089D" w14:textId="13CD1727" w:rsidR="008E1314" w:rsidRDefault="008E1314" w:rsidP="008E1314">
      <w:pPr>
        <w:rPr>
          <w:rFonts w:ascii="Rockwell" w:hAnsi="Rockwell"/>
          <w:b/>
          <w:bCs/>
        </w:rPr>
      </w:pPr>
    </w:p>
    <w:p w14:paraId="3DFDFD6C" w14:textId="2CB61C2E" w:rsidR="008E1314" w:rsidRDefault="008E1314" w:rsidP="008E1314">
      <w:pPr>
        <w:rPr>
          <w:rFonts w:ascii="Rockwell" w:hAnsi="Rockwell"/>
          <w:b/>
          <w:bCs/>
        </w:rPr>
      </w:pPr>
    </w:p>
    <w:p w14:paraId="6163E7A0" w14:textId="39F5C072" w:rsidR="008E1314" w:rsidRDefault="008E1314" w:rsidP="008E1314">
      <w:pPr>
        <w:rPr>
          <w:rFonts w:ascii="Rockwell" w:hAnsi="Rockwell"/>
          <w:b/>
          <w:bCs/>
        </w:rPr>
      </w:pPr>
    </w:p>
    <w:p w14:paraId="23E4B76C" w14:textId="18A095F9" w:rsidR="008E1314" w:rsidRDefault="008E1314" w:rsidP="008E1314">
      <w:pPr>
        <w:rPr>
          <w:rFonts w:ascii="Rockwell" w:hAnsi="Rockwell"/>
          <w:b/>
          <w:bCs/>
        </w:rPr>
      </w:pPr>
    </w:p>
    <w:p w14:paraId="63A63CFC" w14:textId="5CF43D81" w:rsidR="008E1314" w:rsidRDefault="008E1314" w:rsidP="008E1314">
      <w:pPr>
        <w:rPr>
          <w:rFonts w:ascii="Rockwell" w:hAnsi="Rockwell"/>
          <w:b/>
          <w:bCs/>
        </w:rPr>
      </w:pPr>
    </w:p>
    <w:p w14:paraId="20E86C03" w14:textId="36607911" w:rsidR="008E1314" w:rsidRDefault="008E1314" w:rsidP="008E1314">
      <w:pPr>
        <w:rPr>
          <w:rFonts w:ascii="Rockwell" w:hAnsi="Rockwell"/>
          <w:b/>
          <w:bCs/>
        </w:rPr>
      </w:pPr>
    </w:p>
    <w:p w14:paraId="2E1151A6" w14:textId="63A7F955" w:rsidR="008E1314" w:rsidRDefault="008E1314" w:rsidP="008E1314">
      <w:pPr>
        <w:rPr>
          <w:rFonts w:ascii="Rockwell" w:hAnsi="Rockwell"/>
          <w:b/>
          <w:bCs/>
        </w:rPr>
      </w:pPr>
    </w:p>
    <w:p w14:paraId="3E150FEA" w14:textId="7F17C18C" w:rsidR="008E1314" w:rsidRDefault="008E1314" w:rsidP="008E1314">
      <w:pPr>
        <w:rPr>
          <w:rFonts w:ascii="Rockwell" w:hAnsi="Rockwell"/>
          <w:b/>
          <w:bCs/>
        </w:rPr>
      </w:pPr>
    </w:p>
    <w:p w14:paraId="4D690494" w14:textId="464DCBD8" w:rsidR="008E1314" w:rsidRDefault="008E1314" w:rsidP="008E1314">
      <w:pPr>
        <w:rPr>
          <w:rFonts w:ascii="Rockwell" w:hAnsi="Rockwell"/>
          <w:b/>
          <w:bCs/>
        </w:rPr>
      </w:pPr>
    </w:p>
    <w:p w14:paraId="3191ECE5" w14:textId="4639D559" w:rsidR="000211DA" w:rsidRDefault="000211DA" w:rsidP="008E1314">
      <w:pPr>
        <w:rPr>
          <w:rFonts w:ascii="Rockwell" w:hAnsi="Rockwell"/>
          <w:b/>
          <w:bCs/>
        </w:rPr>
      </w:pPr>
    </w:p>
    <w:p w14:paraId="33BA8E1A" w14:textId="16EA3BF6" w:rsidR="000211DA" w:rsidRDefault="000211DA" w:rsidP="008E1314">
      <w:pPr>
        <w:rPr>
          <w:rFonts w:ascii="Rockwell" w:hAnsi="Rockwell"/>
          <w:b/>
          <w:bCs/>
        </w:rPr>
      </w:pPr>
    </w:p>
    <w:p w14:paraId="330B0EE8" w14:textId="4A479925" w:rsidR="000211DA" w:rsidRDefault="000211DA" w:rsidP="008E1314">
      <w:pPr>
        <w:rPr>
          <w:rFonts w:ascii="Rockwell" w:hAnsi="Rockwell"/>
          <w:b/>
          <w:bCs/>
        </w:rPr>
      </w:pPr>
    </w:p>
    <w:p w14:paraId="37CB097E" w14:textId="0337F394" w:rsidR="000211DA" w:rsidRDefault="000211DA" w:rsidP="008E1314">
      <w:pPr>
        <w:rPr>
          <w:rFonts w:ascii="Rockwell" w:hAnsi="Rockwell"/>
          <w:b/>
          <w:bCs/>
        </w:rPr>
      </w:pPr>
    </w:p>
    <w:p w14:paraId="14882F36" w14:textId="4787F82C" w:rsidR="000211DA" w:rsidRDefault="000211DA" w:rsidP="008E1314">
      <w:pPr>
        <w:rPr>
          <w:rFonts w:ascii="Rockwell" w:hAnsi="Rockwell"/>
          <w:b/>
          <w:bCs/>
        </w:rPr>
      </w:pPr>
    </w:p>
    <w:p w14:paraId="46487A63" w14:textId="658C0FF7" w:rsidR="000211DA" w:rsidRDefault="000211DA" w:rsidP="008E1314">
      <w:pPr>
        <w:rPr>
          <w:rFonts w:ascii="Rockwell" w:hAnsi="Rockwell"/>
          <w:b/>
          <w:bCs/>
        </w:rPr>
      </w:pPr>
    </w:p>
    <w:p w14:paraId="494D5511" w14:textId="36C53AF4" w:rsidR="000211DA" w:rsidRDefault="000211DA" w:rsidP="008E1314">
      <w:pPr>
        <w:rPr>
          <w:rFonts w:ascii="Rockwell" w:hAnsi="Rockwell"/>
          <w:b/>
          <w:bCs/>
        </w:rPr>
      </w:pPr>
    </w:p>
    <w:p w14:paraId="47736AF2" w14:textId="31DAAA9E" w:rsidR="000211DA" w:rsidRDefault="000211DA" w:rsidP="008E1314">
      <w:pPr>
        <w:rPr>
          <w:rFonts w:ascii="Rockwell" w:hAnsi="Rockwell"/>
          <w:b/>
          <w:bCs/>
        </w:rPr>
      </w:pPr>
    </w:p>
    <w:p w14:paraId="2CD04E09" w14:textId="4E4E728E" w:rsidR="000211DA" w:rsidRDefault="000211DA" w:rsidP="008E1314">
      <w:pPr>
        <w:rPr>
          <w:rFonts w:ascii="Rockwell" w:hAnsi="Rockwell"/>
          <w:b/>
          <w:bCs/>
        </w:rPr>
      </w:pPr>
    </w:p>
    <w:p w14:paraId="328D8FC6" w14:textId="7BD15EC4" w:rsidR="000211DA" w:rsidRDefault="000211DA" w:rsidP="008E1314">
      <w:pPr>
        <w:rPr>
          <w:rFonts w:ascii="Rockwell" w:hAnsi="Rockwell"/>
          <w:b/>
          <w:bCs/>
        </w:rPr>
      </w:pPr>
    </w:p>
    <w:p w14:paraId="2A2D7C1E" w14:textId="2DFF4891" w:rsidR="000211DA" w:rsidRDefault="000211DA" w:rsidP="008E1314">
      <w:pPr>
        <w:rPr>
          <w:rFonts w:ascii="Rockwell" w:hAnsi="Rockwell"/>
          <w:b/>
          <w:bCs/>
        </w:rPr>
      </w:pPr>
    </w:p>
    <w:p w14:paraId="358FA8F6" w14:textId="6351A761" w:rsidR="000211DA" w:rsidRDefault="000211DA" w:rsidP="008E1314">
      <w:pPr>
        <w:rPr>
          <w:rFonts w:ascii="Rockwell" w:hAnsi="Rockwell"/>
          <w:b/>
          <w:bCs/>
        </w:rPr>
      </w:pPr>
    </w:p>
    <w:p w14:paraId="4E8F0F0D" w14:textId="77777777" w:rsidR="000211DA" w:rsidRDefault="000211DA" w:rsidP="008E1314">
      <w:pPr>
        <w:rPr>
          <w:rFonts w:ascii="Rockwell" w:hAnsi="Rockwell"/>
          <w:b/>
          <w:bCs/>
        </w:rPr>
      </w:pPr>
    </w:p>
    <w:p w14:paraId="6B260242" w14:textId="77777777" w:rsidR="008E1314" w:rsidRPr="008E1314" w:rsidRDefault="008E1314" w:rsidP="008E1314">
      <w:pPr>
        <w:rPr>
          <w:rFonts w:ascii="Rockwell" w:hAnsi="Rockwell"/>
          <w:b/>
          <w:bCs/>
        </w:rPr>
      </w:pPr>
    </w:p>
    <w:p w14:paraId="676D8D76" w14:textId="4327979D" w:rsidR="00E878F7" w:rsidRPr="0095508A" w:rsidRDefault="00E878F7" w:rsidP="008E1314">
      <w:pPr>
        <w:pStyle w:val="Heading2"/>
        <w:numPr>
          <w:ilvl w:val="0"/>
          <w:numId w:val="29"/>
        </w:numPr>
        <w:rPr>
          <w:rFonts w:ascii="Rockwell" w:hAnsi="Rockwell"/>
          <w:b/>
          <w:bCs/>
        </w:rPr>
      </w:pPr>
      <w:bookmarkStart w:id="49" w:name="_Toc202995344"/>
      <w:r w:rsidRPr="0095508A">
        <w:rPr>
          <w:rFonts w:ascii="Rockwell" w:hAnsi="Rockwell"/>
          <w:b/>
          <w:bCs/>
        </w:rPr>
        <w:t>1</w:t>
      </w:r>
      <w:r w:rsidR="00D400A2">
        <w:rPr>
          <w:rFonts w:ascii="Rockwell" w:hAnsi="Rockwell"/>
          <w:b/>
          <w:bCs/>
        </w:rPr>
        <w:t>3</w:t>
      </w:r>
      <w:r w:rsidRPr="0095508A">
        <w:rPr>
          <w:rFonts w:ascii="Rockwell" w:hAnsi="Rockwell"/>
          <w:b/>
          <w:bCs/>
        </w:rPr>
        <w:t>. References</w:t>
      </w:r>
      <w:bookmarkEnd w:id="49"/>
    </w:p>
    <w:p w14:paraId="70D8E30C" w14:textId="77777777" w:rsidR="00E878F7" w:rsidRPr="00531DFF" w:rsidRDefault="00E878F7" w:rsidP="00540A1E">
      <w:pPr>
        <w:pStyle w:val="NormalWeb"/>
        <w:numPr>
          <w:ilvl w:val="0"/>
          <w:numId w:val="9"/>
        </w:numPr>
        <w:rPr>
          <w:rFonts w:ascii="Rockwell" w:hAnsi="Rockwell"/>
        </w:rPr>
      </w:pPr>
      <w:r w:rsidRPr="00531DFF">
        <w:rPr>
          <w:rFonts w:ascii="Rockwell" w:hAnsi="Rockwell"/>
        </w:rPr>
        <w:t xml:space="preserve">Chopra, S., &amp; </w:t>
      </w:r>
      <w:proofErr w:type="spellStart"/>
      <w:r w:rsidRPr="00531DFF">
        <w:rPr>
          <w:rFonts w:ascii="Rockwell" w:hAnsi="Rockwell"/>
        </w:rPr>
        <w:t>Meindl</w:t>
      </w:r>
      <w:proofErr w:type="spellEnd"/>
      <w:r w:rsidRPr="00531DFF">
        <w:rPr>
          <w:rFonts w:ascii="Rockwell" w:hAnsi="Rockwell"/>
        </w:rPr>
        <w:t>, P. (2019). Supply Chain Management: Strategy, Planning, and Operation. Pearson.</w:t>
      </w:r>
    </w:p>
    <w:p w14:paraId="4B8B34E0" w14:textId="77777777" w:rsidR="00E878F7" w:rsidRPr="00531DFF" w:rsidRDefault="00E878F7" w:rsidP="00540A1E">
      <w:pPr>
        <w:pStyle w:val="NormalWeb"/>
        <w:numPr>
          <w:ilvl w:val="0"/>
          <w:numId w:val="9"/>
        </w:numPr>
        <w:rPr>
          <w:rFonts w:ascii="Rockwell" w:hAnsi="Rockwell"/>
        </w:rPr>
      </w:pPr>
      <w:proofErr w:type="spellStart"/>
      <w:r w:rsidRPr="00531DFF">
        <w:rPr>
          <w:rFonts w:ascii="Rockwell" w:hAnsi="Rockwell"/>
        </w:rPr>
        <w:t>Simchi</w:t>
      </w:r>
      <w:proofErr w:type="spellEnd"/>
      <w:r w:rsidRPr="00531DFF">
        <w:rPr>
          <w:rFonts w:ascii="Rockwell" w:hAnsi="Rockwell"/>
        </w:rPr>
        <w:t xml:space="preserve">-Levi, D., Kaminsky, P., &amp; </w:t>
      </w:r>
      <w:proofErr w:type="spellStart"/>
      <w:r w:rsidRPr="00531DFF">
        <w:rPr>
          <w:rFonts w:ascii="Rockwell" w:hAnsi="Rockwell"/>
        </w:rPr>
        <w:t>Simchi</w:t>
      </w:r>
      <w:proofErr w:type="spellEnd"/>
      <w:r w:rsidRPr="00531DFF">
        <w:rPr>
          <w:rFonts w:ascii="Rockwell" w:hAnsi="Rockwell"/>
        </w:rPr>
        <w:t>-Levi, E. (2007). Designing and Managing the Supply Chain. McGraw-Hill.</w:t>
      </w:r>
    </w:p>
    <w:p w14:paraId="36785668" w14:textId="77777777" w:rsidR="00E878F7" w:rsidRPr="00531DFF" w:rsidRDefault="00E878F7" w:rsidP="00540A1E">
      <w:pPr>
        <w:pStyle w:val="NormalWeb"/>
        <w:numPr>
          <w:ilvl w:val="0"/>
          <w:numId w:val="9"/>
        </w:numPr>
        <w:rPr>
          <w:rFonts w:ascii="Rockwell" w:hAnsi="Rockwell"/>
        </w:rPr>
      </w:pPr>
      <w:r w:rsidRPr="00531DFF">
        <w:rPr>
          <w:rFonts w:ascii="Rockwell" w:hAnsi="Rockwell"/>
        </w:rPr>
        <w:t>WHO. (2011). Model Guidelines for Medicine Supply Management. World Health Organization.</w:t>
      </w:r>
    </w:p>
    <w:p w14:paraId="4197B63D" w14:textId="77777777" w:rsidR="00E878F7" w:rsidRPr="00531DFF" w:rsidRDefault="00E878F7" w:rsidP="00540A1E">
      <w:pPr>
        <w:pStyle w:val="NormalWeb"/>
        <w:numPr>
          <w:ilvl w:val="0"/>
          <w:numId w:val="9"/>
        </w:numPr>
        <w:rPr>
          <w:rFonts w:ascii="Rockwell" w:hAnsi="Rockwell"/>
        </w:rPr>
      </w:pPr>
      <w:r w:rsidRPr="00531DFF">
        <w:rPr>
          <w:rFonts w:ascii="Rockwell" w:hAnsi="Rockwell"/>
        </w:rPr>
        <w:t>USAID DELIVER PROJECT. (2014). Logistics Management Information Systems (LMIS) Toolkit.</w:t>
      </w:r>
    </w:p>
    <w:p w14:paraId="74370F8F" w14:textId="77777777" w:rsidR="00E878F7" w:rsidRPr="00531DFF" w:rsidRDefault="00E878F7" w:rsidP="00540A1E">
      <w:pPr>
        <w:pStyle w:val="NormalWeb"/>
        <w:numPr>
          <w:ilvl w:val="0"/>
          <w:numId w:val="9"/>
        </w:numPr>
        <w:rPr>
          <w:rFonts w:ascii="Rockwell" w:hAnsi="Rockwell"/>
        </w:rPr>
      </w:pPr>
      <w:r w:rsidRPr="00531DFF">
        <w:rPr>
          <w:rFonts w:ascii="Rockwell" w:hAnsi="Rockwell"/>
        </w:rPr>
        <w:t>APICS. (2020). APICS Dictionary, 16th Edition.</w:t>
      </w:r>
    </w:p>
    <w:p w14:paraId="7F5CD323" w14:textId="77777777" w:rsidR="00E878F7" w:rsidRPr="00531DFF" w:rsidRDefault="00E878F7" w:rsidP="00540A1E">
      <w:pPr>
        <w:pStyle w:val="NormalWeb"/>
        <w:numPr>
          <w:ilvl w:val="0"/>
          <w:numId w:val="9"/>
        </w:numPr>
        <w:rPr>
          <w:rFonts w:ascii="Rockwell" w:hAnsi="Rockwell"/>
        </w:rPr>
      </w:pPr>
      <w:r w:rsidRPr="00531DFF">
        <w:rPr>
          <w:rFonts w:ascii="Rockwell" w:hAnsi="Rockwell"/>
        </w:rPr>
        <w:t>Heizer, J., Render, B., &amp; Munson, C. (2017). Operations Management: Sustainability and Supply Chain Management. Pearson.</w:t>
      </w:r>
    </w:p>
    <w:p w14:paraId="271CDF07" w14:textId="77777777" w:rsidR="00E878F7" w:rsidRPr="00531DFF" w:rsidRDefault="00E878F7" w:rsidP="00540A1E">
      <w:pPr>
        <w:pStyle w:val="NormalWeb"/>
        <w:numPr>
          <w:ilvl w:val="0"/>
          <w:numId w:val="9"/>
        </w:numPr>
        <w:rPr>
          <w:rFonts w:ascii="Rockwell" w:hAnsi="Rockwell"/>
        </w:rPr>
      </w:pPr>
      <w:r w:rsidRPr="00531DFF">
        <w:rPr>
          <w:rFonts w:ascii="Rockwell" w:hAnsi="Rockwell"/>
        </w:rPr>
        <w:t>Harland, C. M. (1996). Supply Chain Management: Relationships, Chains and Networks. British Journal of Management.</w:t>
      </w:r>
    </w:p>
    <w:p w14:paraId="19A4C605" w14:textId="77777777" w:rsidR="00E878F7" w:rsidRPr="00531DFF" w:rsidRDefault="00E878F7" w:rsidP="00540A1E">
      <w:pPr>
        <w:pStyle w:val="NormalWeb"/>
        <w:numPr>
          <w:ilvl w:val="0"/>
          <w:numId w:val="9"/>
        </w:numPr>
        <w:rPr>
          <w:rFonts w:ascii="Rockwell" w:hAnsi="Rockwell"/>
        </w:rPr>
      </w:pPr>
      <w:r w:rsidRPr="00531DFF">
        <w:rPr>
          <w:rFonts w:ascii="Rockwell" w:hAnsi="Rockwell"/>
        </w:rPr>
        <w:t>Global Fund. (2015). Procurement and Supply Chain Management Guide.</w:t>
      </w:r>
    </w:p>
    <w:p w14:paraId="614D6350" w14:textId="77777777" w:rsidR="00E878F7" w:rsidRPr="00531DFF" w:rsidRDefault="00E878F7" w:rsidP="00540A1E">
      <w:pPr>
        <w:pStyle w:val="NormalWeb"/>
        <w:numPr>
          <w:ilvl w:val="0"/>
          <w:numId w:val="9"/>
        </w:numPr>
        <w:rPr>
          <w:rFonts w:ascii="Rockwell" w:hAnsi="Rockwell"/>
        </w:rPr>
      </w:pPr>
      <w:r w:rsidRPr="00531DFF">
        <w:rPr>
          <w:rFonts w:ascii="Rockwell" w:hAnsi="Rockwell"/>
        </w:rPr>
        <w:t>Krafcik, J. F. (1988). Triumph of the Lean Production System. Sloan Management Review.</w:t>
      </w:r>
    </w:p>
    <w:p w14:paraId="70E7E86C" w14:textId="77777777" w:rsidR="00E878F7" w:rsidRPr="00531DFF" w:rsidRDefault="00E878F7" w:rsidP="00540A1E">
      <w:pPr>
        <w:pStyle w:val="NormalWeb"/>
        <w:numPr>
          <w:ilvl w:val="0"/>
          <w:numId w:val="9"/>
        </w:numPr>
        <w:rPr>
          <w:rFonts w:ascii="Rockwell" w:hAnsi="Rockwell"/>
        </w:rPr>
      </w:pPr>
      <w:r w:rsidRPr="00531DFF">
        <w:rPr>
          <w:rFonts w:ascii="Rockwell" w:hAnsi="Rockwell"/>
        </w:rPr>
        <w:t>Council of Supply Chain Management Professionals (CSCMP). (2018). Supply Chain Management Terms and Glossary.</w:t>
      </w:r>
    </w:p>
    <w:p w14:paraId="0BCC7AD0" w14:textId="77777777" w:rsidR="00E878F7" w:rsidRPr="0095508A" w:rsidRDefault="004A42D3" w:rsidP="00E878F7">
      <w:pPr>
        <w:rPr>
          <w:rFonts w:ascii="Rockwell" w:hAnsi="Rockwell"/>
          <w:b/>
          <w:bCs/>
        </w:rPr>
      </w:pPr>
      <w:r>
        <w:rPr>
          <w:rFonts w:ascii="Rockwell" w:hAnsi="Rockwell"/>
        </w:rPr>
        <w:pict w14:anchorId="5C348F18">
          <v:rect id="_x0000_i1040" style="width:0;height:1.5pt" o:hralign="center" o:hrstd="t" o:hr="t" fillcolor="#a0a0a0" stroked="f"/>
        </w:pict>
      </w:r>
    </w:p>
    <w:p w14:paraId="26587424" w14:textId="77777777" w:rsidR="00660759" w:rsidRPr="0095508A" w:rsidRDefault="00660759" w:rsidP="00E878F7">
      <w:pPr>
        <w:rPr>
          <w:rFonts w:ascii="Rockwell" w:hAnsi="Rockwell"/>
          <w:b/>
          <w:bCs/>
        </w:rPr>
      </w:pPr>
    </w:p>
    <w:sectPr w:rsidR="00660759" w:rsidRPr="0095508A" w:rsidSect="00EC02FB">
      <w:footerReference w:type="default" r:id="rId10"/>
      <w:pgSz w:w="12240" w:h="15840"/>
      <w:pgMar w:top="1440" w:right="1440" w:bottom="1440" w:left="1440" w:header="720" w:footer="720" w:gutter="0"/>
      <w:pgBorders w:offsetFrom="page">
        <w:top w:val="single" w:sz="48" w:space="24" w:color="00B050"/>
        <w:left w:val="single" w:sz="48" w:space="24" w:color="00B050"/>
        <w:bottom w:val="single" w:sz="48" w:space="24" w:color="00B050"/>
        <w:right w:val="single" w:sz="48" w:space="24" w:color="00B05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DC709" w14:textId="77777777" w:rsidR="004A42D3" w:rsidRDefault="004A42D3" w:rsidP="00EC02FB">
      <w:pPr>
        <w:spacing w:after="0" w:line="240" w:lineRule="auto"/>
      </w:pPr>
      <w:r>
        <w:separator/>
      </w:r>
    </w:p>
  </w:endnote>
  <w:endnote w:type="continuationSeparator" w:id="0">
    <w:p w14:paraId="20316237" w14:textId="77777777" w:rsidR="004A42D3" w:rsidRDefault="004A42D3" w:rsidP="00EC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391811"/>
      <w:docPartObj>
        <w:docPartGallery w:val="Page Numbers (Bottom of Page)"/>
        <w:docPartUnique/>
      </w:docPartObj>
    </w:sdtPr>
    <w:sdtEndPr>
      <w:rPr>
        <w:b/>
        <w:bCs/>
        <w:noProof/>
      </w:rPr>
    </w:sdtEndPr>
    <w:sdtContent>
      <w:p w14:paraId="7144C66D" w14:textId="3D0F531F" w:rsidR="00EC02FB" w:rsidRPr="00EC02FB" w:rsidRDefault="00EC02FB">
        <w:pPr>
          <w:pStyle w:val="Footer"/>
          <w:jc w:val="right"/>
          <w:rPr>
            <w:b/>
            <w:bCs/>
          </w:rPr>
        </w:pPr>
        <w:r w:rsidRPr="00EC02FB">
          <w:rPr>
            <w:b/>
            <w:bCs/>
          </w:rPr>
          <w:fldChar w:fldCharType="begin"/>
        </w:r>
        <w:r w:rsidRPr="00EC02FB">
          <w:rPr>
            <w:b/>
            <w:bCs/>
          </w:rPr>
          <w:instrText xml:space="preserve"> PAGE   \* MERGEFORMAT </w:instrText>
        </w:r>
        <w:r w:rsidRPr="00EC02FB">
          <w:rPr>
            <w:b/>
            <w:bCs/>
          </w:rPr>
          <w:fldChar w:fldCharType="separate"/>
        </w:r>
        <w:r w:rsidRPr="00EC02FB">
          <w:rPr>
            <w:b/>
            <w:bCs/>
            <w:noProof/>
          </w:rPr>
          <w:t>2</w:t>
        </w:r>
        <w:r w:rsidRPr="00EC02FB">
          <w:rPr>
            <w:b/>
            <w:bCs/>
            <w:noProof/>
          </w:rPr>
          <w:fldChar w:fldCharType="end"/>
        </w:r>
      </w:p>
    </w:sdtContent>
  </w:sdt>
  <w:p w14:paraId="06B3A79A" w14:textId="77777777" w:rsidR="00EC02FB" w:rsidRDefault="00EC0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49162" w14:textId="77777777" w:rsidR="004A42D3" w:rsidRDefault="004A42D3" w:rsidP="00EC02FB">
      <w:pPr>
        <w:spacing w:after="0" w:line="240" w:lineRule="auto"/>
      </w:pPr>
      <w:r>
        <w:separator/>
      </w:r>
    </w:p>
  </w:footnote>
  <w:footnote w:type="continuationSeparator" w:id="0">
    <w:p w14:paraId="6FB8A859" w14:textId="77777777" w:rsidR="004A42D3" w:rsidRDefault="004A42D3" w:rsidP="00EC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8" style="width:0;height:1.5pt" o:hralign="center" o:bullet="t" o:hrstd="t" o:hr="t" fillcolor="#a0a0a0" stroked="f"/>
    </w:pict>
  </w:numPicBullet>
  <w:numPicBullet w:numPicBulletId="1">
    <w:pict>
      <v:rect id="_x0000_i1079" style="width:0;height:1.5pt" o:hralign="center" o:bullet="t" o:hrstd="t" o:hr="t" fillcolor="#a0a0a0" stroked="f"/>
    </w:pict>
  </w:numPicBullet>
  <w:abstractNum w:abstractNumId="0" w15:restartNumberingAfterBreak="0">
    <w:nsid w:val="008514B8"/>
    <w:multiLevelType w:val="multilevel"/>
    <w:tmpl w:val="067C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3B24"/>
    <w:multiLevelType w:val="multilevel"/>
    <w:tmpl w:val="31F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2FF4"/>
    <w:multiLevelType w:val="multilevel"/>
    <w:tmpl w:val="A1D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9340E"/>
    <w:multiLevelType w:val="multilevel"/>
    <w:tmpl w:val="90A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C68C7"/>
    <w:multiLevelType w:val="multilevel"/>
    <w:tmpl w:val="BF2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85EF0"/>
    <w:multiLevelType w:val="multilevel"/>
    <w:tmpl w:val="A9EA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D7E3E"/>
    <w:multiLevelType w:val="multilevel"/>
    <w:tmpl w:val="D83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C7782"/>
    <w:multiLevelType w:val="multilevel"/>
    <w:tmpl w:val="0B6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5E39"/>
    <w:multiLevelType w:val="multilevel"/>
    <w:tmpl w:val="FB2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B433F"/>
    <w:multiLevelType w:val="multilevel"/>
    <w:tmpl w:val="F93E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546EE3"/>
    <w:multiLevelType w:val="multilevel"/>
    <w:tmpl w:val="8F2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86005"/>
    <w:multiLevelType w:val="multilevel"/>
    <w:tmpl w:val="DF3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76769"/>
    <w:multiLevelType w:val="multilevel"/>
    <w:tmpl w:val="E45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5783A"/>
    <w:multiLevelType w:val="multilevel"/>
    <w:tmpl w:val="169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33D37"/>
    <w:multiLevelType w:val="hybridMultilevel"/>
    <w:tmpl w:val="6FDEFC20"/>
    <w:lvl w:ilvl="0" w:tplc="E8A49C7C">
      <w:start w:val="1"/>
      <w:numFmt w:val="bullet"/>
      <w:lvlText w:val=""/>
      <w:lvlPicBulletId w:val="0"/>
      <w:lvlJc w:val="left"/>
      <w:pPr>
        <w:tabs>
          <w:tab w:val="num" w:pos="720"/>
        </w:tabs>
        <w:ind w:left="720" w:hanging="360"/>
      </w:pPr>
      <w:rPr>
        <w:rFonts w:ascii="Symbol" w:hAnsi="Symbol" w:hint="default"/>
      </w:rPr>
    </w:lvl>
    <w:lvl w:ilvl="1" w:tplc="E6FAC7F8" w:tentative="1">
      <w:start w:val="1"/>
      <w:numFmt w:val="bullet"/>
      <w:lvlText w:val=""/>
      <w:lvlJc w:val="left"/>
      <w:pPr>
        <w:tabs>
          <w:tab w:val="num" w:pos="1440"/>
        </w:tabs>
        <w:ind w:left="1440" w:hanging="360"/>
      </w:pPr>
      <w:rPr>
        <w:rFonts w:ascii="Symbol" w:hAnsi="Symbol" w:hint="default"/>
      </w:rPr>
    </w:lvl>
    <w:lvl w:ilvl="2" w:tplc="2190EA68" w:tentative="1">
      <w:start w:val="1"/>
      <w:numFmt w:val="bullet"/>
      <w:lvlText w:val=""/>
      <w:lvlJc w:val="left"/>
      <w:pPr>
        <w:tabs>
          <w:tab w:val="num" w:pos="2160"/>
        </w:tabs>
        <w:ind w:left="2160" w:hanging="360"/>
      </w:pPr>
      <w:rPr>
        <w:rFonts w:ascii="Symbol" w:hAnsi="Symbol" w:hint="default"/>
      </w:rPr>
    </w:lvl>
    <w:lvl w:ilvl="3" w:tplc="55B6A60A" w:tentative="1">
      <w:start w:val="1"/>
      <w:numFmt w:val="bullet"/>
      <w:lvlText w:val=""/>
      <w:lvlJc w:val="left"/>
      <w:pPr>
        <w:tabs>
          <w:tab w:val="num" w:pos="2880"/>
        </w:tabs>
        <w:ind w:left="2880" w:hanging="360"/>
      </w:pPr>
      <w:rPr>
        <w:rFonts w:ascii="Symbol" w:hAnsi="Symbol" w:hint="default"/>
      </w:rPr>
    </w:lvl>
    <w:lvl w:ilvl="4" w:tplc="55DAE9AA" w:tentative="1">
      <w:start w:val="1"/>
      <w:numFmt w:val="bullet"/>
      <w:lvlText w:val=""/>
      <w:lvlJc w:val="left"/>
      <w:pPr>
        <w:tabs>
          <w:tab w:val="num" w:pos="3600"/>
        </w:tabs>
        <w:ind w:left="3600" w:hanging="360"/>
      </w:pPr>
      <w:rPr>
        <w:rFonts w:ascii="Symbol" w:hAnsi="Symbol" w:hint="default"/>
      </w:rPr>
    </w:lvl>
    <w:lvl w:ilvl="5" w:tplc="AE44DB08" w:tentative="1">
      <w:start w:val="1"/>
      <w:numFmt w:val="bullet"/>
      <w:lvlText w:val=""/>
      <w:lvlJc w:val="left"/>
      <w:pPr>
        <w:tabs>
          <w:tab w:val="num" w:pos="4320"/>
        </w:tabs>
        <w:ind w:left="4320" w:hanging="360"/>
      </w:pPr>
      <w:rPr>
        <w:rFonts w:ascii="Symbol" w:hAnsi="Symbol" w:hint="default"/>
      </w:rPr>
    </w:lvl>
    <w:lvl w:ilvl="6" w:tplc="486AA09A" w:tentative="1">
      <w:start w:val="1"/>
      <w:numFmt w:val="bullet"/>
      <w:lvlText w:val=""/>
      <w:lvlJc w:val="left"/>
      <w:pPr>
        <w:tabs>
          <w:tab w:val="num" w:pos="5040"/>
        </w:tabs>
        <w:ind w:left="5040" w:hanging="360"/>
      </w:pPr>
      <w:rPr>
        <w:rFonts w:ascii="Symbol" w:hAnsi="Symbol" w:hint="default"/>
      </w:rPr>
    </w:lvl>
    <w:lvl w:ilvl="7" w:tplc="C122AC9A" w:tentative="1">
      <w:start w:val="1"/>
      <w:numFmt w:val="bullet"/>
      <w:lvlText w:val=""/>
      <w:lvlJc w:val="left"/>
      <w:pPr>
        <w:tabs>
          <w:tab w:val="num" w:pos="5760"/>
        </w:tabs>
        <w:ind w:left="5760" w:hanging="360"/>
      </w:pPr>
      <w:rPr>
        <w:rFonts w:ascii="Symbol" w:hAnsi="Symbol" w:hint="default"/>
      </w:rPr>
    </w:lvl>
    <w:lvl w:ilvl="8" w:tplc="40FA3B5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48F35798"/>
    <w:multiLevelType w:val="multilevel"/>
    <w:tmpl w:val="456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5038D"/>
    <w:multiLevelType w:val="multilevel"/>
    <w:tmpl w:val="BB6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93C2D"/>
    <w:multiLevelType w:val="multilevel"/>
    <w:tmpl w:val="A81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33F38"/>
    <w:multiLevelType w:val="multilevel"/>
    <w:tmpl w:val="0288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44E2E"/>
    <w:multiLevelType w:val="multilevel"/>
    <w:tmpl w:val="FCF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665FC"/>
    <w:multiLevelType w:val="multilevel"/>
    <w:tmpl w:val="618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20CFF"/>
    <w:multiLevelType w:val="multilevel"/>
    <w:tmpl w:val="861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A4630"/>
    <w:multiLevelType w:val="multilevel"/>
    <w:tmpl w:val="B73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611EA"/>
    <w:multiLevelType w:val="multilevel"/>
    <w:tmpl w:val="F036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14DD3"/>
    <w:multiLevelType w:val="multilevel"/>
    <w:tmpl w:val="B848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25733"/>
    <w:multiLevelType w:val="multilevel"/>
    <w:tmpl w:val="FB7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F4CA7"/>
    <w:multiLevelType w:val="multilevel"/>
    <w:tmpl w:val="B68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766F8"/>
    <w:multiLevelType w:val="multilevel"/>
    <w:tmpl w:val="253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C2C40"/>
    <w:multiLevelType w:val="multilevel"/>
    <w:tmpl w:val="9DE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8"/>
  </w:num>
  <w:num w:numId="3">
    <w:abstractNumId w:val="12"/>
  </w:num>
  <w:num w:numId="4">
    <w:abstractNumId w:val="26"/>
  </w:num>
  <w:num w:numId="5">
    <w:abstractNumId w:val="21"/>
  </w:num>
  <w:num w:numId="6">
    <w:abstractNumId w:val="2"/>
  </w:num>
  <w:num w:numId="7">
    <w:abstractNumId w:val="23"/>
  </w:num>
  <w:num w:numId="8">
    <w:abstractNumId w:val="9"/>
  </w:num>
  <w:num w:numId="9">
    <w:abstractNumId w:val="5"/>
  </w:num>
  <w:num w:numId="10">
    <w:abstractNumId w:val="8"/>
  </w:num>
  <w:num w:numId="11">
    <w:abstractNumId w:val="16"/>
  </w:num>
  <w:num w:numId="12">
    <w:abstractNumId w:val="6"/>
  </w:num>
  <w:num w:numId="13">
    <w:abstractNumId w:val="17"/>
  </w:num>
  <w:num w:numId="14">
    <w:abstractNumId w:val="19"/>
  </w:num>
  <w:num w:numId="15">
    <w:abstractNumId w:val="18"/>
  </w:num>
  <w:num w:numId="16">
    <w:abstractNumId w:val="22"/>
  </w:num>
  <w:num w:numId="17">
    <w:abstractNumId w:val="27"/>
  </w:num>
  <w:num w:numId="18">
    <w:abstractNumId w:val="11"/>
  </w:num>
  <w:num w:numId="19">
    <w:abstractNumId w:val="0"/>
  </w:num>
  <w:num w:numId="20">
    <w:abstractNumId w:val="7"/>
  </w:num>
  <w:num w:numId="21">
    <w:abstractNumId w:val="10"/>
  </w:num>
  <w:num w:numId="22">
    <w:abstractNumId w:val="25"/>
  </w:num>
  <w:num w:numId="23">
    <w:abstractNumId w:val="24"/>
  </w:num>
  <w:num w:numId="24">
    <w:abstractNumId w:val="3"/>
  </w:num>
  <w:num w:numId="25">
    <w:abstractNumId w:val="20"/>
  </w:num>
  <w:num w:numId="26">
    <w:abstractNumId w:val="13"/>
  </w:num>
  <w:num w:numId="27">
    <w:abstractNumId w:val="1"/>
  </w:num>
  <w:num w:numId="28">
    <w:abstractNumId w:val="4"/>
  </w:num>
  <w:num w:numId="29">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59"/>
    <w:rsid w:val="0001255D"/>
    <w:rsid w:val="000211DA"/>
    <w:rsid w:val="00024681"/>
    <w:rsid w:val="0006032F"/>
    <w:rsid w:val="00101981"/>
    <w:rsid w:val="00156B34"/>
    <w:rsid w:val="00175BFE"/>
    <w:rsid w:val="00206151"/>
    <w:rsid w:val="002528D8"/>
    <w:rsid w:val="00282C5F"/>
    <w:rsid w:val="00337FF9"/>
    <w:rsid w:val="00345EA9"/>
    <w:rsid w:val="00397407"/>
    <w:rsid w:val="003978B9"/>
    <w:rsid w:val="003A49D0"/>
    <w:rsid w:val="003F3A8C"/>
    <w:rsid w:val="0041062E"/>
    <w:rsid w:val="00444952"/>
    <w:rsid w:val="0045348A"/>
    <w:rsid w:val="004670E2"/>
    <w:rsid w:val="00491B47"/>
    <w:rsid w:val="004A093E"/>
    <w:rsid w:val="004A42D3"/>
    <w:rsid w:val="00502DDF"/>
    <w:rsid w:val="00512DE0"/>
    <w:rsid w:val="00531DFF"/>
    <w:rsid w:val="00540A1E"/>
    <w:rsid w:val="00550118"/>
    <w:rsid w:val="0056498C"/>
    <w:rsid w:val="005C2308"/>
    <w:rsid w:val="00660759"/>
    <w:rsid w:val="0069701B"/>
    <w:rsid w:val="006C2017"/>
    <w:rsid w:val="006F15B6"/>
    <w:rsid w:val="007074B7"/>
    <w:rsid w:val="0079295F"/>
    <w:rsid w:val="007F212E"/>
    <w:rsid w:val="008516E6"/>
    <w:rsid w:val="008E1314"/>
    <w:rsid w:val="0095508A"/>
    <w:rsid w:val="00957CE8"/>
    <w:rsid w:val="00A30333"/>
    <w:rsid w:val="00A548F1"/>
    <w:rsid w:val="00A84307"/>
    <w:rsid w:val="00A92901"/>
    <w:rsid w:val="00AA1161"/>
    <w:rsid w:val="00AC407B"/>
    <w:rsid w:val="00AD1CBB"/>
    <w:rsid w:val="00B323F9"/>
    <w:rsid w:val="00B45DEE"/>
    <w:rsid w:val="00BC434A"/>
    <w:rsid w:val="00C74CDF"/>
    <w:rsid w:val="00CA7256"/>
    <w:rsid w:val="00CA7DE5"/>
    <w:rsid w:val="00CB6A18"/>
    <w:rsid w:val="00CC612D"/>
    <w:rsid w:val="00CF3626"/>
    <w:rsid w:val="00D23533"/>
    <w:rsid w:val="00D400A2"/>
    <w:rsid w:val="00D65833"/>
    <w:rsid w:val="00D87B4E"/>
    <w:rsid w:val="00D9329C"/>
    <w:rsid w:val="00DE1442"/>
    <w:rsid w:val="00E20124"/>
    <w:rsid w:val="00E2722D"/>
    <w:rsid w:val="00E539B6"/>
    <w:rsid w:val="00E7329B"/>
    <w:rsid w:val="00E878F7"/>
    <w:rsid w:val="00EC02FB"/>
    <w:rsid w:val="00ED6B26"/>
    <w:rsid w:val="00ED7499"/>
    <w:rsid w:val="00F90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F97B9E"/>
  <w15:chartTrackingRefBased/>
  <w15:docId w15:val="{26B609E2-F507-433D-B0B6-967C368F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8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78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607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07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0759"/>
    <w:rPr>
      <w:b/>
      <w:bCs/>
    </w:rPr>
  </w:style>
  <w:style w:type="character" w:customStyle="1" w:styleId="Heading3Char">
    <w:name w:val="Heading 3 Char"/>
    <w:basedOn w:val="DefaultParagraphFont"/>
    <w:link w:val="Heading3"/>
    <w:uiPriority w:val="9"/>
    <w:rsid w:val="00660759"/>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E878F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78F7"/>
    <w:rPr>
      <w:rFonts w:asciiTheme="majorHAnsi" w:eastAsiaTheme="majorEastAsia" w:hAnsiTheme="majorHAnsi" w:cstheme="majorBidi"/>
      <w:color w:val="2F5496" w:themeColor="accent1" w:themeShade="BF"/>
      <w:sz w:val="26"/>
      <w:szCs w:val="26"/>
    </w:rPr>
  </w:style>
  <w:style w:type="character" w:customStyle="1" w:styleId="katex">
    <w:name w:val="katex"/>
    <w:basedOn w:val="DefaultParagraphFont"/>
    <w:rsid w:val="00E878F7"/>
  </w:style>
  <w:style w:type="paragraph" w:styleId="TOCHeading">
    <w:name w:val="TOC Heading"/>
    <w:basedOn w:val="Heading1"/>
    <w:next w:val="Normal"/>
    <w:uiPriority w:val="39"/>
    <w:unhideWhenUsed/>
    <w:qFormat/>
    <w:rsid w:val="006F15B6"/>
    <w:pPr>
      <w:outlineLvl w:val="9"/>
    </w:pPr>
  </w:style>
  <w:style w:type="paragraph" w:styleId="TOC1">
    <w:name w:val="toc 1"/>
    <w:basedOn w:val="Normal"/>
    <w:next w:val="Normal"/>
    <w:autoRedefine/>
    <w:uiPriority w:val="39"/>
    <w:unhideWhenUsed/>
    <w:rsid w:val="006F15B6"/>
    <w:pPr>
      <w:spacing w:after="100"/>
    </w:pPr>
  </w:style>
  <w:style w:type="paragraph" w:styleId="TOC2">
    <w:name w:val="toc 2"/>
    <w:basedOn w:val="Normal"/>
    <w:next w:val="Normal"/>
    <w:autoRedefine/>
    <w:uiPriority w:val="39"/>
    <w:unhideWhenUsed/>
    <w:rsid w:val="006F15B6"/>
    <w:pPr>
      <w:spacing w:after="100"/>
      <w:ind w:left="220"/>
    </w:pPr>
  </w:style>
  <w:style w:type="paragraph" w:styleId="TOC3">
    <w:name w:val="toc 3"/>
    <w:basedOn w:val="Normal"/>
    <w:next w:val="Normal"/>
    <w:autoRedefine/>
    <w:uiPriority w:val="39"/>
    <w:unhideWhenUsed/>
    <w:rsid w:val="00AD1CBB"/>
    <w:pPr>
      <w:tabs>
        <w:tab w:val="right" w:leader="dot" w:pos="9350"/>
      </w:tabs>
      <w:spacing w:after="100"/>
      <w:ind w:left="440"/>
    </w:pPr>
    <w:rPr>
      <w:b/>
      <w:bCs/>
      <w:noProof/>
    </w:rPr>
  </w:style>
  <w:style w:type="character" w:styleId="Hyperlink">
    <w:name w:val="Hyperlink"/>
    <w:basedOn w:val="DefaultParagraphFont"/>
    <w:uiPriority w:val="99"/>
    <w:unhideWhenUsed/>
    <w:rsid w:val="006F15B6"/>
    <w:rPr>
      <w:color w:val="0563C1" w:themeColor="hyperlink"/>
      <w:u w:val="single"/>
    </w:rPr>
  </w:style>
  <w:style w:type="table" w:styleId="TableGrid">
    <w:name w:val="Table Grid"/>
    <w:basedOn w:val="TableNormal"/>
    <w:uiPriority w:val="39"/>
    <w:rsid w:val="00444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2FB"/>
  </w:style>
  <w:style w:type="paragraph" w:styleId="Footer">
    <w:name w:val="footer"/>
    <w:basedOn w:val="Normal"/>
    <w:link w:val="FooterChar"/>
    <w:uiPriority w:val="99"/>
    <w:unhideWhenUsed/>
    <w:rsid w:val="00EC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2FB"/>
  </w:style>
  <w:style w:type="paragraph" w:styleId="ListParagraph">
    <w:name w:val="List Paragraph"/>
    <w:basedOn w:val="Normal"/>
    <w:uiPriority w:val="34"/>
    <w:qFormat/>
    <w:rsid w:val="008E13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52368">
      <w:bodyDiv w:val="1"/>
      <w:marLeft w:val="0"/>
      <w:marRight w:val="0"/>
      <w:marTop w:val="0"/>
      <w:marBottom w:val="0"/>
      <w:divBdr>
        <w:top w:val="none" w:sz="0" w:space="0" w:color="auto"/>
        <w:left w:val="none" w:sz="0" w:space="0" w:color="auto"/>
        <w:bottom w:val="none" w:sz="0" w:space="0" w:color="auto"/>
        <w:right w:val="none" w:sz="0" w:space="0" w:color="auto"/>
      </w:divBdr>
    </w:div>
    <w:div w:id="558056742">
      <w:bodyDiv w:val="1"/>
      <w:marLeft w:val="0"/>
      <w:marRight w:val="0"/>
      <w:marTop w:val="0"/>
      <w:marBottom w:val="0"/>
      <w:divBdr>
        <w:top w:val="none" w:sz="0" w:space="0" w:color="auto"/>
        <w:left w:val="none" w:sz="0" w:space="0" w:color="auto"/>
        <w:bottom w:val="none" w:sz="0" w:space="0" w:color="auto"/>
        <w:right w:val="none" w:sz="0" w:space="0" w:color="auto"/>
      </w:divBdr>
    </w:div>
    <w:div w:id="712969209">
      <w:bodyDiv w:val="1"/>
      <w:marLeft w:val="0"/>
      <w:marRight w:val="0"/>
      <w:marTop w:val="0"/>
      <w:marBottom w:val="0"/>
      <w:divBdr>
        <w:top w:val="none" w:sz="0" w:space="0" w:color="auto"/>
        <w:left w:val="none" w:sz="0" w:space="0" w:color="auto"/>
        <w:bottom w:val="none" w:sz="0" w:space="0" w:color="auto"/>
        <w:right w:val="none" w:sz="0" w:space="0" w:color="auto"/>
      </w:divBdr>
      <w:divsChild>
        <w:div w:id="1251888892">
          <w:marLeft w:val="0"/>
          <w:marRight w:val="0"/>
          <w:marTop w:val="0"/>
          <w:marBottom w:val="0"/>
          <w:divBdr>
            <w:top w:val="none" w:sz="0" w:space="0" w:color="auto"/>
            <w:left w:val="none" w:sz="0" w:space="0" w:color="auto"/>
            <w:bottom w:val="none" w:sz="0" w:space="0" w:color="auto"/>
            <w:right w:val="none" w:sz="0" w:space="0" w:color="auto"/>
          </w:divBdr>
        </w:div>
        <w:div w:id="2107724887">
          <w:marLeft w:val="0"/>
          <w:marRight w:val="0"/>
          <w:marTop w:val="0"/>
          <w:marBottom w:val="0"/>
          <w:divBdr>
            <w:top w:val="none" w:sz="0" w:space="0" w:color="auto"/>
            <w:left w:val="none" w:sz="0" w:space="0" w:color="auto"/>
            <w:bottom w:val="none" w:sz="0" w:space="0" w:color="auto"/>
            <w:right w:val="none" w:sz="0" w:space="0" w:color="auto"/>
          </w:divBdr>
        </w:div>
        <w:div w:id="522011040">
          <w:marLeft w:val="0"/>
          <w:marRight w:val="0"/>
          <w:marTop w:val="0"/>
          <w:marBottom w:val="0"/>
          <w:divBdr>
            <w:top w:val="none" w:sz="0" w:space="0" w:color="auto"/>
            <w:left w:val="none" w:sz="0" w:space="0" w:color="auto"/>
            <w:bottom w:val="none" w:sz="0" w:space="0" w:color="auto"/>
            <w:right w:val="none" w:sz="0" w:space="0" w:color="auto"/>
          </w:divBdr>
        </w:div>
        <w:div w:id="295912564">
          <w:marLeft w:val="0"/>
          <w:marRight w:val="0"/>
          <w:marTop w:val="0"/>
          <w:marBottom w:val="0"/>
          <w:divBdr>
            <w:top w:val="none" w:sz="0" w:space="0" w:color="auto"/>
            <w:left w:val="none" w:sz="0" w:space="0" w:color="auto"/>
            <w:bottom w:val="none" w:sz="0" w:space="0" w:color="auto"/>
            <w:right w:val="none" w:sz="0" w:space="0" w:color="auto"/>
          </w:divBdr>
        </w:div>
        <w:div w:id="1129056848">
          <w:marLeft w:val="0"/>
          <w:marRight w:val="0"/>
          <w:marTop w:val="0"/>
          <w:marBottom w:val="0"/>
          <w:divBdr>
            <w:top w:val="none" w:sz="0" w:space="0" w:color="auto"/>
            <w:left w:val="none" w:sz="0" w:space="0" w:color="auto"/>
            <w:bottom w:val="none" w:sz="0" w:space="0" w:color="auto"/>
            <w:right w:val="none" w:sz="0" w:space="0" w:color="auto"/>
          </w:divBdr>
        </w:div>
        <w:div w:id="406193765">
          <w:marLeft w:val="0"/>
          <w:marRight w:val="0"/>
          <w:marTop w:val="0"/>
          <w:marBottom w:val="0"/>
          <w:divBdr>
            <w:top w:val="none" w:sz="0" w:space="0" w:color="auto"/>
            <w:left w:val="none" w:sz="0" w:space="0" w:color="auto"/>
            <w:bottom w:val="none" w:sz="0" w:space="0" w:color="auto"/>
            <w:right w:val="none" w:sz="0" w:space="0" w:color="auto"/>
          </w:divBdr>
        </w:div>
        <w:div w:id="1148788969">
          <w:marLeft w:val="0"/>
          <w:marRight w:val="0"/>
          <w:marTop w:val="0"/>
          <w:marBottom w:val="0"/>
          <w:divBdr>
            <w:top w:val="none" w:sz="0" w:space="0" w:color="auto"/>
            <w:left w:val="none" w:sz="0" w:space="0" w:color="auto"/>
            <w:bottom w:val="none" w:sz="0" w:space="0" w:color="auto"/>
            <w:right w:val="none" w:sz="0" w:space="0" w:color="auto"/>
          </w:divBdr>
        </w:div>
        <w:div w:id="260258457">
          <w:marLeft w:val="0"/>
          <w:marRight w:val="0"/>
          <w:marTop w:val="0"/>
          <w:marBottom w:val="0"/>
          <w:divBdr>
            <w:top w:val="none" w:sz="0" w:space="0" w:color="auto"/>
            <w:left w:val="none" w:sz="0" w:space="0" w:color="auto"/>
            <w:bottom w:val="none" w:sz="0" w:space="0" w:color="auto"/>
            <w:right w:val="none" w:sz="0" w:space="0" w:color="auto"/>
          </w:divBdr>
        </w:div>
      </w:divsChild>
    </w:div>
    <w:div w:id="713165242">
      <w:bodyDiv w:val="1"/>
      <w:marLeft w:val="0"/>
      <w:marRight w:val="0"/>
      <w:marTop w:val="0"/>
      <w:marBottom w:val="0"/>
      <w:divBdr>
        <w:top w:val="none" w:sz="0" w:space="0" w:color="auto"/>
        <w:left w:val="none" w:sz="0" w:space="0" w:color="auto"/>
        <w:bottom w:val="none" w:sz="0" w:space="0" w:color="auto"/>
        <w:right w:val="none" w:sz="0" w:space="0" w:color="auto"/>
      </w:divBdr>
    </w:div>
    <w:div w:id="1107118465">
      <w:bodyDiv w:val="1"/>
      <w:marLeft w:val="0"/>
      <w:marRight w:val="0"/>
      <w:marTop w:val="0"/>
      <w:marBottom w:val="0"/>
      <w:divBdr>
        <w:top w:val="none" w:sz="0" w:space="0" w:color="auto"/>
        <w:left w:val="none" w:sz="0" w:space="0" w:color="auto"/>
        <w:bottom w:val="none" w:sz="0" w:space="0" w:color="auto"/>
        <w:right w:val="none" w:sz="0" w:space="0" w:color="auto"/>
      </w:divBdr>
    </w:div>
    <w:div w:id="1534877570">
      <w:bodyDiv w:val="1"/>
      <w:marLeft w:val="0"/>
      <w:marRight w:val="0"/>
      <w:marTop w:val="0"/>
      <w:marBottom w:val="0"/>
      <w:divBdr>
        <w:top w:val="none" w:sz="0" w:space="0" w:color="auto"/>
        <w:left w:val="none" w:sz="0" w:space="0" w:color="auto"/>
        <w:bottom w:val="none" w:sz="0" w:space="0" w:color="auto"/>
        <w:right w:val="none" w:sz="0" w:space="0" w:color="auto"/>
      </w:divBdr>
    </w:div>
    <w:div w:id="1778022194">
      <w:bodyDiv w:val="1"/>
      <w:marLeft w:val="0"/>
      <w:marRight w:val="0"/>
      <w:marTop w:val="0"/>
      <w:marBottom w:val="0"/>
      <w:divBdr>
        <w:top w:val="none" w:sz="0" w:space="0" w:color="auto"/>
        <w:left w:val="none" w:sz="0" w:space="0" w:color="auto"/>
        <w:bottom w:val="none" w:sz="0" w:space="0" w:color="auto"/>
        <w:right w:val="none" w:sz="0" w:space="0" w:color="auto"/>
      </w:divBdr>
    </w:div>
    <w:div w:id="214415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Rockwell" panose="02060603020205020403" pitchFamily="18" charset="0"/>
                <a:ea typeface="+mn-ea"/>
                <a:cs typeface="+mn-cs"/>
              </a:defRPr>
            </a:pPr>
            <a:r>
              <a:rPr lang="en-US">
                <a:latin typeface="Rockwell" panose="02060603020205020403" pitchFamily="18" charset="0"/>
              </a:rPr>
              <a:t>Supply</a:t>
            </a:r>
            <a:r>
              <a:rPr lang="en-US" baseline="0">
                <a:latin typeface="Rockwell" panose="02060603020205020403" pitchFamily="18" charset="0"/>
              </a:rPr>
              <a:t> chain inefficiency rate  Quarter 3,2015 EC</a:t>
            </a:r>
            <a:endParaRPr lang="en-US">
              <a:latin typeface="Rockwell" panose="02060603020205020403"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Rockwell" panose="02060603020205020403" pitchFamily="18" charset="0"/>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Sheet1!$C$1</c:f>
              <c:strCache>
                <c:ptCount val="1"/>
                <c:pt idx="0">
                  <c:v>Cost (ETB)</c:v>
                </c:pt>
              </c:strCache>
            </c:strRef>
          </c:tx>
          <c:spPr>
            <a:solidFill>
              <a:schemeClr val="accent1"/>
            </a:solidFill>
            <a:ln>
              <a:noFill/>
            </a:ln>
            <a:effectLst/>
            <a:sp3d/>
          </c:spPr>
          <c:invertIfNegative val="0"/>
          <c:cat>
            <c:strRef>
              <c:f>Sheet1!$B$2:$B$12</c:f>
              <c:strCache>
                <c:ptCount val="11"/>
                <c:pt idx="0">
                  <c:v>Procurement Efficiency</c:v>
                </c:pt>
                <c:pt idx="1">
                  <c:v>Inventory Management</c:v>
                </c:pt>
                <c:pt idx="2">
                  <c:v>Demand Forecasting</c:v>
                </c:pt>
                <c:pt idx="3">
                  <c:v>Supplier and Distribution Performance</c:v>
                </c:pt>
                <c:pt idx="4">
                  <c:v>Financial Management and Cost Efficiency</c:v>
                </c:pt>
                <c:pt idx="5">
                  <c:v>Monitoring and Reporting</c:v>
                </c:pt>
                <c:pt idx="6">
                  <c:v>Technology and System Integration</c:v>
                </c:pt>
                <c:pt idx="7">
                  <c:v>Communication and Coordination</c:v>
                </c:pt>
                <c:pt idx="8">
                  <c:v>Wastage Reduction</c:v>
                </c:pt>
                <c:pt idx="9">
                  <c:v>Storage Practice Inefficiency</c:v>
                </c:pt>
                <c:pt idx="10">
                  <c:v>Dispensing Practice Inefficiency</c:v>
                </c:pt>
              </c:strCache>
            </c:strRef>
          </c:cat>
          <c:val>
            <c:numRef>
              <c:f>Sheet1!$C$2:$C$12</c:f>
            </c:numRef>
          </c:val>
          <c:extLst>
            <c:ext xmlns:c16="http://schemas.microsoft.com/office/drawing/2014/chart" uri="{C3380CC4-5D6E-409C-BE32-E72D297353CC}">
              <c16:uniqueId val="{00000000-570D-42C2-9970-B2CA4D2BE856}"/>
            </c:ext>
          </c:extLst>
        </c:ser>
        <c:ser>
          <c:idx val="1"/>
          <c:order val="1"/>
          <c:tx>
            <c:strRef>
              <c:f>Sheet1!$D$1</c:f>
              <c:strCache>
                <c:ptCount val="1"/>
                <c:pt idx="0">
                  <c:v>% Contribution</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Rockwell" panose="020606030202050204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Sheet1!$B$2:$B$12</c:f>
              <c:strCache>
                <c:ptCount val="11"/>
                <c:pt idx="0">
                  <c:v>Procurement Efficiency</c:v>
                </c:pt>
                <c:pt idx="1">
                  <c:v>Inventory Management</c:v>
                </c:pt>
                <c:pt idx="2">
                  <c:v>Demand Forecasting</c:v>
                </c:pt>
                <c:pt idx="3">
                  <c:v>Supplier and Distribution Performance</c:v>
                </c:pt>
                <c:pt idx="4">
                  <c:v>Financial Management and Cost Efficiency</c:v>
                </c:pt>
                <c:pt idx="5">
                  <c:v>Monitoring and Reporting</c:v>
                </c:pt>
                <c:pt idx="6">
                  <c:v>Technology and System Integration</c:v>
                </c:pt>
                <c:pt idx="7">
                  <c:v>Communication and Coordination</c:v>
                </c:pt>
                <c:pt idx="8">
                  <c:v>Wastage Reduction</c:v>
                </c:pt>
                <c:pt idx="9">
                  <c:v>Storage Practice Inefficiency</c:v>
                </c:pt>
                <c:pt idx="10">
                  <c:v>Dispensing Practice Inefficiency</c:v>
                </c:pt>
              </c:strCache>
            </c:strRef>
          </c:cat>
          <c:val>
            <c:numRef>
              <c:f>Sheet1!$D$2:$D$12</c:f>
              <c:numCache>
                <c:formatCode>0.00%</c:formatCode>
                <c:ptCount val="11"/>
                <c:pt idx="0">
                  <c:v>1.4999999999999999E-2</c:v>
                </c:pt>
                <c:pt idx="1">
                  <c:v>1.24E-2</c:v>
                </c:pt>
                <c:pt idx="2">
                  <c:v>1.11E-2</c:v>
                </c:pt>
                <c:pt idx="3">
                  <c:v>1.2999999999999999E-2</c:v>
                </c:pt>
                <c:pt idx="4">
                  <c:v>1.3599999999999999E-2</c:v>
                </c:pt>
                <c:pt idx="5">
                  <c:v>1.4999999999999999E-2</c:v>
                </c:pt>
                <c:pt idx="6">
                  <c:v>7.7999999999999996E-3</c:v>
                </c:pt>
                <c:pt idx="7">
                  <c:v>9.1000000000000004E-3</c:v>
                </c:pt>
                <c:pt idx="8">
                  <c:v>5.8999999999999999E-3</c:v>
                </c:pt>
                <c:pt idx="9">
                  <c:v>9.1000000000000004E-3</c:v>
                </c:pt>
                <c:pt idx="10">
                  <c:v>8.0000000000000002E-3</c:v>
                </c:pt>
              </c:numCache>
            </c:numRef>
          </c:val>
          <c:extLst>
            <c:ext xmlns:c16="http://schemas.microsoft.com/office/drawing/2014/chart" uri="{C3380CC4-5D6E-409C-BE32-E72D297353CC}">
              <c16:uniqueId val="{00000001-570D-42C2-9970-B2CA4D2BE856}"/>
            </c:ext>
          </c:extLst>
        </c:ser>
        <c:dLbls>
          <c:showLegendKey val="0"/>
          <c:showVal val="0"/>
          <c:showCatName val="0"/>
          <c:showSerName val="0"/>
          <c:showPercent val="0"/>
          <c:showBubbleSize val="0"/>
        </c:dLbls>
        <c:gapWidth val="150"/>
        <c:shape val="box"/>
        <c:axId val="800576735"/>
        <c:axId val="800566335"/>
        <c:axId val="799614575"/>
      </c:bar3DChart>
      <c:catAx>
        <c:axId val="80057673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800566335"/>
        <c:crosses val="autoZero"/>
        <c:auto val="1"/>
        <c:lblAlgn val="ctr"/>
        <c:lblOffset val="100"/>
        <c:noMultiLvlLbl val="0"/>
      </c:catAx>
      <c:valAx>
        <c:axId val="80056633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800576735"/>
        <c:crosses val="autoZero"/>
        <c:crossBetween val="between"/>
      </c:valAx>
      <c:serAx>
        <c:axId val="799614575"/>
        <c:scaling>
          <c:orientation val="minMax"/>
        </c:scaling>
        <c:delete val="1"/>
        <c:axPos val="b"/>
        <c:majorTickMark val="none"/>
        <c:minorTickMark val="none"/>
        <c:tickLblPos val="nextTo"/>
        <c:crossAx val="800566335"/>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ED91D-AA2D-4484-866D-6B2FA28EF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83</cp:revision>
  <dcterms:created xsi:type="dcterms:W3CDTF">2025-07-09T09:52:00Z</dcterms:created>
  <dcterms:modified xsi:type="dcterms:W3CDTF">2025-07-30T21:35:00Z</dcterms:modified>
</cp:coreProperties>
</file>