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89BCF" w14:textId="478E8A8E" w:rsidR="00BE7E45" w:rsidRDefault="00BE7E45" w:rsidP="00BE7E45">
      <w:pPr>
        <w:spacing w:before="100" w:beforeAutospacing="1" w:after="100" w:afterAutospacing="1" w:line="240" w:lineRule="auto"/>
        <w:jc w:val="center"/>
        <w:rPr>
          <w:rFonts w:ascii="Rockwell" w:eastAsia="Times New Roman" w:hAnsi="Rockwell" w:cs="Times New Roman"/>
          <w:b/>
          <w:bCs/>
          <w:sz w:val="36"/>
          <w:szCs w:val="36"/>
        </w:rPr>
      </w:pPr>
      <w:r>
        <w:rPr>
          <w:rFonts w:ascii="Rockwell" w:eastAsia="Times New Roman" w:hAnsi="Rockwell" w:cs="Times New Roman"/>
          <w:b/>
          <w:bCs/>
          <w:noProof/>
          <w:sz w:val="36"/>
          <w:szCs w:val="36"/>
        </w:rPr>
        <w:drawing>
          <wp:inline distT="0" distB="0" distL="0" distR="0" wp14:anchorId="6AB816F2" wp14:editId="6AAE7867">
            <wp:extent cx="1819529" cy="1695687"/>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819529" cy="1695687"/>
                    </a:xfrm>
                    <a:prstGeom prst="rect">
                      <a:avLst/>
                    </a:prstGeom>
                  </pic:spPr>
                </pic:pic>
              </a:graphicData>
            </a:graphic>
          </wp:inline>
        </w:drawing>
      </w:r>
    </w:p>
    <w:p w14:paraId="1D7A8E30" w14:textId="206BE5B9" w:rsidR="00C20B12" w:rsidRPr="00F82F8D" w:rsidRDefault="00C20B12" w:rsidP="00AD2AE8">
      <w:pPr>
        <w:spacing w:before="100" w:beforeAutospacing="1" w:after="100" w:afterAutospacing="1" w:line="240" w:lineRule="auto"/>
        <w:jc w:val="center"/>
        <w:rPr>
          <w:rFonts w:ascii="Rockwell" w:eastAsia="Times New Roman" w:hAnsi="Rockwell" w:cs="Times New Roman"/>
          <w:color w:val="4472C4" w:themeColor="accent1"/>
          <w:sz w:val="56"/>
          <w:szCs w:val="56"/>
        </w:rPr>
      </w:pPr>
      <w:r w:rsidRPr="00F82F8D">
        <w:rPr>
          <w:rFonts w:ascii="Rockwell" w:eastAsia="Times New Roman" w:hAnsi="Rockwell" w:cs="Times New Roman"/>
          <w:b/>
          <w:bCs/>
          <w:color w:val="4472C4" w:themeColor="accent1"/>
          <w:sz w:val="56"/>
          <w:szCs w:val="56"/>
        </w:rPr>
        <w:t>DEDER GENERAL HOSPITAL</w:t>
      </w:r>
    </w:p>
    <w:p w14:paraId="6E965064" w14:textId="77777777" w:rsidR="00896D1B" w:rsidRPr="00BE7E45" w:rsidRDefault="00C20B12" w:rsidP="003805F5">
      <w:pPr>
        <w:spacing w:before="100" w:beforeAutospacing="1" w:after="100" w:afterAutospacing="1" w:line="240" w:lineRule="auto"/>
        <w:jc w:val="center"/>
        <w:rPr>
          <w:rFonts w:ascii="Rockwell" w:eastAsia="Times New Roman" w:hAnsi="Rockwell" w:cs="Times New Roman"/>
          <w:color w:val="4472C4" w:themeColor="accent1"/>
          <w:sz w:val="36"/>
          <w:szCs w:val="36"/>
        </w:rPr>
      </w:pPr>
      <w:r w:rsidRPr="00BE7E45">
        <w:rPr>
          <w:rFonts w:ascii="Rockwell" w:eastAsia="Times New Roman" w:hAnsi="Rockwell" w:cs="Times New Roman"/>
          <w:b/>
          <w:bCs/>
          <w:color w:val="4472C4" w:themeColor="accent1"/>
          <w:sz w:val="36"/>
          <w:szCs w:val="36"/>
        </w:rPr>
        <w:t>SUPPLY CHAIN INEFFICIENCY ASSESSMENT REPORT</w:t>
      </w:r>
    </w:p>
    <w:p w14:paraId="70C3540D" w14:textId="1855EEEB" w:rsidR="003805F5" w:rsidRPr="00896D1B" w:rsidRDefault="00C20B12" w:rsidP="00896D1B">
      <w:pPr>
        <w:spacing w:before="100" w:beforeAutospacing="1" w:after="100" w:afterAutospacing="1" w:line="240" w:lineRule="auto"/>
        <w:rPr>
          <w:rFonts w:ascii="Rockwell" w:eastAsia="Times New Roman" w:hAnsi="Rockwell" w:cs="Times New Roman"/>
          <w:b/>
          <w:bCs/>
          <w:sz w:val="36"/>
          <w:szCs w:val="36"/>
        </w:rPr>
      </w:pPr>
      <w:r w:rsidRPr="00C20B12">
        <w:rPr>
          <w:rFonts w:ascii="Rockwell" w:eastAsia="Times New Roman" w:hAnsi="Rockwell" w:cs="Times New Roman"/>
          <w:b/>
          <w:bCs/>
          <w:sz w:val="36"/>
          <w:szCs w:val="36"/>
        </w:rPr>
        <w:t>QUARTER 4, 2015 E.C.</w:t>
      </w:r>
    </w:p>
    <w:p w14:paraId="01AD76F2" w14:textId="31E4B59B" w:rsidR="00C20B12" w:rsidRPr="00E636C7" w:rsidRDefault="00C20B12" w:rsidP="003805F5">
      <w:pPr>
        <w:spacing w:before="100" w:beforeAutospacing="1" w:after="100" w:afterAutospacing="1" w:line="240" w:lineRule="auto"/>
        <w:rPr>
          <w:rFonts w:ascii="Rockwell" w:eastAsia="Times New Roman" w:hAnsi="Rockwell" w:cs="Times New Roman"/>
          <w:b/>
          <w:bCs/>
          <w:sz w:val="36"/>
          <w:szCs w:val="36"/>
        </w:rPr>
      </w:pPr>
      <w:r w:rsidRPr="00C20B12">
        <w:rPr>
          <w:rFonts w:ascii="Rockwell" w:eastAsia="Times New Roman" w:hAnsi="Rockwell" w:cs="Times New Roman"/>
          <w:b/>
          <w:bCs/>
          <w:sz w:val="36"/>
          <w:szCs w:val="36"/>
        </w:rPr>
        <w:t>BY: DTC COMMITTEE</w:t>
      </w:r>
    </w:p>
    <w:p w14:paraId="76B8DB88" w14:textId="77777777" w:rsidR="00AD2AE8" w:rsidRPr="00E636C7" w:rsidRDefault="00AD2AE8" w:rsidP="00AD2AE8">
      <w:pPr>
        <w:spacing w:before="100" w:beforeAutospacing="1" w:after="100" w:afterAutospacing="1" w:line="240" w:lineRule="auto"/>
        <w:jc w:val="center"/>
        <w:rPr>
          <w:rFonts w:ascii="Rockwell" w:eastAsia="Times New Roman" w:hAnsi="Rockwell" w:cs="Times New Roman"/>
          <w:b/>
          <w:bCs/>
          <w:sz w:val="36"/>
          <w:szCs w:val="36"/>
        </w:rPr>
      </w:pPr>
    </w:p>
    <w:p w14:paraId="2CCAE466" w14:textId="77777777" w:rsidR="00AD2AE8" w:rsidRPr="00E636C7" w:rsidRDefault="00AD2AE8" w:rsidP="00AD2AE8">
      <w:pPr>
        <w:spacing w:before="100" w:beforeAutospacing="1" w:after="100" w:afterAutospacing="1" w:line="240" w:lineRule="auto"/>
        <w:jc w:val="center"/>
        <w:rPr>
          <w:rFonts w:ascii="Rockwell" w:eastAsia="Times New Roman" w:hAnsi="Rockwell" w:cs="Times New Roman"/>
          <w:b/>
          <w:bCs/>
          <w:sz w:val="36"/>
          <w:szCs w:val="36"/>
        </w:rPr>
      </w:pPr>
    </w:p>
    <w:p w14:paraId="7EA8EE80" w14:textId="77777777" w:rsidR="00AD2AE8" w:rsidRPr="00E636C7" w:rsidRDefault="00AD2AE8" w:rsidP="00AD2AE8">
      <w:pPr>
        <w:spacing w:before="100" w:beforeAutospacing="1" w:after="100" w:afterAutospacing="1" w:line="240" w:lineRule="auto"/>
        <w:jc w:val="center"/>
        <w:rPr>
          <w:rFonts w:ascii="Rockwell" w:eastAsia="Times New Roman" w:hAnsi="Rockwell" w:cs="Times New Roman"/>
          <w:b/>
          <w:bCs/>
          <w:sz w:val="36"/>
          <w:szCs w:val="36"/>
        </w:rPr>
      </w:pPr>
    </w:p>
    <w:p w14:paraId="31D28F59" w14:textId="77777777" w:rsidR="00AD2AE8" w:rsidRPr="00E636C7" w:rsidRDefault="00AD2AE8" w:rsidP="00AD2AE8">
      <w:pPr>
        <w:spacing w:before="100" w:beforeAutospacing="1" w:after="100" w:afterAutospacing="1" w:line="240" w:lineRule="auto"/>
        <w:jc w:val="center"/>
        <w:rPr>
          <w:rFonts w:ascii="Rockwell" w:eastAsia="Times New Roman" w:hAnsi="Rockwell" w:cs="Times New Roman"/>
          <w:b/>
          <w:bCs/>
          <w:sz w:val="36"/>
          <w:szCs w:val="36"/>
        </w:rPr>
      </w:pPr>
    </w:p>
    <w:p w14:paraId="75D22411" w14:textId="77777777" w:rsidR="00AD2AE8" w:rsidRPr="00E636C7" w:rsidRDefault="00AD2AE8" w:rsidP="00AD2AE8">
      <w:pPr>
        <w:spacing w:before="100" w:beforeAutospacing="1" w:after="100" w:afterAutospacing="1" w:line="240" w:lineRule="auto"/>
        <w:jc w:val="center"/>
        <w:rPr>
          <w:rFonts w:ascii="Rockwell" w:eastAsia="Times New Roman" w:hAnsi="Rockwell" w:cs="Times New Roman"/>
          <w:b/>
          <w:bCs/>
          <w:sz w:val="36"/>
          <w:szCs w:val="36"/>
        </w:rPr>
      </w:pPr>
    </w:p>
    <w:p w14:paraId="19BE9F1B" w14:textId="77777777" w:rsidR="00AD2AE8" w:rsidRPr="00E636C7" w:rsidRDefault="00AD2AE8" w:rsidP="00AD2AE8">
      <w:pPr>
        <w:spacing w:before="100" w:beforeAutospacing="1" w:after="100" w:afterAutospacing="1" w:line="240" w:lineRule="auto"/>
        <w:jc w:val="center"/>
        <w:rPr>
          <w:rFonts w:ascii="Rockwell" w:eastAsia="Times New Roman" w:hAnsi="Rockwell" w:cs="Times New Roman"/>
          <w:b/>
          <w:bCs/>
          <w:sz w:val="36"/>
          <w:szCs w:val="36"/>
        </w:rPr>
      </w:pPr>
    </w:p>
    <w:p w14:paraId="410E0FDC" w14:textId="77777777" w:rsidR="00AD2AE8" w:rsidRPr="00E636C7" w:rsidRDefault="00AD2AE8" w:rsidP="004F1A8E">
      <w:pPr>
        <w:spacing w:before="100" w:beforeAutospacing="1" w:after="100" w:afterAutospacing="1" w:line="240" w:lineRule="auto"/>
        <w:rPr>
          <w:rFonts w:ascii="Rockwell" w:eastAsia="Times New Roman" w:hAnsi="Rockwell" w:cs="Times New Roman"/>
          <w:b/>
          <w:bCs/>
          <w:sz w:val="36"/>
          <w:szCs w:val="36"/>
        </w:rPr>
      </w:pPr>
    </w:p>
    <w:p w14:paraId="53834702" w14:textId="5C883B03" w:rsidR="00AD2AE8" w:rsidRPr="00CE38AE" w:rsidRDefault="00AD2AE8" w:rsidP="00AD2AE8">
      <w:pPr>
        <w:spacing w:before="100" w:beforeAutospacing="1" w:after="100" w:afterAutospacing="1" w:line="240" w:lineRule="auto"/>
        <w:jc w:val="right"/>
        <w:rPr>
          <w:rFonts w:ascii="Rockwell" w:eastAsia="Times New Roman" w:hAnsi="Rockwell" w:cs="Times New Roman"/>
          <w:b/>
          <w:bCs/>
          <w:sz w:val="36"/>
          <w:szCs w:val="36"/>
        </w:rPr>
      </w:pPr>
    </w:p>
    <w:p w14:paraId="6E47FAA1" w14:textId="77777777" w:rsidR="00AD2AE8" w:rsidRPr="00CE38AE" w:rsidRDefault="00AD2AE8" w:rsidP="00AD2AE8">
      <w:pPr>
        <w:spacing w:before="100" w:beforeAutospacing="1" w:after="100" w:afterAutospacing="1" w:line="240" w:lineRule="auto"/>
        <w:jc w:val="right"/>
        <w:rPr>
          <w:rFonts w:ascii="Rockwell" w:eastAsia="Times New Roman" w:hAnsi="Rockwell" w:cs="Times New Roman"/>
          <w:b/>
          <w:bCs/>
          <w:sz w:val="36"/>
          <w:szCs w:val="36"/>
        </w:rPr>
      </w:pPr>
      <w:r w:rsidRPr="00CE38AE">
        <w:rPr>
          <w:rFonts w:ascii="Rockwell" w:eastAsia="Times New Roman" w:hAnsi="Rockwell" w:cs="Times New Roman"/>
          <w:b/>
          <w:bCs/>
          <w:sz w:val="36"/>
          <w:szCs w:val="36"/>
        </w:rPr>
        <w:t>DEDER, ETHIOPIA</w:t>
      </w:r>
    </w:p>
    <w:p w14:paraId="27E603D7" w14:textId="5522124A" w:rsidR="00AD2AE8" w:rsidRPr="00E636C7" w:rsidRDefault="009140D6" w:rsidP="00C20B12">
      <w:pPr>
        <w:spacing w:after="0" w:line="240" w:lineRule="auto"/>
        <w:rPr>
          <w:rFonts w:ascii="Rockwell" w:eastAsia="Times New Roman" w:hAnsi="Rockwell" w:cs="Times New Roman"/>
          <w:sz w:val="36"/>
          <w:szCs w:val="36"/>
        </w:rPr>
      </w:pPr>
      <w:r>
        <w:rPr>
          <w:rFonts w:ascii="Rockwell" w:eastAsia="Times New Roman" w:hAnsi="Rockwell" w:cs="Times New Roman"/>
          <w:sz w:val="36"/>
          <w:szCs w:val="36"/>
        </w:rPr>
        <w:lastRenderedPageBreak/>
        <w:pict w14:anchorId="17F43AAD">
          <v:rect id="_x0000_i1029" style="width:0;height:1.5pt" o:hralign="center" o:hrstd="t" o:hr="t" fillcolor="#a0a0a0" stroked="f"/>
        </w:pict>
      </w:r>
    </w:p>
    <w:p w14:paraId="3E2E129E" w14:textId="77777777" w:rsidR="00AD2AE8" w:rsidRPr="00C20B12" w:rsidRDefault="00AD2AE8" w:rsidP="00C20B12">
      <w:pPr>
        <w:spacing w:after="0" w:line="240" w:lineRule="auto"/>
        <w:rPr>
          <w:rFonts w:ascii="Rockwell" w:eastAsia="Times New Roman" w:hAnsi="Rockwell" w:cs="Times New Roman"/>
          <w:sz w:val="36"/>
          <w:szCs w:val="36"/>
        </w:rPr>
      </w:pPr>
    </w:p>
    <w:p w14:paraId="088D0421" w14:textId="77777777" w:rsidR="00C20B12" w:rsidRPr="00C20B12" w:rsidRDefault="00C20B12" w:rsidP="00C20B12">
      <w:pPr>
        <w:spacing w:before="100" w:beforeAutospacing="1" w:after="100" w:afterAutospacing="1" w:line="240" w:lineRule="auto"/>
        <w:outlineLvl w:val="2"/>
        <w:rPr>
          <w:rFonts w:ascii="Rockwell" w:eastAsia="Times New Roman" w:hAnsi="Rockwell" w:cs="Times New Roman"/>
          <w:b/>
          <w:bCs/>
          <w:sz w:val="36"/>
          <w:szCs w:val="36"/>
        </w:rPr>
      </w:pPr>
      <w:bookmarkStart w:id="0" w:name="_Toc202977383"/>
      <w:bookmarkStart w:id="1" w:name="_Toc202991373"/>
      <w:r w:rsidRPr="00C20B12">
        <w:rPr>
          <w:rFonts w:ascii="Rockwell" w:eastAsia="Times New Roman" w:hAnsi="Rockwell" w:cs="Times New Roman"/>
          <w:b/>
          <w:bCs/>
          <w:sz w:val="36"/>
          <w:szCs w:val="36"/>
        </w:rPr>
        <w:t>Table of Contents</w:t>
      </w:r>
      <w:bookmarkEnd w:id="0"/>
      <w:bookmarkEnd w:id="1"/>
    </w:p>
    <w:sdt>
      <w:sdtPr>
        <w:rPr>
          <w:rFonts w:asciiTheme="minorHAnsi" w:eastAsiaTheme="minorHAnsi" w:hAnsiTheme="minorHAnsi" w:cstheme="minorBidi"/>
          <w:color w:val="auto"/>
          <w:sz w:val="44"/>
          <w:szCs w:val="44"/>
        </w:rPr>
        <w:id w:val="-1331595517"/>
        <w:docPartObj>
          <w:docPartGallery w:val="Table of Contents"/>
          <w:docPartUnique/>
        </w:docPartObj>
      </w:sdtPr>
      <w:sdtEndPr>
        <w:rPr>
          <w:b/>
          <w:bCs/>
          <w:noProof/>
          <w:sz w:val="32"/>
          <w:szCs w:val="32"/>
        </w:rPr>
      </w:sdtEndPr>
      <w:sdtContent>
        <w:p w14:paraId="0CD0E146" w14:textId="356ACCD9" w:rsidR="00E56C55" w:rsidRPr="00E636C7" w:rsidRDefault="00E56C55">
          <w:pPr>
            <w:pStyle w:val="TOCHeading"/>
            <w:rPr>
              <w:sz w:val="44"/>
              <w:szCs w:val="44"/>
            </w:rPr>
          </w:pPr>
          <w:r w:rsidRPr="00E636C7">
            <w:rPr>
              <w:sz w:val="44"/>
              <w:szCs w:val="44"/>
            </w:rPr>
            <w:t>Contents</w:t>
          </w:r>
        </w:p>
        <w:p w14:paraId="52F88330" w14:textId="006BCE34" w:rsidR="001155EA" w:rsidRDefault="00E56C55">
          <w:pPr>
            <w:pStyle w:val="TOC3"/>
            <w:tabs>
              <w:tab w:val="right" w:leader="dot" w:pos="9350"/>
            </w:tabs>
            <w:rPr>
              <w:rFonts w:eastAsiaTheme="minorEastAsia"/>
              <w:noProof/>
            </w:rPr>
          </w:pPr>
          <w:r w:rsidRPr="00E636C7">
            <w:rPr>
              <w:sz w:val="32"/>
              <w:szCs w:val="32"/>
            </w:rPr>
            <w:fldChar w:fldCharType="begin"/>
          </w:r>
          <w:r w:rsidRPr="00E636C7">
            <w:rPr>
              <w:sz w:val="32"/>
              <w:szCs w:val="32"/>
            </w:rPr>
            <w:instrText xml:space="preserve"> TOC \o "1-3" \h \z \u </w:instrText>
          </w:r>
          <w:r w:rsidRPr="00E636C7">
            <w:rPr>
              <w:sz w:val="32"/>
              <w:szCs w:val="32"/>
            </w:rPr>
            <w:fldChar w:fldCharType="separate"/>
          </w:r>
          <w:hyperlink w:anchor="_Toc202991373" w:history="1">
            <w:r w:rsidR="001155EA" w:rsidRPr="00A821C2">
              <w:rPr>
                <w:rStyle w:val="Hyperlink"/>
                <w:rFonts w:ascii="Rockwell" w:eastAsia="Times New Roman" w:hAnsi="Rockwell" w:cs="Times New Roman"/>
                <w:b/>
                <w:bCs/>
                <w:noProof/>
              </w:rPr>
              <w:t>Table of Contents</w:t>
            </w:r>
            <w:r w:rsidR="001155EA">
              <w:rPr>
                <w:noProof/>
                <w:webHidden/>
              </w:rPr>
              <w:tab/>
            </w:r>
            <w:r w:rsidR="001155EA">
              <w:rPr>
                <w:noProof/>
                <w:webHidden/>
              </w:rPr>
              <w:fldChar w:fldCharType="begin"/>
            </w:r>
            <w:r w:rsidR="001155EA">
              <w:rPr>
                <w:noProof/>
                <w:webHidden/>
              </w:rPr>
              <w:instrText xml:space="preserve"> PAGEREF _Toc202991373 \h </w:instrText>
            </w:r>
            <w:r w:rsidR="001155EA">
              <w:rPr>
                <w:noProof/>
                <w:webHidden/>
              </w:rPr>
            </w:r>
            <w:r w:rsidR="001155EA">
              <w:rPr>
                <w:noProof/>
                <w:webHidden/>
              </w:rPr>
              <w:fldChar w:fldCharType="separate"/>
            </w:r>
            <w:r w:rsidR="001155EA">
              <w:rPr>
                <w:noProof/>
                <w:webHidden/>
              </w:rPr>
              <w:t>1</w:t>
            </w:r>
            <w:r w:rsidR="001155EA">
              <w:rPr>
                <w:noProof/>
                <w:webHidden/>
              </w:rPr>
              <w:fldChar w:fldCharType="end"/>
            </w:r>
          </w:hyperlink>
        </w:p>
        <w:p w14:paraId="22CDAE0B" w14:textId="3CB242BC" w:rsidR="001155EA" w:rsidRDefault="009140D6">
          <w:pPr>
            <w:pStyle w:val="TOC3"/>
            <w:tabs>
              <w:tab w:val="right" w:leader="dot" w:pos="9350"/>
            </w:tabs>
            <w:rPr>
              <w:rFonts w:eastAsiaTheme="minorEastAsia"/>
              <w:noProof/>
            </w:rPr>
          </w:pPr>
          <w:hyperlink w:anchor="_Toc202991374" w:history="1">
            <w:r w:rsidR="001155EA" w:rsidRPr="00A821C2">
              <w:rPr>
                <w:rStyle w:val="Hyperlink"/>
                <w:rFonts w:ascii="Rockwell" w:eastAsia="Times New Roman" w:hAnsi="Rockwell" w:cs="Times New Roman"/>
                <w:b/>
                <w:bCs/>
                <w:noProof/>
              </w:rPr>
              <w:t>1. Executive Summary</w:t>
            </w:r>
            <w:r w:rsidR="001155EA">
              <w:rPr>
                <w:noProof/>
                <w:webHidden/>
              </w:rPr>
              <w:tab/>
            </w:r>
            <w:r w:rsidR="001155EA">
              <w:rPr>
                <w:noProof/>
                <w:webHidden/>
              </w:rPr>
              <w:fldChar w:fldCharType="begin"/>
            </w:r>
            <w:r w:rsidR="001155EA">
              <w:rPr>
                <w:noProof/>
                <w:webHidden/>
              </w:rPr>
              <w:instrText xml:space="preserve"> PAGEREF _Toc202991374 \h </w:instrText>
            </w:r>
            <w:r w:rsidR="001155EA">
              <w:rPr>
                <w:noProof/>
                <w:webHidden/>
              </w:rPr>
            </w:r>
            <w:r w:rsidR="001155EA">
              <w:rPr>
                <w:noProof/>
                <w:webHidden/>
              </w:rPr>
              <w:fldChar w:fldCharType="separate"/>
            </w:r>
            <w:r w:rsidR="001155EA">
              <w:rPr>
                <w:noProof/>
                <w:webHidden/>
              </w:rPr>
              <w:t>2</w:t>
            </w:r>
            <w:r w:rsidR="001155EA">
              <w:rPr>
                <w:noProof/>
                <w:webHidden/>
              </w:rPr>
              <w:fldChar w:fldCharType="end"/>
            </w:r>
          </w:hyperlink>
        </w:p>
        <w:p w14:paraId="479A9B29" w14:textId="347209E0" w:rsidR="001155EA" w:rsidRDefault="009140D6">
          <w:pPr>
            <w:pStyle w:val="TOC3"/>
            <w:tabs>
              <w:tab w:val="right" w:leader="dot" w:pos="9350"/>
            </w:tabs>
            <w:rPr>
              <w:rFonts w:eastAsiaTheme="minorEastAsia"/>
              <w:noProof/>
            </w:rPr>
          </w:pPr>
          <w:hyperlink w:anchor="_Toc202991375" w:history="1">
            <w:r w:rsidR="001155EA" w:rsidRPr="00A821C2">
              <w:rPr>
                <w:rStyle w:val="Hyperlink"/>
                <w:rFonts w:ascii="Rockwell" w:eastAsia="Times New Roman" w:hAnsi="Rockwell" w:cs="Times New Roman"/>
                <w:b/>
                <w:bCs/>
                <w:noProof/>
              </w:rPr>
              <w:t>2. Introduction</w:t>
            </w:r>
            <w:r w:rsidR="001155EA">
              <w:rPr>
                <w:noProof/>
                <w:webHidden/>
              </w:rPr>
              <w:tab/>
            </w:r>
            <w:r w:rsidR="001155EA">
              <w:rPr>
                <w:noProof/>
                <w:webHidden/>
              </w:rPr>
              <w:fldChar w:fldCharType="begin"/>
            </w:r>
            <w:r w:rsidR="001155EA">
              <w:rPr>
                <w:noProof/>
                <w:webHidden/>
              </w:rPr>
              <w:instrText xml:space="preserve"> PAGEREF _Toc202991375 \h </w:instrText>
            </w:r>
            <w:r w:rsidR="001155EA">
              <w:rPr>
                <w:noProof/>
                <w:webHidden/>
              </w:rPr>
            </w:r>
            <w:r w:rsidR="001155EA">
              <w:rPr>
                <w:noProof/>
                <w:webHidden/>
              </w:rPr>
              <w:fldChar w:fldCharType="separate"/>
            </w:r>
            <w:r w:rsidR="001155EA">
              <w:rPr>
                <w:noProof/>
                <w:webHidden/>
              </w:rPr>
              <w:t>2</w:t>
            </w:r>
            <w:r w:rsidR="001155EA">
              <w:rPr>
                <w:noProof/>
                <w:webHidden/>
              </w:rPr>
              <w:fldChar w:fldCharType="end"/>
            </w:r>
          </w:hyperlink>
        </w:p>
        <w:p w14:paraId="113F5275" w14:textId="5B6981FF" w:rsidR="001155EA" w:rsidRDefault="009140D6">
          <w:pPr>
            <w:pStyle w:val="TOC3"/>
            <w:tabs>
              <w:tab w:val="right" w:leader="dot" w:pos="9350"/>
            </w:tabs>
            <w:rPr>
              <w:rFonts w:eastAsiaTheme="minorEastAsia"/>
              <w:noProof/>
            </w:rPr>
          </w:pPr>
          <w:hyperlink w:anchor="_Toc202991376" w:history="1">
            <w:r w:rsidR="001155EA" w:rsidRPr="00A821C2">
              <w:rPr>
                <w:rStyle w:val="Hyperlink"/>
                <w:rFonts w:ascii="Rockwell" w:eastAsia="Times New Roman" w:hAnsi="Rockwell" w:cs="Times New Roman"/>
                <w:b/>
                <w:bCs/>
                <w:noProof/>
              </w:rPr>
              <w:t>3. Objectives of the Assessment</w:t>
            </w:r>
            <w:r w:rsidR="001155EA">
              <w:rPr>
                <w:noProof/>
                <w:webHidden/>
              </w:rPr>
              <w:tab/>
            </w:r>
            <w:r w:rsidR="001155EA">
              <w:rPr>
                <w:noProof/>
                <w:webHidden/>
              </w:rPr>
              <w:fldChar w:fldCharType="begin"/>
            </w:r>
            <w:r w:rsidR="001155EA">
              <w:rPr>
                <w:noProof/>
                <w:webHidden/>
              </w:rPr>
              <w:instrText xml:space="preserve"> PAGEREF _Toc202991376 \h </w:instrText>
            </w:r>
            <w:r w:rsidR="001155EA">
              <w:rPr>
                <w:noProof/>
                <w:webHidden/>
              </w:rPr>
            </w:r>
            <w:r w:rsidR="001155EA">
              <w:rPr>
                <w:noProof/>
                <w:webHidden/>
              </w:rPr>
              <w:fldChar w:fldCharType="separate"/>
            </w:r>
            <w:r w:rsidR="001155EA">
              <w:rPr>
                <w:noProof/>
                <w:webHidden/>
              </w:rPr>
              <w:t>2</w:t>
            </w:r>
            <w:r w:rsidR="001155EA">
              <w:rPr>
                <w:noProof/>
                <w:webHidden/>
              </w:rPr>
              <w:fldChar w:fldCharType="end"/>
            </w:r>
          </w:hyperlink>
        </w:p>
        <w:p w14:paraId="454B0ED2" w14:textId="4130DD71" w:rsidR="001155EA" w:rsidRDefault="009140D6">
          <w:pPr>
            <w:pStyle w:val="TOC3"/>
            <w:tabs>
              <w:tab w:val="right" w:leader="dot" w:pos="9350"/>
            </w:tabs>
            <w:rPr>
              <w:rFonts w:eastAsiaTheme="minorEastAsia"/>
              <w:noProof/>
            </w:rPr>
          </w:pPr>
          <w:hyperlink w:anchor="_Toc202991377" w:history="1">
            <w:r w:rsidR="001155EA" w:rsidRPr="00A821C2">
              <w:rPr>
                <w:rStyle w:val="Hyperlink"/>
                <w:rFonts w:ascii="Rockwell" w:eastAsia="Times New Roman" w:hAnsi="Rockwell" w:cs="Times New Roman"/>
                <w:b/>
                <w:bCs/>
                <w:noProof/>
              </w:rPr>
              <w:t>4. Methodology</w:t>
            </w:r>
            <w:r w:rsidR="001155EA">
              <w:rPr>
                <w:noProof/>
                <w:webHidden/>
              </w:rPr>
              <w:tab/>
            </w:r>
            <w:r w:rsidR="001155EA">
              <w:rPr>
                <w:noProof/>
                <w:webHidden/>
              </w:rPr>
              <w:fldChar w:fldCharType="begin"/>
            </w:r>
            <w:r w:rsidR="001155EA">
              <w:rPr>
                <w:noProof/>
                <w:webHidden/>
              </w:rPr>
              <w:instrText xml:space="preserve"> PAGEREF _Toc202991377 \h </w:instrText>
            </w:r>
            <w:r w:rsidR="001155EA">
              <w:rPr>
                <w:noProof/>
                <w:webHidden/>
              </w:rPr>
            </w:r>
            <w:r w:rsidR="001155EA">
              <w:rPr>
                <w:noProof/>
                <w:webHidden/>
              </w:rPr>
              <w:fldChar w:fldCharType="separate"/>
            </w:r>
            <w:r w:rsidR="001155EA">
              <w:rPr>
                <w:noProof/>
                <w:webHidden/>
              </w:rPr>
              <w:t>3</w:t>
            </w:r>
            <w:r w:rsidR="001155EA">
              <w:rPr>
                <w:noProof/>
                <w:webHidden/>
              </w:rPr>
              <w:fldChar w:fldCharType="end"/>
            </w:r>
          </w:hyperlink>
        </w:p>
        <w:p w14:paraId="6B847098" w14:textId="696AE6E5" w:rsidR="001155EA" w:rsidRDefault="009140D6">
          <w:pPr>
            <w:pStyle w:val="TOC3"/>
            <w:tabs>
              <w:tab w:val="right" w:leader="dot" w:pos="9350"/>
            </w:tabs>
            <w:rPr>
              <w:rFonts w:eastAsiaTheme="minorEastAsia"/>
              <w:noProof/>
            </w:rPr>
          </w:pPr>
          <w:hyperlink w:anchor="_Toc202991378" w:history="1">
            <w:r w:rsidR="001155EA" w:rsidRPr="00A821C2">
              <w:rPr>
                <w:rStyle w:val="Hyperlink"/>
                <w:rFonts w:ascii="Rockwell" w:eastAsia="Times New Roman" w:hAnsi="Rockwell" w:cs="Times New Roman"/>
                <w:b/>
                <w:bCs/>
                <w:noProof/>
              </w:rPr>
              <w:t>5. PREVIOUS ACTION PLAN IMPLEMENTATION</w:t>
            </w:r>
            <w:r w:rsidR="001155EA">
              <w:rPr>
                <w:noProof/>
                <w:webHidden/>
              </w:rPr>
              <w:tab/>
            </w:r>
            <w:r w:rsidR="001155EA">
              <w:rPr>
                <w:noProof/>
                <w:webHidden/>
              </w:rPr>
              <w:fldChar w:fldCharType="begin"/>
            </w:r>
            <w:r w:rsidR="001155EA">
              <w:rPr>
                <w:noProof/>
                <w:webHidden/>
              </w:rPr>
              <w:instrText xml:space="preserve"> PAGEREF _Toc202991378 \h </w:instrText>
            </w:r>
            <w:r w:rsidR="001155EA">
              <w:rPr>
                <w:noProof/>
                <w:webHidden/>
              </w:rPr>
            </w:r>
            <w:r w:rsidR="001155EA">
              <w:rPr>
                <w:noProof/>
                <w:webHidden/>
              </w:rPr>
              <w:fldChar w:fldCharType="separate"/>
            </w:r>
            <w:r w:rsidR="001155EA">
              <w:rPr>
                <w:noProof/>
                <w:webHidden/>
              </w:rPr>
              <w:t>3</w:t>
            </w:r>
            <w:r w:rsidR="001155EA">
              <w:rPr>
                <w:noProof/>
                <w:webHidden/>
              </w:rPr>
              <w:fldChar w:fldCharType="end"/>
            </w:r>
          </w:hyperlink>
        </w:p>
        <w:p w14:paraId="52E05D0C" w14:textId="0D003A3D" w:rsidR="001155EA" w:rsidRDefault="009140D6">
          <w:pPr>
            <w:pStyle w:val="TOC3"/>
            <w:tabs>
              <w:tab w:val="right" w:leader="dot" w:pos="9350"/>
            </w:tabs>
            <w:rPr>
              <w:rFonts w:eastAsiaTheme="minorEastAsia"/>
              <w:noProof/>
            </w:rPr>
          </w:pPr>
          <w:hyperlink w:anchor="_Toc202991379" w:history="1">
            <w:r w:rsidR="001155EA" w:rsidRPr="00A821C2">
              <w:rPr>
                <w:rStyle w:val="Hyperlink"/>
                <w:rFonts w:ascii="Rockwell" w:eastAsia="Times New Roman" w:hAnsi="Rockwell" w:cs="Times New Roman"/>
                <w:b/>
                <w:bCs/>
                <w:noProof/>
              </w:rPr>
              <w:t>6. Risk Assessment</w:t>
            </w:r>
            <w:r w:rsidR="001155EA">
              <w:rPr>
                <w:noProof/>
                <w:webHidden/>
              </w:rPr>
              <w:tab/>
            </w:r>
            <w:r w:rsidR="001155EA">
              <w:rPr>
                <w:noProof/>
                <w:webHidden/>
              </w:rPr>
              <w:fldChar w:fldCharType="begin"/>
            </w:r>
            <w:r w:rsidR="001155EA">
              <w:rPr>
                <w:noProof/>
                <w:webHidden/>
              </w:rPr>
              <w:instrText xml:space="preserve"> PAGEREF _Toc202991379 \h </w:instrText>
            </w:r>
            <w:r w:rsidR="001155EA">
              <w:rPr>
                <w:noProof/>
                <w:webHidden/>
              </w:rPr>
            </w:r>
            <w:r w:rsidR="001155EA">
              <w:rPr>
                <w:noProof/>
                <w:webHidden/>
              </w:rPr>
              <w:fldChar w:fldCharType="separate"/>
            </w:r>
            <w:r w:rsidR="001155EA">
              <w:rPr>
                <w:noProof/>
                <w:webHidden/>
              </w:rPr>
              <w:t>5</w:t>
            </w:r>
            <w:r w:rsidR="001155EA">
              <w:rPr>
                <w:noProof/>
                <w:webHidden/>
              </w:rPr>
              <w:fldChar w:fldCharType="end"/>
            </w:r>
          </w:hyperlink>
        </w:p>
        <w:p w14:paraId="045E6982" w14:textId="78346DAA" w:rsidR="001155EA" w:rsidRDefault="009140D6">
          <w:pPr>
            <w:pStyle w:val="TOC3"/>
            <w:tabs>
              <w:tab w:val="right" w:leader="dot" w:pos="9350"/>
            </w:tabs>
            <w:rPr>
              <w:rFonts w:eastAsiaTheme="minorEastAsia"/>
              <w:noProof/>
            </w:rPr>
          </w:pPr>
          <w:hyperlink w:anchor="_Toc202991380" w:history="1">
            <w:r w:rsidR="001155EA" w:rsidRPr="00A821C2">
              <w:rPr>
                <w:rStyle w:val="Hyperlink"/>
                <w:rFonts w:ascii="Rockwell" w:eastAsia="Times New Roman" w:hAnsi="Rockwell" w:cs="Times New Roman"/>
                <w:b/>
                <w:bCs/>
                <w:noProof/>
              </w:rPr>
              <w:t>7. Cost Calculation Formulas</w:t>
            </w:r>
            <w:r w:rsidR="001155EA">
              <w:rPr>
                <w:noProof/>
                <w:webHidden/>
              </w:rPr>
              <w:tab/>
            </w:r>
            <w:r w:rsidR="001155EA">
              <w:rPr>
                <w:noProof/>
                <w:webHidden/>
              </w:rPr>
              <w:fldChar w:fldCharType="begin"/>
            </w:r>
            <w:r w:rsidR="001155EA">
              <w:rPr>
                <w:noProof/>
                <w:webHidden/>
              </w:rPr>
              <w:instrText xml:space="preserve"> PAGEREF _Toc202991380 \h </w:instrText>
            </w:r>
            <w:r w:rsidR="001155EA">
              <w:rPr>
                <w:noProof/>
                <w:webHidden/>
              </w:rPr>
            </w:r>
            <w:r w:rsidR="001155EA">
              <w:rPr>
                <w:noProof/>
                <w:webHidden/>
              </w:rPr>
              <w:fldChar w:fldCharType="separate"/>
            </w:r>
            <w:r w:rsidR="001155EA">
              <w:rPr>
                <w:noProof/>
                <w:webHidden/>
              </w:rPr>
              <w:t>5</w:t>
            </w:r>
            <w:r w:rsidR="001155EA">
              <w:rPr>
                <w:noProof/>
                <w:webHidden/>
              </w:rPr>
              <w:fldChar w:fldCharType="end"/>
            </w:r>
          </w:hyperlink>
        </w:p>
        <w:p w14:paraId="35025307" w14:textId="62CA8588" w:rsidR="001155EA" w:rsidRDefault="001155EA">
          <w:pPr>
            <w:pStyle w:val="TOC1"/>
            <w:tabs>
              <w:tab w:val="right" w:leader="dot" w:pos="9350"/>
            </w:tabs>
            <w:rPr>
              <w:noProof/>
            </w:rPr>
          </w:pPr>
          <w:r>
            <w:rPr>
              <w:rStyle w:val="Hyperlink"/>
              <w:noProof/>
            </w:rPr>
            <w:t xml:space="preserve">         </w:t>
          </w:r>
          <w:hyperlink w:anchor="_Toc202991381" w:history="1">
            <w:r w:rsidRPr="00A821C2">
              <w:rPr>
                <w:rStyle w:val="Hyperlink"/>
                <w:rFonts w:ascii="Rockwell" w:eastAsia="Times New Roman" w:hAnsi="Rockwell"/>
                <w:noProof/>
              </w:rPr>
              <w:t>8. Discussion</w:t>
            </w:r>
            <w:r>
              <w:rPr>
                <w:noProof/>
                <w:webHidden/>
              </w:rPr>
              <w:tab/>
            </w:r>
            <w:r>
              <w:rPr>
                <w:noProof/>
                <w:webHidden/>
              </w:rPr>
              <w:fldChar w:fldCharType="begin"/>
            </w:r>
            <w:r>
              <w:rPr>
                <w:noProof/>
                <w:webHidden/>
              </w:rPr>
              <w:instrText xml:space="preserve"> PAGEREF _Toc202991381 \h </w:instrText>
            </w:r>
            <w:r>
              <w:rPr>
                <w:noProof/>
                <w:webHidden/>
              </w:rPr>
            </w:r>
            <w:r>
              <w:rPr>
                <w:noProof/>
                <w:webHidden/>
              </w:rPr>
              <w:fldChar w:fldCharType="separate"/>
            </w:r>
            <w:r>
              <w:rPr>
                <w:noProof/>
                <w:webHidden/>
              </w:rPr>
              <w:t>6</w:t>
            </w:r>
            <w:r>
              <w:rPr>
                <w:noProof/>
                <w:webHidden/>
              </w:rPr>
              <w:fldChar w:fldCharType="end"/>
            </w:r>
          </w:hyperlink>
        </w:p>
        <w:p w14:paraId="3538133A" w14:textId="2B1F0838" w:rsidR="001155EA" w:rsidRDefault="009140D6">
          <w:pPr>
            <w:pStyle w:val="TOC3"/>
            <w:tabs>
              <w:tab w:val="right" w:leader="dot" w:pos="9350"/>
            </w:tabs>
            <w:rPr>
              <w:rFonts w:eastAsiaTheme="minorEastAsia"/>
              <w:noProof/>
            </w:rPr>
          </w:pPr>
          <w:hyperlink w:anchor="_Toc202991382" w:history="1">
            <w:r w:rsidR="001155EA" w:rsidRPr="00A821C2">
              <w:rPr>
                <w:rStyle w:val="Hyperlink"/>
                <w:rFonts w:ascii="Rockwell" w:eastAsia="Times New Roman" w:hAnsi="Rockwell" w:cs="Times New Roman"/>
                <w:b/>
                <w:bCs/>
                <w:noProof/>
              </w:rPr>
              <w:t>9. Inefficiency Summary Table (Q4 2015EC)</w:t>
            </w:r>
            <w:r w:rsidR="001155EA">
              <w:rPr>
                <w:noProof/>
                <w:webHidden/>
              </w:rPr>
              <w:tab/>
            </w:r>
            <w:r w:rsidR="001155EA">
              <w:rPr>
                <w:noProof/>
                <w:webHidden/>
              </w:rPr>
              <w:fldChar w:fldCharType="begin"/>
            </w:r>
            <w:r w:rsidR="001155EA">
              <w:rPr>
                <w:noProof/>
                <w:webHidden/>
              </w:rPr>
              <w:instrText xml:space="preserve"> PAGEREF _Toc202991382 \h </w:instrText>
            </w:r>
            <w:r w:rsidR="001155EA">
              <w:rPr>
                <w:noProof/>
                <w:webHidden/>
              </w:rPr>
            </w:r>
            <w:r w:rsidR="001155EA">
              <w:rPr>
                <w:noProof/>
                <w:webHidden/>
              </w:rPr>
              <w:fldChar w:fldCharType="separate"/>
            </w:r>
            <w:r w:rsidR="001155EA">
              <w:rPr>
                <w:noProof/>
                <w:webHidden/>
              </w:rPr>
              <w:t>8</w:t>
            </w:r>
            <w:r w:rsidR="001155EA">
              <w:rPr>
                <w:noProof/>
                <w:webHidden/>
              </w:rPr>
              <w:fldChar w:fldCharType="end"/>
            </w:r>
          </w:hyperlink>
        </w:p>
        <w:p w14:paraId="43467030" w14:textId="751236F4" w:rsidR="001155EA" w:rsidRDefault="009140D6">
          <w:pPr>
            <w:pStyle w:val="TOC3"/>
            <w:tabs>
              <w:tab w:val="right" w:leader="dot" w:pos="9350"/>
            </w:tabs>
            <w:rPr>
              <w:rFonts w:eastAsiaTheme="minorEastAsia"/>
              <w:noProof/>
            </w:rPr>
          </w:pPr>
          <w:hyperlink w:anchor="_Toc202991383" w:history="1">
            <w:r w:rsidR="001155EA" w:rsidRPr="00A821C2">
              <w:rPr>
                <w:rStyle w:val="Hyperlink"/>
                <w:rFonts w:ascii="Rockwell" w:eastAsia="Times New Roman" w:hAnsi="Rockwell" w:cs="Times New Roman"/>
                <w:b/>
                <w:bCs/>
                <w:noProof/>
              </w:rPr>
              <w:t>10. Action Plan</w:t>
            </w:r>
            <w:r w:rsidR="001155EA">
              <w:rPr>
                <w:noProof/>
                <w:webHidden/>
              </w:rPr>
              <w:tab/>
            </w:r>
            <w:r w:rsidR="001155EA">
              <w:rPr>
                <w:noProof/>
                <w:webHidden/>
              </w:rPr>
              <w:fldChar w:fldCharType="begin"/>
            </w:r>
            <w:r w:rsidR="001155EA">
              <w:rPr>
                <w:noProof/>
                <w:webHidden/>
              </w:rPr>
              <w:instrText xml:space="preserve"> PAGEREF _Toc202991383 \h </w:instrText>
            </w:r>
            <w:r w:rsidR="001155EA">
              <w:rPr>
                <w:noProof/>
                <w:webHidden/>
              </w:rPr>
            </w:r>
            <w:r w:rsidR="001155EA">
              <w:rPr>
                <w:noProof/>
                <w:webHidden/>
              </w:rPr>
              <w:fldChar w:fldCharType="separate"/>
            </w:r>
            <w:r w:rsidR="001155EA">
              <w:rPr>
                <w:noProof/>
                <w:webHidden/>
              </w:rPr>
              <w:t>10</w:t>
            </w:r>
            <w:r w:rsidR="001155EA">
              <w:rPr>
                <w:noProof/>
                <w:webHidden/>
              </w:rPr>
              <w:fldChar w:fldCharType="end"/>
            </w:r>
          </w:hyperlink>
        </w:p>
        <w:p w14:paraId="004AAC4C" w14:textId="39962B16" w:rsidR="001155EA" w:rsidRDefault="009140D6">
          <w:pPr>
            <w:pStyle w:val="TOC3"/>
            <w:tabs>
              <w:tab w:val="left" w:pos="880"/>
              <w:tab w:val="right" w:leader="dot" w:pos="9350"/>
            </w:tabs>
            <w:rPr>
              <w:rFonts w:eastAsiaTheme="minorEastAsia"/>
              <w:noProof/>
            </w:rPr>
          </w:pPr>
          <w:hyperlink w:anchor="_Toc202991384" w:history="1">
            <w:r w:rsidR="001155EA" w:rsidRPr="00A821C2">
              <w:rPr>
                <w:rStyle w:val="Hyperlink"/>
                <w:rFonts w:ascii="Rockwell" w:eastAsia="Times New Roman" w:hAnsi="Rockwell" w:cs="Times New Roman"/>
                <w:b/>
                <w:bCs/>
                <w:noProof/>
              </w:rPr>
              <w:t>11. Recommendations and Utilization Plan</w:t>
            </w:r>
            <w:r w:rsidR="001155EA">
              <w:rPr>
                <w:noProof/>
                <w:webHidden/>
              </w:rPr>
              <w:tab/>
            </w:r>
            <w:r w:rsidR="001155EA">
              <w:rPr>
                <w:noProof/>
                <w:webHidden/>
              </w:rPr>
              <w:fldChar w:fldCharType="begin"/>
            </w:r>
            <w:r w:rsidR="001155EA">
              <w:rPr>
                <w:noProof/>
                <w:webHidden/>
              </w:rPr>
              <w:instrText xml:space="preserve"> PAGEREF _Toc202991384 \h </w:instrText>
            </w:r>
            <w:r w:rsidR="001155EA">
              <w:rPr>
                <w:noProof/>
                <w:webHidden/>
              </w:rPr>
            </w:r>
            <w:r w:rsidR="001155EA">
              <w:rPr>
                <w:noProof/>
                <w:webHidden/>
              </w:rPr>
              <w:fldChar w:fldCharType="separate"/>
            </w:r>
            <w:r w:rsidR="001155EA">
              <w:rPr>
                <w:noProof/>
                <w:webHidden/>
              </w:rPr>
              <w:t>11</w:t>
            </w:r>
            <w:r w:rsidR="001155EA">
              <w:rPr>
                <w:noProof/>
                <w:webHidden/>
              </w:rPr>
              <w:fldChar w:fldCharType="end"/>
            </w:r>
          </w:hyperlink>
        </w:p>
        <w:p w14:paraId="4BC07E54" w14:textId="67476ABA" w:rsidR="001155EA" w:rsidRDefault="009140D6">
          <w:pPr>
            <w:pStyle w:val="TOC3"/>
            <w:tabs>
              <w:tab w:val="right" w:leader="dot" w:pos="9350"/>
            </w:tabs>
            <w:rPr>
              <w:rFonts w:eastAsiaTheme="minorEastAsia"/>
              <w:noProof/>
            </w:rPr>
          </w:pPr>
          <w:hyperlink w:anchor="_Toc202991385" w:history="1">
            <w:r w:rsidR="001155EA" w:rsidRPr="00A821C2">
              <w:rPr>
                <w:rStyle w:val="Hyperlink"/>
                <w:rFonts w:ascii="Rockwell" w:eastAsia="Times New Roman" w:hAnsi="Rockwell" w:cs="Times New Roman"/>
                <w:b/>
                <w:bCs/>
                <w:noProof/>
              </w:rPr>
              <w:t>12. Conclusion</w:t>
            </w:r>
            <w:r w:rsidR="001155EA">
              <w:rPr>
                <w:noProof/>
                <w:webHidden/>
              </w:rPr>
              <w:tab/>
            </w:r>
            <w:r w:rsidR="001155EA">
              <w:rPr>
                <w:noProof/>
                <w:webHidden/>
              </w:rPr>
              <w:fldChar w:fldCharType="begin"/>
            </w:r>
            <w:r w:rsidR="001155EA">
              <w:rPr>
                <w:noProof/>
                <w:webHidden/>
              </w:rPr>
              <w:instrText xml:space="preserve"> PAGEREF _Toc202991385 \h </w:instrText>
            </w:r>
            <w:r w:rsidR="001155EA">
              <w:rPr>
                <w:noProof/>
                <w:webHidden/>
              </w:rPr>
            </w:r>
            <w:r w:rsidR="001155EA">
              <w:rPr>
                <w:noProof/>
                <w:webHidden/>
              </w:rPr>
              <w:fldChar w:fldCharType="separate"/>
            </w:r>
            <w:r w:rsidR="001155EA">
              <w:rPr>
                <w:noProof/>
                <w:webHidden/>
              </w:rPr>
              <w:t>11</w:t>
            </w:r>
            <w:r w:rsidR="001155EA">
              <w:rPr>
                <w:noProof/>
                <w:webHidden/>
              </w:rPr>
              <w:fldChar w:fldCharType="end"/>
            </w:r>
          </w:hyperlink>
        </w:p>
        <w:p w14:paraId="32BB487D" w14:textId="0087E189" w:rsidR="001155EA" w:rsidRDefault="009140D6">
          <w:pPr>
            <w:pStyle w:val="TOC3"/>
            <w:tabs>
              <w:tab w:val="left" w:pos="880"/>
              <w:tab w:val="right" w:leader="dot" w:pos="9350"/>
            </w:tabs>
            <w:rPr>
              <w:rFonts w:eastAsiaTheme="minorEastAsia"/>
              <w:noProof/>
            </w:rPr>
          </w:pPr>
          <w:hyperlink w:anchor="_Toc202991386" w:history="1">
            <w:r w:rsidR="001155EA" w:rsidRPr="00A821C2">
              <w:rPr>
                <w:rStyle w:val="Hyperlink"/>
                <w:rFonts w:ascii="Rockwell" w:eastAsia="Times New Roman" w:hAnsi="Rockwell" w:cs="Times New Roman"/>
                <w:b/>
                <w:bCs/>
                <w:noProof/>
              </w:rPr>
              <w:t>13. References</w:t>
            </w:r>
            <w:r w:rsidR="001155EA">
              <w:rPr>
                <w:noProof/>
                <w:webHidden/>
              </w:rPr>
              <w:tab/>
            </w:r>
            <w:r w:rsidR="001155EA">
              <w:rPr>
                <w:noProof/>
                <w:webHidden/>
              </w:rPr>
              <w:fldChar w:fldCharType="begin"/>
            </w:r>
            <w:r w:rsidR="001155EA">
              <w:rPr>
                <w:noProof/>
                <w:webHidden/>
              </w:rPr>
              <w:instrText xml:space="preserve"> PAGEREF _Toc202991386 \h </w:instrText>
            </w:r>
            <w:r w:rsidR="001155EA">
              <w:rPr>
                <w:noProof/>
                <w:webHidden/>
              </w:rPr>
            </w:r>
            <w:r w:rsidR="001155EA">
              <w:rPr>
                <w:noProof/>
                <w:webHidden/>
              </w:rPr>
              <w:fldChar w:fldCharType="separate"/>
            </w:r>
            <w:r w:rsidR="001155EA">
              <w:rPr>
                <w:noProof/>
                <w:webHidden/>
              </w:rPr>
              <w:t>12</w:t>
            </w:r>
            <w:r w:rsidR="001155EA">
              <w:rPr>
                <w:noProof/>
                <w:webHidden/>
              </w:rPr>
              <w:fldChar w:fldCharType="end"/>
            </w:r>
          </w:hyperlink>
        </w:p>
        <w:p w14:paraId="445EE5D0" w14:textId="55D8C1D2" w:rsidR="00E56C55" w:rsidRPr="00E636C7" w:rsidRDefault="00E56C55">
          <w:pPr>
            <w:rPr>
              <w:sz w:val="32"/>
              <w:szCs w:val="32"/>
            </w:rPr>
          </w:pPr>
          <w:r w:rsidRPr="00E636C7">
            <w:rPr>
              <w:b/>
              <w:bCs/>
              <w:noProof/>
              <w:sz w:val="32"/>
              <w:szCs w:val="32"/>
            </w:rPr>
            <w:fldChar w:fldCharType="end"/>
          </w:r>
        </w:p>
      </w:sdtContent>
    </w:sdt>
    <w:p w14:paraId="093A8B7D" w14:textId="3CDCEFDE" w:rsidR="00C20B12" w:rsidRPr="00E636C7" w:rsidRDefault="009140D6" w:rsidP="00C20B12">
      <w:pPr>
        <w:spacing w:after="0" w:line="240" w:lineRule="auto"/>
        <w:rPr>
          <w:rFonts w:ascii="Rockwell" w:eastAsia="Times New Roman" w:hAnsi="Rockwell" w:cs="Times New Roman"/>
          <w:sz w:val="36"/>
          <w:szCs w:val="36"/>
        </w:rPr>
      </w:pPr>
      <w:r>
        <w:rPr>
          <w:rFonts w:ascii="Rockwell" w:eastAsia="Times New Roman" w:hAnsi="Rockwell" w:cs="Times New Roman"/>
          <w:sz w:val="36"/>
          <w:szCs w:val="36"/>
        </w:rPr>
        <w:pict w14:anchorId="0F7BB360">
          <v:rect id="_x0000_i1030" style="width:0;height:1.5pt" o:hralign="center" o:hrstd="t" o:hr="t" fillcolor="#a0a0a0" stroked="f"/>
        </w:pict>
      </w:r>
    </w:p>
    <w:p w14:paraId="02EADE3C" w14:textId="075C5B53" w:rsidR="00E56C55" w:rsidRPr="00E636C7" w:rsidRDefault="00E56C55" w:rsidP="00C20B12">
      <w:pPr>
        <w:spacing w:after="0" w:line="240" w:lineRule="auto"/>
        <w:rPr>
          <w:rFonts w:ascii="Rockwell" w:eastAsia="Times New Roman" w:hAnsi="Rockwell" w:cs="Times New Roman"/>
          <w:sz w:val="36"/>
          <w:szCs w:val="36"/>
        </w:rPr>
      </w:pPr>
    </w:p>
    <w:p w14:paraId="7D28231E" w14:textId="7C2F01C1" w:rsidR="00E56C55" w:rsidRPr="00E636C7" w:rsidRDefault="00E56C55" w:rsidP="00C20B12">
      <w:pPr>
        <w:spacing w:after="0" w:line="240" w:lineRule="auto"/>
        <w:rPr>
          <w:rFonts w:ascii="Rockwell" w:eastAsia="Times New Roman" w:hAnsi="Rockwell" w:cs="Times New Roman"/>
          <w:sz w:val="36"/>
          <w:szCs w:val="36"/>
        </w:rPr>
      </w:pPr>
    </w:p>
    <w:p w14:paraId="3263560E" w14:textId="3C1B9E8B" w:rsidR="00E56C55" w:rsidRPr="00E636C7" w:rsidRDefault="00E56C55" w:rsidP="00C20B12">
      <w:pPr>
        <w:spacing w:after="0" w:line="240" w:lineRule="auto"/>
        <w:rPr>
          <w:rFonts w:ascii="Rockwell" w:eastAsia="Times New Roman" w:hAnsi="Rockwell" w:cs="Times New Roman"/>
          <w:sz w:val="36"/>
          <w:szCs w:val="36"/>
        </w:rPr>
      </w:pPr>
    </w:p>
    <w:p w14:paraId="0A9E15C3" w14:textId="3A1D1A32" w:rsidR="00E56C55" w:rsidRDefault="00E56C55" w:rsidP="00C20B12">
      <w:pPr>
        <w:spacing w:after="0" w:line="240" w:lineRule="auto"/>
        <w:rPr>
          <w:rFonts w:ascii="Rockwell" w:eastAsia="Times New Roman" w:hAnsi="Rockwell" w:cs="Times New Roman"/>
          <w:sz w:val="36"/>
          <w:szCs w:val="36"/>
        </w:rPr>
      </w:pPr>
    </w:p>
    <w:p w14:paraId="0982BC4B" w14:textId="777E51B3" w:rsidR="00641371" w:rsidRDefault="00641371" w:rsidP="00C20B12">
      <w:pPr>
        <w:spacing w:after="0" w:line="240" w:lineRule="auto"/>
        <w:rPr>
          <w:rFonts w:ascii="Rockwell" w:eastAsia="Times New Roman" w:hAnsi="Rockwell" w:cs="Times New Roman"/>
          <w:sz w:val="36"/>
          <w:szCs w:val="36"/>
        </w:rPr>
      </w:pPr>
    </w:p>
    <w:p w14:paraId="441132AB" w14:textId="62D1A0A9" w:rsidR="00641371" w:rsidRDefault="00641371" w:rsidP="00C20B12">
      <w:pPr>
        <w:spacing w:after="0" w:line="240" w:lineRule="auto"/>
        <w:rPr>
          <w:rFonts w:ascii="Rockwell" w:eastAsia="Times New Roman" w:hAnsi="Rockwell" w:cs="Times New Roman"/>
          <w:sz w:val="36"/>
          <w:szCs w:val="36"/>
        </w:rPr>
      </w:pPr>
    </w:p>
    <w:p w14:paraId="1F0D6BBB" w14:textId="60EAB3D5" w:rsidR="00641371" w:rsidRDefault="00641371" w:rsidP="00C20B12">
      <w:pPr>
        <w:spacing w:after="0" w:line="240" w:lineRule="auto"/>
        <w:rPr>
          <w:rFonts w:ascii="Rockwell" w:eastAsia="Times New Roman" w:hAnsi="Rockwell" w:cs="Times New Roman"/>
          <w:sz w:val="36"/>
          <w:szCs w:val="36"/>
        </w:rPr>
      </w:pPr>
    </w:p>
    <w:p w14:paraId="2701D67C" w14:textId="0C8E204D" w:rsidR="00641371" w:rsidRDefault="00641371" w:rsidP="00C20B12">
      <w:pPr>
        <w:spacing w:after="0" w:line="240" w:lineRule="auto"/>
        <w:rPr>
          <w:rFonts w:ascii="Rockwell" w:eastAsia="Times New Roman" w:hAnsi="Rockwell" w:cs="Times New Roman"/>
          <w:sz w:val="36"/>
          <w:szCs w:val="36"/>
        </w:rPr>
      </w:pPr>
    </w:p>
    <w:p w14:paraId="519F3222" w14:textId="4CA3CD2E" w:rsidR="00E56C55" w:rsidRPr="00E636C7" w:rsidRDefault="00E56C55" w:rsidP="00C20B12">
      <w:pPr>
        <w:spacing w:after="0" w:line="240" w:lineRule="auto"/>
        <w:rPr>
          <w:rFonts w:ascii="Rockwell" w:eastAsia="Times New Roman" w:hAnsi="Rockwell" w:cs="Times New Roman"/>
          <w:sz w:val="36"/>
          <w:szCs w:val="36"/>
        </w:rPr>
      </w:pPr>
    </w:p>
    <w:p w14:paraId="0E8179E5" w14:textId="77777777" w:rsidR="00E56C55" w:rsidRPr="00C20B12" w:rsidRDefault="00E56C55" w:rsidP="00C20B12">
      <w:pPr>
        <w:spacing w:after="0" w:line="240" w:lineRule="auto"/>
        <w:rPr>
          <w:rFonts w:ascii="Rockwell" w:eastAsia="Times New Roman" w:hAnsi="Rockwell" w:cs="Times New Roman"/>
          <w:sz w:val="36"/>
          <w:szCs w:val="36"/>
        </w:rPr>
      </w:pPr>
    </w:p>
    <w:p w14:paraId="2605FF1F" w14:textId="77777777" w:rsidR="00C20B12" w:rsidRPr="00C20B12" w:rsidRDefault="00C20B12" w:rsidP="00C20B12">
      <w:pPr>
        <w:spacing w:before="100" w:beforeAutospacing="1" w:after="100" w:afterAutospacing="1" w:line="240" w:lineRule="auto"/>
        <w:outlineLvl w:val="2"/>
        <w:rPr>
          <w:rFonts w:ascii="Rockwell" w:eastAsia="Times New Roman" w:hAnsi="Rockwell" w:cs="Times New Roman"/>
          <w:b/>
          <w:bCs/>
          <w:sz w:val="36"/>
          <w:szCs w:val="36"/>
        </w:rPr>
      </w:pPr>
      <w:bookmarkStart w:id="2" w:name="_Toc202991374"/>
      <w:r w:rsidRPr="00C20B12">
        <w:rPr>
          <w:rFonts w:ascii="Rockwell" w:eastAsia="Times New Roman" w:hAnsi="Rockwell" w:cs="Times New Roman"/>
          <w:b/>
          <w:bCs/>
          <w:sz w:val="36"/>
          <w:szCs w:val="36"/>
        </w:rPr>
        <w:t>1. Executive Summary</w:t>
      </w:r>
      <w:bookmarkEnd w:id="2"/>
    </w:p>
    <w:p w14:paraId="4F191164" w14:textId="6448B926" w:rsidR="00C20B12" w:rsidRPr="00C20B12" w:rsidRDefault="00C20B12" w:rsidP="00C20B12">
      <w:p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sz w:val="36"/>
          <w:szCs w:val="36"/>
        </w:rPr>
        <w:t xml:space="preserve">This report presents the findings of a supply chain efficiency assessment at </w:t>
      </w:r>
      <w:proofErr w:type="spellStart"/>
      <w:r w:rsidRPr="00C20B12">
        <w:rPr>
          <w:rFonts w:ascii="Rockwell" w:eastAsia="Times New Roman" w:hAnsi="Rockwell" w:cs="Times New Roman"/>
          <w:sz w:val="36"/>
          <w:szCs w:val="36"/>
        </w:rPr>
        <w:t>Deder</w:t>
      </w:r>
      <w:proofErr w:type="spellEnd"/>
      <w:r w:rsidRPr="00C20B12">
        <w:rPr>
          <w:rFonts w:ascii="Rockwell" w:eastAsia="Times New Roman" w:hAnsi="Rockwell" w:cs="Times New Roman"/>
          <w:sz w:val="36"/>
          <w:szCs w:val="36"/>
        </w:rPr>
        <w:t xml:space="preserve"> General Hospital, conducted in Quarter 4 of 2015 E.C. The goal was to evaluate </w:t>
      </w:r>
      <w:r w:rsidR="007E4BA9" w:rsidRPr="00FC65F3">
        <w:rPr>
          <w:rFonts w:ascii="Rockwell" w:eastAsia="Times New Roman" w:hAnsi="Rockwell" w:cs="Times New Roman"/>
          <w:sz w:val="36"/>
          <w:szCs w:val="36"/>
        </w:rPr>
        <w:t>o</w:t>
      </w:r>
      <w:r w:rsidRPr="00C20B12">
        <w:rPr>
          <w:rFonts w:ascii="Rockwell" w:eastAsia="Times New Roman" w:hAnsi="Rockwell" w:cs="Times New Roman"/>
          <w:sz w:val="36"/>
          <w:szCs w:val="36"/>
        </w:rPr>
        <w:t>perational performance and identify inefficiencies that affect procurement, inventory management, forecasting, and distribution. Addressing these inefficiencies is critical for ensuring uninterrupted healthcare service delivery and optimal resource use.</w:t>
      </w:r>
    </w:p>
    <w:p w14:paraId="0FBD0DF6" w14:textId="77777777" w:rsidR="00C20B12" w:rsidRPr="00C20B12" w:rsidRDefault="009140D6" w:rsidP="00C20B12">
      <w:pPr>
        <w:spacing w:after="0" w:line="240" w:lineRule="auto"/>
        <w:rPr>
          <w:rFonts w:ascii="Rockwell" w:eastAsia="Times New Roman" w:hAnsi="Rockwell" w:cs="Times New Roman"/>
          <w:sz w:val="36"/>
          <w:szCs w:val="36"/>
        </w:rPr>
      </w:pPr>
      <w:r>
        <w:rPr>
          <w:rFonts w:ascii="Rockwell" w:eastAsia="Times New Roman" w:hAnsi="Rockwell" w:cs="Times New Roman"/>
          <w:sz w:val="36"/>
          <w:szCs w:val="36"/>
        </w:rPr>
        <w:pict w14:anchorId="179D2A04">
          <v:rect id="_x0000_i1031" style="width:0;height:1.5pt" o:hralign="center" o:hrstd="t" o:hr="t" fillcolor="#a0a0a0" stroked="f"/>
        </w:pict>
      </w:r>
    </w:p>
    <w:p w14:paraId="62CD47AB" w14:textId="77777777" w:rsidR="00C20B12" w:rsidRPr="00C20B12" w:rsidRDefault="00C20B12" w:rsidP="00C20B12">
      <w:pPr>
        <w:spacing w:before="100" w:beforeAutospacing="1" w:after="100" w:afterAutospacing="1" w:line="240" w:lineRule="auto"/>
        <w:outlineLvl w:val="2"/>
        <w:rPr>
          <w:rFonts w:ascii="Rockwell" w:eastAsia="Times New Roman" w:hAnsi="Rockwell" w:cs="Times New Roman"/>
          <w:b/>
          <w:bCs/>
          <w:sz w:val="36"/>
          <w:szCs w:val="36"/>
        </w:rPr>
      </w:pPr>
      <w:bookmarkStart w:id="3" w:name="_Toc202991375"/>
      <w:r w:rsidRPr="00C20B12">
        <w:rPr>
          <w:rFonts w:ascii="Rockwell" w:eastAsia="Times New Roman" w:hAnsi="Rockwell" w:cs="Times New Roman"/>
          <w:b/>
          <w:bCs/>
          <w:sz w:val="36"/>
          <w:szCs w:val="36"/>
        </w:rPr>
        <w:t>2. Introduction</w:t>
      </w:r>
      <w:bookmarkEnd w:id="3"/>
    </w:p>
    <w:p w14:paraId="784358E3" w14:textId="77777777" w:rsidR="00C20B12" w:rsidRPr="00C20B12" w:rsidRDefault="00C20B12" w:rsidP="00C20B12">
      <w:pPr>
        <w:spacing w:before="100" w:beforeAutospacing="1" w:after="100" w:afterAutospacing="1" w:line="240" w:lineRule="auto"/>
        <w:rPr>
          <w:rFonts w:ascii="Rockwell" w:eastAsia="Times New Roman" w:hAnsi="Rockwell" w:cs="Times New Roman"/>
          <w:sz w:val="36"/>
          <w:szCs w:val="36"/>
        </w:rPr>
      </w:pPr>
      <w:proofErr w:type="spellStart"/>
      <w:r w:rsidRPr="00C20B12">
        <w:rPr>
          <w:rFonts w:ascii="Rockwell" w:eastAsia="Times New Roman" w:hAnsi="Rockwell" w:cs="Times New Roman"/>
          <w:sz w:val="36"/>
          <w:szCs w:val="36"/>
        </w:rPr>
        <w:t>Deder</w:t>
      </w:r>
      <w:proofErr w:type="spellEnd"/>
      <w:r w:rsidRPr="00C20B12">
        <w:rPr>
          <w:rFonts w:ascii="Rockwell" w:eastAsia="Times New Roman" w:hAnsi="Rockwell" w:cs="Times New Roman"/>
          <w:sz w:val="36"/>
          <w:szCs w:val="36"/>
        </w:rPr>
        <w:t xml:space="preserve"> General Hospital faces ongoing challenges related to procurement delays, inconsistent inventory documentation, and communication gaps among departments. This assessment aims to document those inefficiencies, evaluate the implementation of prior action plans, and recommend corrective strategies moving forward.</w:t>
      </w:r>
    </w:p>
    <w:p w14:paraId="4AB600A3" w14:textId="77777777" w:rsidR="00C20B12" w:rsidRPr="00C20B12" w:rsidRDefault="009140D6" w:rsidP="00C20B12">
      <w:pPr>
        <w:spacing w:after="0" w:line="240" w:lineRule="auto"/>
        <w:rPr>
          <w:rFonts w:ascii="Rockwell" w:eastAsia="Times New Roman" w:hAnsi="Rockwell" w:cs="Times New Roman"/>
          <w:sz w:val="36"/>
          <w:szCs w:val="36"/>
        </w:rPr>
      </w:pPr>
      <w:r>
        <w:rPr>
          <w:rFonts w:ascii="Rockwell" w:eastAsia="Times New Roman" w:hAnsi="Rockwell" w:cs="Times New Roman"/>
          <w:sz w:val="36"/>
          <w:szCs w:val="36"/>
        </w:rPr>
        <w:pict w14:anchorId="0361A184">
          <v:rect id="_x0000_i1032" style="width:0;height:1.5pt" o:hralign="center" o:hrstd="t" o:hr="t" fillcolor="#a0a0a0" stroked="f"/>
        </w:pict>
      </w:r>
    </w:p>
    <w:p w14:paraId="434356F0" w14:textId="77777777" w:rsidR="00C20B12" w:rsidRPr="00C20B12" w:rsidRDefault="00C20B12" w:rsidP="00C20B12">
      <w:pPr>
        <w:spacing w:before="100" w:beforeAutospacing="1" w:after="100" w:afterAutospacing="1" w:line="240" w:lineRule="auto"/>
        <w:outlineLvl w:val="2"/>
        <w:rPr>
          <w:rFonts w:ascii="Rockwell" w:eastAsia="Times New Roman" w:hAnsi="Rockwell" w:cs="Times New Roman"/>
          <w:b/>
          <w:bCs/>
          <w:sz w:val="36"/>
          <w:szCs w:val="36"/>
        </w:rPr>
      </w:pPr>
      <w:bookmarkStart w:id="4" w:name="_Toc202991376"/>
      <w:r w:rsidRPr="00C20B12">
        <w:rPr>
          <w:rFonts w:ascii="Rockwell" w:eastAsia="Times New Roman" w:hAnsi="Rockwell" w:cs="Times New Roman"/>
          <w:b/>
          <w:bCs/>
          <w:sz w:val="36"/>
          <w:szCs w:val="36"/>
        </w:rPr>
        <w:t>3. Objectives of the Assessment</w:t>
      </w:r>
      <w:bookmarkEnd w:id="4"/>
    </w:p>
    <w:p w14:paraId="096B1A58" w14:textId="77777777" w:rsidR="00C20B12" w:rsidRPr="00C20B12" w:rsidRDefault="00C20B12" w:rsidP="00C20B12">
      <w:p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b/>
          <w:bCs/>
          <w:sz w:val="36"/>
          <w:szCs w:val="36"/>
        </w:rPr>
        <w:t>Primary Objective:</w:t>
      </w:r>
      <w:r w:rsidRPr="00C20B12">
        <w:rPr>
          <w:rFonts w:ascii="Rockwell" w:eastAsia="Times New Roman" w:hAnsi="Rockwell" w:cs="Times New Roman"/>
          <w:sz w:val="36"/>
          <w:szCs w:val="36"/>
        </w:rPr>
        <w:br/>
        <w:t xml:space="preserve">To assess and improve the supply chain efficiency of essential medical supplies at </w:t>
      </w:r>
      <w:proofErr w:type="spellStart"/>
      <w:r w:rsidRPr="00C20B12">
        <w:rPr>
          <w:rFonts w:ascii="Rockwell" w:eastAsia="Times New Roman" w:hAnsi="Rockwell" w:cs="Times New Roman"/>
          <w:sz w:val="36"/>
          <w:szCs w:val="36"/>
        </w:rPr>
        <w:t>Deder</w:t>
      </w:r>
      <w:proofErr w:type="spellEnd"/>
      <w:r w:rsidRPr="00C20B12">
        <w:rPr>
          <w:rFonts w:ascii="Rockwell" w:eastAsia="Times New Roman" w:hAnsi="Rockwell" w:cs="Times New Roman"/>
          <w:sz w:val="36"/>
          <w:szCs w:val="36"/>
        </w:rPr>
        <w:t xml:space="preserve"> General Hospital.</w:t>
      </w:r>
    </w:p>
    <w:p w14:paraId="6CDE5DAF" w14:textId="77777777" w:rsidR="00C20B12" w:rsidRPr="00C20B12" w:rsidRDefault="00C20B12" w:rsidP="00C20B12">
      <w:p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b/>
          <w:bCs/>
          <w:sz w:val="36"/>
          <w:szCs w:val="36"/>
        </w:rPr>
        <w:lastRenderedPageBreak/>
        <w:t>Specific Objectives:</w:t>
      </w:r>
    </w:p>
    <w:p w14:paraId="29BCF9DD" w14:textId="77777777" w:rsidR="00C20B12" w:rsidRPr="00C20B12" w:rsidRDefault="00C20B12" w:rsidP="00C20B12">
      <w:pPr>
        <w:numPr>
          <w:ilvl w:val="0"/>
          <w:numId w:val="2"/>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sz w:val="36"/>
          <w:szCs w:val="36"/>
        </w:rPr>
        <w:t>Identify key inefficiencies across procurement, inventory, and forecasting.</w:t>
      </w:r>
    </w:p>
    <w:p w14:paraId="51CA4D5B" w14:textId="77777777" w:rsidR="00C20B12" w:rsidRPr="00C20B12" w:rsidRDefault="00C20B12" w:rsidP="00C20B12">
      <w:pPr>
        <w:numPr>
          <w:ilvl w:val="0"/>
          <w:numId w:val="2"/>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sz w:val="36"/>
          <w:szCs w:val="36"/>
        </w:rPr>
        <w:t>Quantify their impact using standardized cost formulas.</w:t>
      </w:r>
    </w:p>
    <w:p w14:paraId="59066D21" w14:textId="77777777" w:rsidR="00C20B12" w:rsidRPr="00C20B12" w:rsidRDefault="00C20B12" w:rsidP="00C20B12">
      <w:pPr>
        <w:numPr>
          <w:ilvl w:val="0"/>
          <w:numId w:val="2"/>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sz w:val="36"/>
          <w:szCs w:val="36"/>
        </w:rPr>
        <w:t>Assess the implementation status of the previous action plan.</w:t>
      </w:r>
    </w:p>
    <w:p w14:paraId="6695795B" w14:textId="77777777" w:rsidR="00C20B12" w:rsidRPr="00C20B12" w:rsidRDefault="00C20B12" w:rsidP="00C20B12">
      <w:pPr>
        <w:numPr>
          <w:ilvl w:val="0"/>
          <w:numId w:val="2"/>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sz w:val="36"/>
          <w:szCs w:val="36"/>
        </w:rPr>
        <w:t>Recommend evidence-based and feasible interventions.</w:t>
      </w:r>
    </w:p>
    <w:p w14:paraId="0F5D8741" w14:textId="77777777" w:rsidR="00C20B12" w:rsidRPr="00C20B12" w:rsidRDefault="009140D6" w:rsidP="00C20B12">
      <w:pPr>
        <w:spacing w:after="0" w:line="240" w:lineRule="auto"/>
        <w:rPr>
          <w:rFonts w:ascii="Rockwell" w:eastAsia="Times New Roman" w:hAnsi="Rockwell" w:cs="Times New Roman"/>
          <w:sz w:val="36"/>
          <w:szCs w:val="36"/>
        </w:rPr>
      </w:pPr>
      <w:r>
        <w:rPr>
          <w:rFonts w:ascii="Rockwell" w:eastAsia="Times New Roman" w:hAnsi="Rockwell" w:cs="Times New Roman"/>
          <w:sz w:val="36"/>
          <w:szCs w:val="36"/>
        </w:rPr>
        <w:pict w14:anchorId="537DF20F">
          <v:rect id="_x0000_i1033" style="width:0;height:1.5pt" o:hralign="center" o:hrstd="t" o:hr="t" fillcolor="#a0a0a0" stroked="f"/>
        </w:pict>
      </w:r>
    </w:p>
    <w:p w14:paraId="121A915F" w14:textId="77777777" w:rsidR="00C20B12" w:rsidRPr="00C20B12" w:rsidRDefault="00C20B12" w:rsidP="00C20B12">
      <w:pPr>
        <w:spacing w:before="100" w:beforeAutospacing="1" w:after="100" w:afterAutospacing="1" w:line="240" w:lineRule="auto"/>
        <w:outlineLvl w:val="2"/>
        <w:rPr>
          <w:rFonts w:ascii="Rockwell" w:eastAsia="Times New Roman" w:hAnsi="Rockwell" w:cs="Times New Roman"/>
          <w:b/>
          <w:bCs/>
          <w:sz w:val="36"/>
          <w:szCs w:val="36"/>
        </w:rPr>
      </w:pPr>
      <w:bookmarkStart w:id="5" w:name="_Toc202991377"/>
      <w:r w:rsidRPr="00C20B12">
        <w:rPr>
          <w:rFonts w:ascii="Rockwell" w:eastAsia="Times New Roman" w:hAnsi="Rockwell" w:cs="Times New Roman"/>
          <w:b/>
          <w:bCs/>
          <w:sz w:val="36"/>
          <w:szCs w:val="36"/>
        </w:rPr>
        <w:t>4. Methodology</w:t>
      </w:r>
      <w:bookmarkEnd w:id="5"/>
    </w:p>
    <w:p w14:paraId="2047AB4D" w14:textId="77777777" w:rsidR="00C20B12" w:rsidRPr="00C20B12" w:rsidRDefault="00C20B12" w:rsidP="00C20B12">
      <w:pPr>
        <w:numPr>
          <w:ilvl w:val="0"/>
          <w:numId w:val="3"/>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b/>
          <w:bCs/>
          <w:sz w:val="36"/>
          <w:szCs w:val="36"/>
        </w:rPr>
        <w:t>Assessment Tool:</w:t>
      </w:r>
      <w:r w:rsidRPr="00C20B12">
        <w:rPr>
          <w:rFonts w:ascii="Rockwell" w:eastAsia="Times New Roman" w:hAnsi="Rockwell" w:cs="Times New Roman"/>
          <w:sz w:val="36"/>
          <w:szCs w:val="36"/>
        </w:rPr>
        <w:t xml:space="preserve"> Customized checklist covering 11 critical supply chain domains.</w:t>
      </w:r>
    </w:p>
    <w:p w14:paraId="78836EE1" w14:textId="77777777" w:rsidR="00C20B12" w:rsidRPr="00C20B12" w:rsidRDefault="00C20B12" w:rsidP="00C20B12">
      <w:pPr>
        <w:numPr>
          <w:ilvl w:val="0"/>
          <w:numId w:val="3"/>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b/>
          <w:bCs/>
          <w:sz w:val="36"/>
          <w:szCs w:val="36"/>
        </w:rPr>
        <w:t>Data Collection:</w:t>
      </w:r>
      <w:r w:rsidRPr="00C20B12">
        <w:rPr>
          <w:rFonts w:ascii="Rockwell" w:eastAsia="Times New Roman" w:hAnsi="Rockwell" w:cs="Times New Roman"/>
          <w:sz w:val="36"/>
          <w:szCs w:val="36"/>
        </w:rPr>
        <w:t xml:space="preserve"> Review of procurement records, stock cards, supplier communication logs, direct observation, and staff interviews.</w:t>
      </w:r>
    </w:p>
    <w:p w14:paraId="654199A2" w14:textId="77777777" w:rsidR="00C20B12" w:rsidRPr="00C20B12" w:rsidRDefault="00C20B12" w:rsidP="00C20B12">
      <w:pPr>
        <w:numPr>
          <w:ilvl w:val="0"/>
          <w:numId w:val="3"/>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b/>
          <w:bCs/>
          <w:sz w:val="36"/>
          <w:szCs w:val="36"/>
        </w:rPr>
        <w:t>Scoring System:</w:t>
      </w:r>
      <w:r w:rsidRPr="00C20B12">
        <w:rPr>
          <w:rFonts w:ascii="Rockwell" w:eastAsia="Times New Roman" w:hAnsi="Rockwell" w:cs="Times New Roman"/>
          <w:sz w:val="36"/>
          <w:szCs w:val="36"/>
        </w:rPr>
        <w:t xml:space="preserve"> Binary scoring (1/0) used to classify efficiency level.</w:t>
      </w:r>
    </w:p>
    <w:p w14:paraId="20AFCB46" w14:textId="77777777" w:rsidR="00C20B12" w:rsidRPr="00C20B12" w:rsidRDefault="00C20B12" w:rsidP="00C20B12">
      <w:pPr>
        <w:numPr>
          <w:ilvl w:val="0"/>
          <w:numId w:val="3"/>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b/>
          <w:bCs/>
          <w:sz w:val="36"/>
          <w:szCs w:val="36"/>
        </w:rPr>
        <w:t>Validation:</w:t>
      </w:r>
      <w:r w:rsidRPr="00C20B12">
        <w:rPr>
          <w:rFonts w:ascii="Rockwell" w:eastAsia="Times New Roman" w:hAnsi="Rockwell" w:cs="Times New Roman"/>
          <w:sz w:val="36"/>
          <w:szCs w:val="36"/>
        </w:rPr>
        <w:t xml:space="preserve"> Triangulation of findings through document review and stakeholder consultation.</w:t>
      </w:r>
    </w:p>
    <w:p w14:paraId="1315F3BB" w14:textId="77777777" w:rsidR="00C20B12" w:rsidRPr="00C20B12" w:rsidRDefault="009140D6" w:rsidP="00C20B12">
      <w:pPr>
        <w:spacing w:after="0" w:line="240" w:lineRule="auto"/>
        <w:rPr>
          <w:rFonts w:ascii="Rockwell" w:eastAsia="Times New Roman" w:hAnsi="Rockwell" w:cs="Times New Roman"/>
          <w:sz w:val="36"/>
          <w:szCs w:val="36"/>
        </w:rPr>
      </w:pPr>
      <w:r>
        <w:rPr>
          <w:rFonts w:ascii="Rockwell" w:eastAsia="Times New Roman" w:hAnsi="Rockwell" w:cs="Times New Roman"/>
          <w:sz w:val="36"/>
          <w:szCs w:val="36"/>
        </w:rPr>
        <w:pict w14:anchorId="21BC10A1">
          <v:rect id="_x0000_i1034" style="width:0;height:1.5pt" o:hralign="center" o:hrstd="t" o:hr="t" fillcolor="#a0a0a0" stroked="f"/>
        </w:pict>
      </w:r>
    </w:p>
    <w:p w14:paraId="4C34025B" w14:textId="3172EE95" w:rsidR="00C20B12" w:rsidRPr="00C20B12" w:rsidRDefault="00C20B12" w:rsidP="00C20B12">
      <w:pPr>
        <w:spacing w:before="100" w:beforeAutospacing="1" w:after="100" w:afterAutospacing="1" w:line="240" w:lineRule="auto"/>
        <w:outlineLvl w:val="2"/>
        <w:rPr>
          <w:rFonts w:ascii="Rockwell" w:eastAsia="Times New Roman" w:hAnsi="Rockwell" w:cs="Times New Roman"/>
          <w:b/>
          <w:bCs/>
          <w:sz w:val="36"/>
          <w:szCs w:val="36"/>
        </w:rPr>
      </w:pPr>
      <w:bookmarkStart w:id="6" w:name="_Toc202991378"/>
      <w:r w:rsidRPr="00C20B12">
        <w:rPr>
          <w:rFonts w:ascii="Rockwell" w:eastAsia="Times New Roman" w:hAnsi="Rockwell" w:cs="Times New Roman"/>
          <w:b/>
          <w:bCs/>
          <w:sz w:val="36"/>
          <w:szCs w:val="36"/>
        </w:rPr>
        <w:t xml:space="preserve">5. </w:t>
      </w:r>
      <w:r w:rsidR="00164251">
        <w:rPr>
          <w:rFonts w:ascii="Rockwell" w:eastAsia="Times New Roman" w:hAnsi="Rockwell" w:cs="Times New Roman"/>
          <w:b/>
          <w:bCs/>
          <w:sz w:val="36"/>
          <w:szCs w:val="36"/>
        </w:rPr>
        <w:t>PREVIOUS ACTION PLAN IMPLEMENTATION</w:t>
      </w:r>
      <w:bookmarkEnd w:id="6"/>
    </w:p>
    <w:p w14:paraId="024B4A75" w14:textId="77777777" w:rsidR="00C20B12" w:rsidRPr="00C20B12" w:rsidRDefault="00C20B12" w:rsidP="00C20B12">
      <w:p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sz w:val="36"/>
          <w:szCs w:val="36"/>
        </w:rPr>
        <w:t>Implementation of the previous action plan was partially successful:</w:t>
      </w:r>
    </w:p>
    <w:p w14:paraId="1D74257A" w14:textId="77777777" w:rsidR="00C20B12" w:rsidRPr="00C20B12" w:rsidRDefault="00C20B12" w:rsidP="00C20B12">
      <w:pPr>
        <w:numPr>
          <w:ilvl w:val="0"/>
          <w:numId w:val="4"/>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sz w:val="36"/>
          <w:szCs w:val="36"/>
        </w:rPr>
        <w:lastRenderedPageBreak/>
        <w:t>EAPTS usage improved, though real-time reporting remains inconsistent.</w:t>
      </w:r>
    </w:p>
    <w:p w14:paraId="0BCE6AEE" w14:textId="77777777" w:rsidR="00C20B12" w:rsidRPr="00C20B12" w:rsidRDefault="00C20B12" w:rsidP="00C20B12">
      <w:pPr>
        <w:numPr>
          <w:ilvl w:val="0"/>
          <w:numId w:val="4"/>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sz w:val="36"/>
          <w:szCs w:val="36"/>
        </w:rPr>
        <w:t>Stock audit frequency increased from annual to quarterly.</w:t>
      </w:r>
    </w:p>
    <w:p w14:paraId="08E8DA05" w14:textId="77777777" w:rsidR="00C20B12" w:rsidRPr="00C20B12" w:rsidRDefault="00C20B12" w:rsidP="00C20B12">
      <w:pPr>
        <w:numPr>
          <w:ilvl w:val="0"/>
          <w:numId w:val="4"/>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sz w:val="36"/>
          <w:szCs w:val="36"/>
        </w:rPr>
        <w:t>Supplier roundtables were conducted once during the review period.</w:t>
      </w:r>
    </w:p>
    <w:p w14:paraId="6800B613" w14:textId="77777777" w:rsidR="00C20B12" w:rsidRPr="00C20B12" w:rsidRDefault="00C20B12" w:rsidP="00C20B12">
      <w:pPr>
        <w:numPr>
          <w:ilvl w:val="0"/>
          <w:numId w:val="4"/>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sz w:val="36"/>
          <w:szCs w:val="36"/>
        </w:rPr>
        <w:t>Monthly procurement reviews were initiated but not documented consistently.</w:t>
      </w:r>
    </w:p>
    <w:p w14:paraId="3FF05B45" w14:textId="5A046BC9" w:rsidR="00C20B12" w:rsidRDefault="00C20B12" w:rsidP="00C20B12">
      <w:pPr>
        <w:numPr>
          <w:ilvl w:val="0"/>
          <w:numId w:val="4"/>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sz w:val="36"/>
          <w:szCs w:val="36"/>
        </w:rPr>
        <w:t>Emergency SOP was drafted but not operationalized.</w:t>
      </w:r>
    </w:p>
    <w:tbl>
      <w:tblPr>
        <w:tblW w:w="5000" w:type="pct"/>
        <w:tblLayout w:type="fixed"/>
        <w:tblLook w:val="04A0" w:firstRow="1" w:lastRow="0" w:firstColumn="1" w:lastColumn="0" w:noHBand="0" w:noVBand="1"/>
      </w:tblPr>
      <w:tblGrid>
        <w:gridCol w:w="3325"/>
        <w:gridCol w:w="2250"/>
        <w:gridCol w:w="1260"/>
        <w:gridCol w:w="1260"/>
        <w:gridCol w:w="1255"/>
      </w:tblGrid>
      <w:tr w:rsidR="004C3C56" w:rsidRPr="00F03909" w14:paraId="3215AAD6" w14:textId="77777777" w:rsidTr="004C3C56">
        <w:trPr>
          <w:trHeight w:val="615"/>
        </w:trPr>
        <w:tc>
          <w:tcPr>
            <w:tcW w:w="177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A9F589" w14:textId="77777777" w:rsidR="004C3C56" w:rsidRPr="00F03909" w:rsidRDefault="004C3C56" w:rsidP="004C3C56">
            <w:pPr>
              <w:spacing w:after="0" w:line="240" w:lineRule="auto"/>
              <w:rPr>
                <w:rFonts w:ascii="Rockwell" w:eastAsia="Times New Roman" w:hAnsi="Rockwell" w:cs="Calibri"/>
                <w:b/>
                <w:bCs/>
                <w:color w:val="000000"/>
              </w:rPr>
            </w:pPr>
            <w:r w:rsidRPr="00F03909">
              <w:rPr>
                <w:rFonts w:ascii="Rockwell" w:eastAsia="Times New Roman" w:hAnsi="Rockwell" w:cs="Calibri"/>
                <w:b/>
                <w:bCs/>
                <w:color w:val="000000"/>
              </w:rPr>
              <w:t>Identified Gap</w:t>
            </w:r>
          </w:p>
        </w:tc>
        <w:tc>
          <w:tcPr>
            <w:tcW w:w="1203" w:type="pct"/>
            <w:tcBorders>
              <w:top w:val="single" w:sz="4" w:space="0" w:color="auto"/>
              <w:left w:val="nil"/>
              <w:bottom w:val="single" w:sz="4" w:space="0" w:color="auto"/>
              <w:right w:val="single" w:sz="4" w:space="0" w:color="auto"/>
            </w:tcBorders>
            <w:shd w:val="clear" w:color="auto" w:fill="auto"/>
            <w:noWrap/>
            <w:vAlign w:val="center"/>
            <w:hideMark/>
          </w:tcPr>
          <w:p w14:paraId="573D4277" w14:textId="77777777" w:rsidR="004C3C56" w:rsidRPr="00F03909" w:rsidRDefault="004C3C56" w:rsidP="004C3C56">
            <w:pPr>
              <w:spacing w:after="0" w:line="240" w:lineRule="auto"/>
              <w:rPr>
                <w:rFonts w:ascii="Rockwell" w:eastAsia="Times New Roman" w:hAnsi="Rockwell" w:cs="Calibri"/>
                <w:b/>
                <w:bCs/>
                <w:color w:val="000000"/>
              </w:rPr>
            </w:pPr>
            <w:r w:rsidRPr="00F03909">
              <w:rPr>
                <w:rFonts w:ascii="Rockwell" w:eastAsia="Times New Roman" w:hAnsi="Rockwell" w:cs="Calibri"/>
                <w:b/>
                <w:bCs/>
                <w:color w:val="000000"/>
              </w:rPr>
              <w:t>Strategic Intervention</w:t>
            </w:r>
          </w:p>
        </w:tc>
        <w:tc>
          <w:tcPr>
            <w:tcW w:w="674" w:type="pct"/>
            <w:tcBorders>
              <w:top w:val="single" w:sz="4" w:space="0" w:color="auto"/>
              <w:left w:val="nil"/>
              <w:bottom w:val="single" w:sz="4" w:space="0" w:color="auto"/>
              <w:right w:val="single" w:sz="4" w:space="0" w:color="auto"/>
            </w:tcBorders>
            <w:shd w:val="clear" w:color="auto" w:fill="auto"/>
            <w:noWrap/>
            <w:vAlign w:val="center"/>
            <w:hideMark/>
          </w:tcPr>
          <w:p w14:paraId="642BA3D3" w14:textId="77777777" w:rsidR="004C3C56" w:rsidRPr="00F03909" w:rsidRDefault="004C3C56" w:rsidP="004C3C56">
            <w:pPr>
              <w:spacing w:after="0" w:line="240" w:lineRule="auto"/>
              <w:rPr>
                <w:rFonts w:ascii="Rockwell" w:eastAsia="Times New Roman" w:hAnsi="Rockwell" w:cs="Calibri"/>
                <w:b/>
                <w:bCs/>
                <w:color w:val="000000"/>
              </w:rPr>
            </w:pPr>
            <w:r w:rsidRPr="00F03909">
              <w:rPr>
                <w:rFonts w:ascii="Rockwell" w:eastAsia="Times New Roman" w:hAnsi="Rockwell" w:cs="Calibri"/>
                <w:b/>
                <w:bCs/>
                <w:color w:val="000000"/>
              </w:rPr>
              <w:t>TIME OF IMPLEMENTATION</w:t>
            </w:r>
          </w:p>
        </w:tc>
        <w:tc>
          <w:tcPr>
            <w:tcW w:w="674" w:type="pct"/>
            <w:tcBorders>
              <w:top w:val="single" w:sz="4" w:space="0" w:color="auto"/>
              <w:left w:val="nil"/>
              <w:bottom w:val="single" w:sz="4" w:space="0" w:color="auto"/>
              <w:right w:val="single" w:sz="4" w:space="0" w:color="auto"/>
            </w:tcBorders>
            <w:shd w:val="clear" w:color="auto" w:fill="auto"/>
            <w:noWrap/>
            <w:vAlign w:val="center"/>
            <w:hideMark/>
          </w:tcPr>
          <w:p w14:paraId="7938B243" w14:textId="77777777" w:rsidR="004C3C56" w:rsidRPr="00F03909" w:rsidRDefault="004C3C56" w:rsidP="004C3C56">
            <w:pPr>
              <w:spacing w:after="0" w:line="240" w:lineRule="auto"/>
              <w:rPr>
                <w:rFonts w:ascii="Rockwell" w:eastAsia="Times New Roman" w:hAnsi="Rockwell" w:cs="Calibri"/>
                <w:b/>
                <w:bCs/>
                <w:color w:val="000000"/>
              </w:rPr>
            </w:pPr>
            <w:r w:rsidRPr="00F03909">
              <w:rPr>
                <w:rFonts w:ascii="Rockwell" w:eastAsia="Times New Roman" w:hAnsi="Rockwell" w:cs="Calibri"/>
                <w:b/>
                <w:bCs/>
                <w:color w:val="000000"/>
              </w:rPr>
              <w:t>RESPONSIBLE BODY</w:t>
            </w:r>
          </w:p>
        </w:tc>
        <w:tc>
          <w:tcPr>
            <w:tcW w:w="671" w:type="pct"/>
            <w:tcBorders>
              <w:top w:val="single" w:sz="4" w:space="0" w:color="auto"/>
              <w:left w:val="nil"/>
              <w:bottom w:val="single" w:sz="4" w:space="0" w:color="auto"/>
              <w:right w:val="single" w:sz="4" w:space="0" w:color="auto"/>
            </w:tcBorders>
            <w:shd w:val="clear" w:color="auto" w:fill="auto"/>
            <w:noWrap/>
            <w:vAlign w:val="center"/>
            <w:hideMark/>
          </w:tcPr>
          <w:p w14:paraId="0F1BA1AA" w14:textId="77777777" w:rsidR="004C3C56" w:rsidRPr="00F03909" w:rsidRDefault="004C3C56" w:rsidP="004C3C56">
            <w:pPr>
              <w:spacing w:after="0" w:line="240" w:lineRule="auto"/>
              <w:rPr>
                <w:rFonts w:ascii="Rockwell" w:eastAsia="Times New Roman" w:hAnsi="Rockwell" w:cs="Calibri"/>
                <w:b/>
                <w:bCs/>
                <w:color w:val="000000"/>
              </w:rPr>
            </w:pPr>
            <w:r w:rsidRPr="00F03909">
              <w:rPr>
                <w:rFonts w:ascii="Rockwell" w:eastAsia="Times New Roman" w:hAnsi="Rockwell" w:cs="Calibri"/>
                <w:b/>
                <w:bCs/>
                <w:color w:val="000000"/>
              </w:rPr>
              <w:t>IMPLEMENTATION STATUS</w:t>
            </w:r>
          </w:p>
        </w:tc>
      </w:tr>
      <w:tr w:rsidR="004C3C56" w:rsidRPr="00F03909" w14:paraId="44164949" w14:textId="77777777" w:rsidTr="004C3C56">
        <w:trPr>
          <w:trHeight w:val="570"/>
        </w:trPr>
        <w:tc>
          <w:tcPr>
            <w:tcW w:w="1778" w:type="pct"/>
            <w:tcBorders>
              <w:top w:val="nil"/>
              <w:left w:val="single" w:sz="4" w:space="0" w:color="auto"/>
              <w:bottom w:val="single" w:sz="4" w:space="0" w:color="auto"/>
              <w:right w:val="single" w:sz="4" w:space="0" w:color="auto"/>
            </w:tcBorders>
            <w:shd w:val="clear" w:color="auto" w:fill="auto"/>
            <w:hideMark/>
          </w:tcPr>
          <w:p w14:paraId="04479070"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Inventory outcome and EAPTS transaction not reviewed</w:t>
            </w:r>
          </w:p>
        </w:tc>
        <w:tc>
          <w:tcPr>
            <w:tcW w:w="1203" w:type="pct"/>
            <w:tcBorders>
              <w:top w:val="nil"/>
              <w:left w:val="nil"/>
              <w:bottom w:val="single" w:sz="4" w:space="0" w:color="auto"/>
              <w:right w:val="single" w:sz="4" w:space="0" w:color="auto"/>
            </w:tcBorders>
            <w:shd w:val="clear" w:color="auto" w:fill="auto"/>
            <w:vAlign w:val="center"/>
            <w:hideMark/>
          </w:tcPr>
          <w:p w14:paraId="487CD11C"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EAPTS report review</w:t>
            </w:r>
          </w:p>
        </w:tc>
        <w:tc>
          <w:tcPr>
            <w:tcW w:w="674" w:type="pct"/>
            <w:tcBorders>
              <w:top w:val="nil"/>
              <w:left w:val="nil"/>
              <w:bottom w:val="single" w:sz="4" w:space="0" w:color="auto"/>
              <w:right w:val="single" w:sz="4" w:space="0" w:color="auto"/>
            </w:tcBorders>
            <w:shd w:val="clear" w:color="auto" w:fill="auto"/>
            <w:noWrap/>
            <w:vAlign w:val="center"/>
            <w:hideMark/>
          </w:tcPr>
          <w:p w14:paraId="776EF064"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QUARTER 4, 2015</w:t>
            </w:r>
          </w:p>
        </w:tc>
        <w:tc>
          <w:tcPr>
            <w:tcW w:w="674" w:type="pct"/>
            <w:tcBorders>
              <w:top w:val="nil"/>
              <w:left w:val="nil"/>
              <w:bottom w:val="single" w:sz="4" w:space="0" w:color="auto"/>
              <w:right w:val="single" w:sz="4" w:space="0" w:color="auto"/>
            </w:tcBorders>
            <w:shd w:val="clear" w:color="auto" w:fill="auto"/>
            <w:noWrap/>
            <w:vAlign w:val="center"/>
            <w:hideMark/>
          </w:tcPr>
          <w:p w14:paraId="760928A2"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DTC</w:t>
            </w:r>
          </w:p>
        </w:tc>
        <w:tc>
          <w:tcPr>
            <w:tcW w:w="671" w:type="pct"/>
            <w:tcBorders>
              <w:top w:val="nil"/>
              <w:left w:val="nil"/>
              <w:bottom w:val="single" w:sz="4" w:space="0" w:color="auto"/>
              <w:right w:val="single" w:sz="4" w:space="0" w:color="auto"/>
            </w:tcBorders>
            <w:shd w:val="clear" w:color="auto" w:fill="auto"/>
            <w:vAlign w:val="center"/>
            <w:hideMark/>
          </w:tcPr>
          <w:p w14:paraId="5868B5E0"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EAPTS report reviewed</w:t>
            </w:r>
          </w:p>
        </w:tc>
      </w:tr>
      <w:tr w:rsidR="004C3C56" w:rsidRPr="00F03909" w14:paraId="2DF05CA0" w14:textId="77777777" w:rsidTr="004C3C56">
        <w:trPr>
          <w:trHeight w:val="855"/>
        </w:trPr>
        <w:tc>
          <w:tcPr>
            <w:tcW w:w="1778" w:type="pct"/>
            <w:tcBorders>
              <w:top w:val="nil"/>
              <w:left w:val="single" w:sz="4" w:space="0" w:color="auto"/>
              <w:bottom w:val="single" w:sz="4" w:space="0" w:color="auto"/>
              <w:right w:val="single" w:sz="4" w:space="0" w:color="auto"/>
            </w:tcBorders>
            <w:shd w:val="clear" w:color="auto" w:fill="auto"/>
            <w:hideMark/>
          </w:tcPr>
          <w:p w14:paraId="2606597A"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No periodic cost and procurement cycle evaluation</w:t>
            </w:r>
          </w:p>
        </w:tc>
        <w:tc>
          <w:tcPr>
            <w:tcW w:w="1203" w:type="pct"/>
            <w:tcBorders>
              <w:top w:val="nil"/>
              <w:left w:val="nil"/>
              <w:bottom w:val="single" w:sz="4" w:space="0" w:color="auto"/>
              <w:right w:val="single" w:sz="4" w:space="0" w:color="auto"/>
            </w:tcBorders>
            <w:shd w:val="clear" w:color="auto" w:fill="auto"/>
            <w:vAlign w:val="center"/>
            <w:hideMark/>
          </w:tcPr>
          <w:p w14:paraId="5CA35CA2"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Monthly procurement process review</w:t>
            </w:r>
          </w:p>
        </w:tc>
        <w:tc>
          <w:tcPr>
            <w:tcW w:w="674" w:type="pct"/>
            <w:tcBorders>
              <w:top w:val="nil"/>
              <w:left w:val="nil"/>
              <w:bottom w:val="single" w:sz="4" w:space="0" w:color="auto"/>
              <w:right w:val="single" w:sz="4" w:space="0" w:color="auto"/>
            </w:tcBorders>
            <w:shd w:val="clear" w:color="auto" w:fill="auto"/>
            <w:noWrap/>
            <w:vAlign w:val="center"/>
            <w:hideMark/>
          </w:tcPr>
          <w:p w14:paraId="02259F5A"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QUARTER 4, 2015</w:t>
            </w:r>
          </w:p>
        </w:tc>
        <w:tc>
          <w:tcPr>
            <w:tcW w:w="674" w:type="pct"/>
            <w:tcBorders>
              <w:top w:val="nil"/>
              <w:left w:val="nil"/>
              <w:bottom w:val="single" w:sz="4" w:space="0" w:color="auto"/>
              <w:right w:val="single" w:sz="4" w:space="0" w:color="auto"/>
            </w:tcBorders>
            <w:shd w:val="clear" w:color="auto" w:fill="auto"/>
            <w:noWrap/>
            <w:vAlign w:val="center"/>
            <w:hideMark/>
          </w:tcPr>
          <w:p w14:paraId="785EF3C4"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DTC</w:t>
            </w:r>
          </w:p>
        </w:tc>
        <w:tc>
          <w:tcPr>
            <w:tcW w:w="671" w:type="pct"/>
            <w:tcBorders>
              <w:top w:val="nil"/>
              <w:left w:val="nil"/>
              <w:bottom w:val="single" w:sz="4" w:space="0" w:color="auto"/>
              <w:right w:val="single" w:sz="4" w:space="0" w:color="auto"/>
            </w:tcBorders>
            <w:shd w:val="clear" w:color="auto" w:fill="auto"/>
            <w:vAlign w:val="center"/>
            <w:hideMark/>
          </w:tcPr>
          <w:p w14:paraId="6DBAAF9F"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Monthly procurement process reviewed</w:t>
            </w:r>
          </w:p>
        </w:tc>
      </w:tr>
      <w:tr w:rsidR="004C3C56" w:rsidRPr="00F03909" w14:paraId="3D7F73F5" w14:textId="77777777" w:rsidTr="004C3C56">
        <w:trPr>
          <w:trHeight w:val="570"/>
        </w:trPr>
        <w:tc>
          <w:tcPr>
            <w:tcW w:w="1778" w:type="pct"/>
            <w:tcBorders>
              <w:top w:val="nil"/>
              <w:left w:val="single" w:sz="4" w:space="0" w:color="auto"/>
              <w:bottom w:val="single" w:sz="4" w:space="0" w:color="auto"/>
              <w:right w:val="single" w:sz="4" w:space="0" w:color="auto"/>
            </w:tcBorders>
            <w:shd w:val="clear" w:color="auto" w:fill="auto"/>
            <w:hideMark/>
          </w:tcPr>
          <w:p w14:paraId="791E3552"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No formal inventory check or reconciliation process</w:t>
            </w:r>
          </w:p>
        </w:tc>
        <w:tc>
          <w:tcPr>
            <w:tcW w:w="1203" w:type="pct"/>
            <w:tcBorders>
              <w:top w:val="nil"/>
              <w:left w:val="nil"/>
              <w:bottom w:val="single" w:sz="4" w:space="0" w:color="auto"/>
              <w:right w:val="single" w:sz="4" w:space="0" w:color="auto"/>
            </w:tcBorders>
            <w:shd w:val="clear" w:color="auto" w:fill="auto"/>
            <w:vAlign w:val="center"/>
            <w:hideMark/>
          </w:tcPr>
          <w:p w14:paraId="16F08AC5"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Quarterly stock audits</w:t>
            </w:r>
          </w:p>
        </w:tc>
        <w:tc>
          <w:tcPr>
            <w:tcW w:w="674" w:type="pct"/>
            <w:tcBorders>
              <w:top w:val="nil"/>
              <w:left w:val="nil"/>
              <w:bottom w:val="single" w:sz="4" w:space="0" w:color="auto"/>
              <w:right w:val="single" w:sz="4" w:space="0" w:color="auto"/>
            </w:tcBorders>
            <w:shd w:val="clear" w:color="auto" w:fill="auto"/>
            <w:noWrap/>
            <w:vAlign w:val="center"/>
            <w:hideMark/>
          </w:tcPr>
          <w:p w14:paraId="25086456"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QUARTER 4, 2015</w:t>
            </w:r>
          </w:p>
        </w:tc>
        <w:tc>
          <w:tcPr>
            <w:tcW w:w="674" w:type="pct"/>
            <w:tcBorders>
              <w:top w:val="nil"/>
              <w:left w:val="nil"/>
              <w:bottom w:val="single" w:sz="4" w:space="0" w:color="auto"/>
              <w:right w:val="single" w:sz="4" w:space="0" w:color="auto"/>
            </w:tcBorders>
            <w:shd w:val="clear" w:color="auto" w:fill="auto"/>
            <w:noWrap/>
            <w:vAlign w:val="center"/>
            <w:hideMark/>
          </w:tcPr>
          <w:p w14:paraId="4DFDF6A2"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DTC</w:t>
            </w:r>
          </w:p>
        </w:tc>
        <w:tc>
          <w:tcPr>
            <w:tcW w:w="671" w:type="pct"/>
            <w:tcBorders>
              <w:top w:val="nil"/>
              <w:left w:val="nil"/>
              <w:bottom w:val="single" w:sz="4" w:space="0" w:color="auto"/>
              <w:right w:val="single" w:sz="4" w:space="0" w:color="auto"/>
            </w:tcBorders>
            <w:shd w:val="clear" w:color="auto" w:fill="auto"/>
            <w:vAlign w:val="center"/>
            <w:hideMark/>
          </w:tcPr>
          <w:p w14:paraId="22EB71F4"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 xml:space="preserve">Done </w:t>
            </w:r>
          </w:p>
        </w:tc>
      </w:tr>
      <w:tr w:rsidR="004C3C56" w:rsidRPr="00F03909" w14:paraId="3C715C00" w14:textId="77777777" w:rsidTr="004C3C56">
        <w:trPr>
          <w:trHeight w:val="570"/>
        </w:trPr>
        <w:tc>
          <w:tcPr>
            <w:tcW w:w="1778" w:type="pct"/>
            <w:tcBorders>
              <w:top w:val="nil"/>
              <w:left w:val="single" w:sz="4" w:space="0" w:color="auto"/>
              <w:bottom w:val="single" w:sz="4" w:space="0" w:color="auto"/>
              <w:right w:val="single" w:sz="4" w:space="0" w:color="auto"/>
            </w:tcBorders>
            <w:shd w:val="clear" w:color="auto" w:fill="auto"/>
            <w:hideMark/>
          </w:tcPr>
          <w:p w14:paraId="5D90616F"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Poor supplier engagement and lack of structured feedback</w:t>
            </w:r>
          </w:p>
        </w:tc>
        <w:tc>
          <w:tcPr>
            <w:tcW w:w="1203" w:type="pct"/>
            <w:tcBorders>
              <w:top w:val="nil"/>
              <w:left w:val="nil"/>
              <w:bottom w:val="single" w:sz="4" w:space="0" w:color="auto"/>
              <w:right w:val="single" w:sz="4" w:space="0" w:color="auto"/>
            </w:tcBorders>
            <w:shd w:val="clear" w:color="auto" w:fill="auto"/>
            <w:vAlign w:val="center"/>
            <w:hideMark/>
          </w:tcPr>
          <w:p w14:paraId="06F6BA97"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Supplier roundtables</w:t>
            </w:r>
          </w:p>
        </w:tc>
        <w:tc>
          <w:tcPr>
            <w:tcW w:w="674" w:type="pct"/>
            <w:tcBorders>
              <w:top w:val="nil"/>
              <w:left w:val="nil"/>
              <w:bottom w:val="single" w:sz="4" w:space="0" w:color="auto"/>
              <w:right w:val="single" w:sz="4" w:space="0" w:color="auto"/>
            </w:tcBorders>
            <w:shd w:val="clear" w:color="auto" w:fill="auto"/>
            <w:noWrap/>
            <w:vAlign w:val="center"/>
            <w:hideMark/>
          </w:tcPr>
          <w:p w14:paraId="4260EF79"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QUARTER 4, 2015</w:t>
            </w:r>
          </w:p>
        </w:tc>
        <w:tc>
          <w:tcPr>
            <w:tcW w:w="674" w:type="pct"/>
            <w:tcBorders>
              <w:top w:val="nil"/>
              <w:left w:val="nil"/>
              <w:bottom w:val="single" w:sz="4" w:space="0" w:color="auto"/>
              <w:right w:val="single" w:sz="4" w:space="0" w:color="auto"/>
            </w:tcBorders>
            <w:shd w:val="clear" w:color="auto" w:fill="auto"/>
            <w:noWrap/>
            <w:vAlign w:val="center"/>
            <w:hideMark/>
          </w:tcPr>
          <w:p w14:paraId="1BCFCCC7"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DTC</w:t>
            </w:r>
          </w:p>
        </w:tc>
        <w:tc>
          <w:tcPr>
            <w:tcW w:w="671" w:type="pct"/>
            <w:tcBorders>
              <w:top w:val="nil"/>
              <w:left w:val="nil"/>
              <w:bottom w:val="single" w:sz="4" w:space="0" w:color="auto"/>
              <w:right w:val="single" w:sz="4" w:space="0" w:color="auto"/>
            </w:tcBorders>
            <w:shd w:val="clear" w:color="auto" w:fill="auto"/>
            <w:vAlign w:val="center"/>
            <w:hideMark/>
          </w:tcPr>
          <w:p w14:paraId="0DEF9D47"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 xml:space="preserve">not done </w:t>
            </w:r>
          </w:p>
        </w:tc>
      </w:tr>
      <w:tr w:rsidR="004C3C56" w:rsidRPr="00F03909" w14:paraId="495D75EC" w14:textId="77777777" w:rsidTr="004C3C56">
        <w:trPr>
          <w:trHeight w:val="570"/>
        </w:trPr>
        <w:tc>
          <w:tcPr>
            <w:tcW w:w="1778" w:type="pct"/>
            <w:tcBorders>
              <w:top w:val="nil"/>
              <w:left w:val="single" w:sz="4" w:space="0" w:color="auto"/>
              <w:bottom w:val="single" w:sz="4" w:space="0" w:color="auto"/>
              <w:right w:val="single" w:sz="4" w:space="0" w:color="auto"/>
            </w:tcBorders>
            <w:shd w:val="clear" w:color="auto" w:fill="auto"/>
            <w:hideMark/>
          </w:tcPr>
          <w:p w14:paraId="63E3301C"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Low awareness of standard procedures among staff</w:t>
            </w:r>
          </w:p>
        </w:tc>
        <w:tc>
          <w:tcPr>
            <w:tcW w:w="1203" w:type="pct"/>
            <w:tcBorders>
              <w:top w:val="nil"/>
              <w:left w:val="nil"/>
              <w:bottom w:val="single" w:sz="4" w:space="0" w:color="auto"/>
              <w:right w:val="single" w:sz="4" w:space="0" w:color="auto"/>
            </w:tcBorders>
            <w:shd w:val="clear" w:color="auto" w:fill="auto"/>
            <w:vAlign w:val="center"/>
            <w:hideMark/>
          </w:tcPr>
          <w:p w14:paraId="1DB98049"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Staff training workshops</w:t>
            </w:r>
          </w:p>
        </w:tc>
        <w:tc>
          <w:tcPr>
            <w:tcW w:w="674" w:type="pct"/>
            <w:tcBorders>
              <w:top w:val="nil"/>
              <w:left w:val="nil"/>
              <w:bottom w:val="single" w:sz="4" w:space="0" w:color="auto"/>
              <w:right w:val="single" w:sz="4" w:space="0" w:color="auto"/>
            </w:tcBorders>
            <w:shd w:val="clear" w:color="auto" w:fill="auto"/>
            <w:noWrap/>
            <w:vAlign w:val="center"/>
            <w:hideMark/>
          </w:tcPr>
          <w:p w14:paraId="707B2963"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QUARTER 4, 2015</w:t>
            </w:r>
          </w:p>
        </w:tc>
        <w:tc>
          <w:tcPr>
            <w:tcW w:w="674" w:type="pct"/>
            <w:tcBorders>
              <w:top w:val="nil"/>
              <w:left w:val="nil"/>
              <w:bottom w:val="single" w:sz="4" w:space="0" w:color="auto"/>
              <w:right w:val="single" w:sz="4" w:space="0" w:color="auto"/>
            </w:tcBorders>
            <w:shd w:val="clear" w:color="auto" w:fill="auto"/>
            <w:noWrap/>
            <w:vAlign w:val="center"/>
            <w:hideMark/>
          </w:tcPr>
          <w:p w14:paraId="3FEFB5FF"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DTC</w:t>
            </w:r>
          </w:p>
        </w:tc>
        <w:tc>
          <w:tcPr>
            <w:tcW w:w="671" w:type="pct"/>
            <w:tcBorders>
              <w:top w:val="nil"/>
              <w:left w:val="nil"/>
              <w:bottom w:val="single" w:sz="4" w:space="0" w:color="auto"/>
              <w:right w:val="single" w:sz="4" w:space="0" w:color="auto"/>
            </w:tcBorders>
            <w:shd w:val="clear" w:color="auto" w:fill="auto"/>
            <w:vAlign w:val="center"/>
            <w:hideMark/>
          </w:tcPr>
          <w:p w14:paraId="6A25DB5D"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Not done</w:t>
            </w:r>
          </w:p>
        </w:tc>
      </w:tr>
      <w:tr w:rsidR="004C3C56" w:rsidRPr="00F03909" w14:paraId="35C42C44" w14:textId="77777777" w:rsidTr="004C3C56">
        <w:trPr>
          <w:trHeight w:val="570"/>
        </w:trPr>
        <w:tc>
          <w:tcPr>
            <w:tcW w:w="1778" w:type="pct"/>
            <w:tcBorders>
              <w:top w:val="nil"/>
              <w:left w:val="single" w:sz="4" w:space="0" w:color="auto"/>
              <w:bottom w:val="single" w:sz="4" w:space="0" w:color="auto"/>
              <w:right w:val="single" w:sz="4" w:space="0" w:color="auto"/>
            </w:tcBorders>
            <w:shd w:val="clear" w:color="auto" w:fill="auto"/>
            <w:hideMark/>
          </w:tcPr>
          <w:p w14:paraId="2181B13C"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Lack of defined process for urgent supply requests</w:t>
            </w:r>
          </w:p>
        </w:tc>
        <w:tc>
          <w:tcPr>
            <w:tcW w:w="1203" w:type="pct"/>
            <w:tcBorders>
              <w:top w:val="nil"/>
              <w:left w:val="nil"/>
              <w:bottom w:val="single" w:sz="4" w:space="0" w:color="auto"/>
              <w:right w:val="single" w:sz="4" w:space="0" w:color="auto"/>
            </w:tcBorders>
            <w:shd w:val="clear" w:color="auto" w:fill="auto"/>
            <w:vAlign w:val="center"/>
            <w:hideMark/>
          </w:tcPr>
          <w:p w14:paraId="0778FDC0"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Emergency communication SOP</w:t>
            </w:r>
          </w:p>
        </w:tc>
        <w:tc>
          <w:tcPr>
            <w:tcW w:w="674" w:type="pct"/>
            <w:tcBorders>
              <w:top w:val="nil"/>
              <w:left w:val="nil"/>
              <w:bottom w:val="single" w:sz="4" w:space="0" w:color="auto"/>
              <w:right w:val="single" w:sz="4" w:space="0" w:color="auto"/>
            </w:tcBorders>
            <w:shd w:val="clear" w:color="auto" w:fill="auto"/>
            <w:noWrap/>
            <w:vAlign w:val="center"/>
            <w:hideMark/>
          </w:tcPr>
          <w:p w14:paraId="47AB7602"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QUARTER 4,2015</w:t>
            </w:r>
          </w:p>
        </w:tc>
        <w:tc>
          <w:tcPr>
            <w:tcW w:w="674" w:type="pct"/>
            <w:tcBorders>
              <w:top w:val="nil"/>
              <w:left w:val="nil"/>
              <w:bottom w:val="single" w:sz="4" w:space="0" w:color="auto"/>
              <w:right w:val="single" w:sz="4" w:space="0" w:color="auto"/>
            </w:tcBorders>
            <w:shd w:val="clear" w:color="auto" w:fill="auto"/>
            <w:noWrap/>
            <w:vAlign w:val="center"/>
            <w:hideMark/>
          </w:tcPr>
          <w:p w14:paraId="17DAFA9A"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DTC</w:t>
            </w:r>
          </w:p>
        </w:tc>
        <w:tc>
          <w:tcPr>
            <w:tcW w:w="671" w:type="pct"/>
            <w:tcBorders>
              <w:top w:val="nil"/>
              <w:left w:val="nil"/>
              <w:bottom w:val="single" w:sz="4" w:space="0" w:color="auto"/>
              <w:right w:val="single" w:sz="4" w:space="0" w:color="auto"/>
            </w:tcBorders>
            <w:shd w:val="clear" w:color="auto" w:fill="auto"/>
            <w:vAlign w:val="center"/>
            <w:hideMark/>
          </w:tcPr>
          <w:p w14:paraId="46CCB18C" w14:textId="77777777" w:rsidR="004C3C56" w:rsidRPr="00F03909" w:rsidRDefault="004C3C56" w:rsidP="004C3C56">
            <w:pPr>
              <w:spacing w:after="0" w:line="240" w:lineRule="auto"/>
              <w:rPr>
                <w:rFonts w:ascii="Rockwell" w:eastAsia="Times New Roman" w:hAnsi="Rockwell" w:cs="Calibri"/>
                <w:color w:val="000000"/>
              </w:rPr>
            </w:pPr>
            <w:r w:rsidRPr="00F03909">
              <w:rPr>
                <w:rFonts w:ascii="Rockwell" w:eastAsia="Times New Roman" w:hAnsi="Rockwell" w:cs="Calibri"/>
                <w:color w:val="000000"/>
              </w:rPr>
              <w:t>Not done</w:t>
            </w:r>
          </w:p>
        </w:tc>
      </w:tr>
    </w:tbl>
    <w:p w14:paraId="6EFBC074" w14:textId="77777777" w:rsidR="00C20B12" w:rsidRPr="00C20B12" w:rsidRDefault="009140D6" w:rsidP="00C20B12">
      <w:pPr>
        <w:spacing w:after="0" w:line="240" w:lineRule="auto"/>
        <w:rPr>
          <w:rFonts w:ascii="Rockwell" w:eastAsia="Times New Roman" w:hAnsi="Rockwell" w:cs="Times New Roman"/>
          <w:sz w:val="36"/>
          <w:szCs w:val="36"/>
        </w:rPr>
      </w:pPr>
      <w:r>
        <w:rPr>
          <w:rFonts w:ascii="Rockwell" w:eastAsia="Times New Roman" w:hAnsi="Rockwell" w:cs="Times New Roman"/>
          <w:sz w:val="36"/>
          <w:szCs w:val="36"/>
        </w:rPr>
        <w:pict w14:anchorId="46D6A889">
          <v:rect id="_x0000_i1035" style="width:0;height:1.5pt" o:hralign="center" o:hrstd="t" o:hr="t" fillcolor="#a0a0a0" stroked="f"/>
        </w:pict>
      </w:r>
    </w:p>
    <w:p w14:paraId="4486459F" w14:textId="77777777" w:rsidR="00F03909" w:rsidRDefault="00F03909" w:rsidP="00C20B12">
      <w:pPr>
        <w:spacing w:before="100" w:beforeAutospacing="1" w:after="100" w:afterAutospacing="1" w:line="240" w:lineRule="auto"/>
        <w:outlineLvl w:val="2"/>
        <w:rPr>
          <w:rFonts w:ascii="Rockwell" w:eastAsia="Times New Roman" w:hAnsi="Rockwell" w:cs="Times New Roman"/>
          <w:b/>
          <w:bCs/>
          <w:sz w:val="36"/>
          <w:szCs w:val="36"/>
        </w:rPr>
      </w:pPr>
    </w:p>
    <w:p w14:paraId="51C9F3E5" w14:textId="77777777" w:rsidR="00F03909" w:rsidRDefault="00F03909" w:rsidP="00C20B12">
      <w:pPr>
        <w:spacing w:before="100" w:beforeAutospacing="1" w:after="100" w:afterAutospacing="1" w:line="240" w:lineRule="auto"/>
        <w:outlineLvl w:val="2"/>
        <w:rPr>
          <w:rFonts w:ascii="Rockwell" w:eastAsia="Times New Roman" w:hAnsi="Rockwell" w:cs="Times New Roman"/>
          <w:b/>
          <w:bCs/>
          <w:sz w:val="36"/>
          <w:szCs w:val="36"/>
        </w:rPr>
      </w:pPr>
    </w:p>
    <w:p w14:paraId="17C5F760" w14:textId="77777777" w:rsidR="00F03909" w:rsidRDefault="00F03909" w:rsidP="00C20B12">
      <w:pPr>
        <w:spacing w:before="100" w:beforeAutospacing="1" w:after="100" w:afterAutospacing="1" w:line="240" w:lineRule="auto"/>
        <w:outlineLvl w:val="2"/>
        <w:rPr>
          <w:rFonts w:ascii="Rockwell" w:eastAsia="Times New Roman" w:hAnsi="Rockwell" w:cs="Times New Roman"/>
          <w:b/>
          <w:bCs/>
          <w:sz w:val="36"/>
          <w:szCs w:val="36"/>
        </w:rPr>
      </w:pPr>
    </w:p>
    <w:p w14:paraId="15AE67F9" w14:textId="77777777" w:rsidR="00F03909" w:rsidRDefault="00F03909" w:rsidP="00C20B12">
      <w:pPr>
        <w:spacing w:before="100" w:beforeAutospacing="1" w:after="100" w:afterAutospacing="1" w:line="240" w:lineRule="auto"/>
        <w:outlineLvl w:val="2"/>
        <w:rPr>
          <w:rFonts w:ascii="Rockwell" w:eastAsia="Times New Roman" w:hAnsi="Rockwell" w:cs="Times New Roman"/>
          <w:b/>
          <w:bCs/>
          <w:sz w:val="36"/>
          <w:szCs w:val="36"/>
        </w:rPr>
      </w:pPr>
    </w:p>
    <w:p w14:paraId="1019AF4F" w14:textId="143FD3BE" w:rsidR="00F03909" w:rsidRPr="00C20B12" w:rsidRDefault="00C20B12" w:rsidP="00C20B12">
      <w:pPr>
        <w:spacing w:before="100" w:beforeAutospacing="1" w:after="100" w:afterAutospacing="1" w:line="240" w:lineRule="auto"/>
        <w:outlineLvl w:val="2"/>
        <w:rPr>
          <w:rFonts w:ascii="Rockwell" w:eastAsia="Times New Roman" w:hAnsi="Rockwell" w:cs="Times New Roman"/>
          <w:b/>
          <w:bCs/>
          <w:sz w:val="36"/>
          <w:szCs w:val="36"/>
        </w:rPr>
      </w:pPr>
      <w:bookmarkStart w:id="7" w:name="_Toc202991379"/>
      <w:r w:rsidRPr="00C20B12">
        <w:rPr>
          <w:rFonts w:ascii="Rockwell" w:eastAsia="Times New Roman" w:hAnsi="Rockwell" w:cs="Times New Roman"/>
          <w:b/>
          <w:bCs/>
          <w:sz w:val="36"/>
          <w:szCs w:val="36"/>
        </w:rPr>
        <w:t>6. Risk Assessment</w:t>
      </w:r>
      <w:bookmarkEnd w:id="7"/>
    </w:p>
    <w:p w14:paraId="339BA660" w14:textId="77777777" w:rsidR="00C20B12" w:rsidRPr="00C20B12" w:rsidRDefault="00C20B12" w:rsidP="00C20B12">
      <w:pPr>
        <w:numPr>
          <w:ilvl w:val="0"/>
          <w:numId w:val="5"/>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b/>
          <w:bCs/>
          <w:sz w:val="36"/>
          <w:szCs w:val="36"/>
        </w:rPr>
        <w:t>Inventory Shortages:</w:t>
      </w:r>
      <w:r w:rsidRPr="00C20B12">
        <w:rPr>
          <w:rFonts w:ascii="Rockwell" w:eastAsia="Times New Roman" w:hAnsi="Rockwell" w:cs="Times New Roman"/>
          <w:sz w:val="36"/>
          <w:szCs w:val="36"/>
        </w:rPr>
        <w:t xml:space="preserve"> Persist due to underutilization of forecasting tools.</w:t>
      </w:r>
    </w:p>
    <w:p w14:paraId="754A7FFF" w14:textId="77777777" w:rsidR="00C20B12" w:rsidRPr="00C20B12" w:rsidRDefault="00C20B12" w:rsidP="00C20B12">
      <w:pPr>
        <w:numPr>
          <w:ilvl w:val="0"/>
          <w:numId w:val="5"/>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b/>
          <w:bCs/>
          <w:sz w:val="36"/>
          <w:szCs w:val="36"/>
        </w:rPr>
        <w:t>Overstocking and Waste:</w:t>
      </w:r>
      <w:r w:rsidRPr="00C20B12">
        <w:rPr>
          <w:rFonts w:ascii="Rockwell" w:eastAsia="Times New Roman" w:hAnsi="Rockwell" w:cs="Times New Roman"/>
          <w:sz w:val="36"/>
          <w:szCs w:val="36"/>
        </w:rPr>
        <w:t xml:space="preserve"> Occurs due to inconsistent EAPTS use.</w:t>
      </w:r>
    </w:p>
    <w:p w14:paraId="461D52A5" w14:textId="77777777" w:rsidR="00C20B12" w:rsidRPr="00C20B12" w:rsidRDefault="00C20B12" w:rsidP="00C20B12">
      <w:pPr>
        <w:numPr>
          <w:ilvl w:val="0"/>
          <w:numId w:val="5"/>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b/>
          <w:bCs/>
          <w:sz w:val="36"/>
          <w:szCs w:val="36"/>
        </w:rPr>
        <w:t>Supplier Dependency:</w:t>
      </w:r>
      <w:r w:rsidRPr="00C20B12">
        <w:rPr>
          <w:rFonts w:ascii="Rockwell" w:eastAsia="Times New Roman" w:hAnsi="Rockwell" w:cs="Times New Roman"/>
          <w:sz w:val="36"/>
          <w:szCs w:val="36"/>
        </w:rPr>
        <w:t xml:space="preserve"> Lack of contracts increases vulnerability.</w:t>
      </w:r>
    </w:p>
    <w:p w14:paraId="6DF86B44" w14:textId="77777777" w:rsidR="00C20B12" w:rsidRPr="00C20B12" w:rsidRDefault="00C20B12" w:rsidP="00C20B12">
      <w:pPr>
        <w:numPr>
          <w:ilvl w:val="0"/>
          <w:numId w:val="5"/>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b/>
          <w:bCs/>
          <w:sz w:val="36"/>
          <w:szCs w:val="36"/>
        </w:rPr>
        <w:t>Operational Delays:</w:t>
      </w:r>
      <w:r w:rsidRPr="00C20B12">
        <w:rPr>
          <w:rFonts w:ascii="Rockwell" w:eastAsia="Times New Roman" w:hAnsi="Rockwell" w:cs="Times New Roman"/>
          <w:sz w:val="36"/>
          <w:szCs w:val="36"/>
        </w:rPr>
        <w:t xml:space="preserve"> Communication gaps slow emergency responses.</w:t>
      </w:r>
    </w:p>
    <w:p w14:paraId="6E37FC0C" w14:textId="77777777" w:rsidR="00C20B12" w:rsidRPr="00C20B12" w:rsidRDefault="00C20B12" w:rsidP="00C20B12">
      <w:pPr>
        <w:numPr>
          <w:ilvl w:val="0"/>
          <w:numId w:val="5"/>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b/>
          <w:bCs/>
          <w:sz w:val="36"/>
          <w:szCs w:val="36"/>
        </w:rPr>
        <w:t>Data Inaccuracy:</w:t>
      </w:r>
      <w:r w:rsidRPr="00C20B12">
        <w:rPr>
          <w:rFonts w:ascii="Rockwell" w:eastAsia="Times New Roman" w:hAnsi="Rockwell" w:cs="Times New Roman"/>
          <w:sz w:val="36"/>
          <w:szCs w:val="36"/>
        </w:rPr>
        <w:t xml:space="preserve"> Manual recordkeeping remains a concern.</w:t>
      </w:r>
    </w:p>
    <w:p w14:paraId="74CD4B5F" w14:textId="77777777" w:rsidR="00C20B12" w:rsidRPr="00C20B12" w:rsidRDefault="009140D6" w:rsidP="00C20B12">
      <w:pPr>
        <w:spacing w:after="0" w:line="240" w:lineRule="auto"/>
        <w:rPr>
          <w:rFonts w:ascii="Rockwell" w:eastAsia="Times New Roman" w:hAnsi="Rockwell" w:cs="Times New Roman"/>
          <w:sz w:val="36"/>
          <w:szCs w:val="36"/>
        </w:rPr>
      </w:pPr>
      <w:r>
        <w:rPr>
          <w:rFonts w:ascii="Rockwell" w:eastAsia="Times New Roman" w:hAnsi="Rockwell" w:cs="Times New Roman"/>
          <w:sz w:val="36"/>
          <w:szCs w:val="36"/>
        </w:rPr>
        <w:pict w14:anchorId="340C6484">
          <v:rect id="_x0000_i1036" style="width:0;height:1.5pt" o:hralign="center" o:hrstd="t" o:hr="t" fillcolor="#a0a0a0" stroked="f"/>
        </w:pict>
      </w:r>
    </w:p>
    <w:p w14:paraId="02D174D3" w14:textId="77777777" w:rsidR="00C20B12" w:rsidRPr="00C20B12" w:rsidRDefault="00C20B12" w:rsidP="00C20B12">
      <w:pPr>
        <w:spacing w:before="100" w:beforeAutospacing="1" w:after="100" w:afterAutospacing="1" w:line="240" w:lineRule="auto"/>
        <w:outlineLvl w:val="2"/>
        <w:rPr>
          <w:rFonts w:ascii="Rockwell" w:eastAsia="Times New Roman" w:hAnsi="Rockwell" w:cs="Times New Roman"/>
          <w:b/>
          <w:bCs/>
          <w:sz w:val="36"/>
          <w:szCs w:val="36"/>
        </w:rPr>
      </w:pPr>
      <w:bookmarkStart w:id="8" w:name="_Toc202991380"/>
      <w:r w:rsidRPr="00C20B12">
        <w:rPr>
          <w:rFonts w:ascii="Rockwell" w:eastAsia="Times New Roman" w:hAnsi="Rockwell" w:cs="Times New Roman"/>
          <w:b/>
          <w:bCs/>
          <w:sz w:val="36"/>
          <w:szCs w:val="36"/>
        </w:rPr>
        <w:t>7. Cost Calculation Formulas</w:t>
      </w:r>
      <w:bookmarkEnd w:id="8"/>
    </w:p>
    <w:p w14:paraId="387B7920" w14:textId="77777777" w:rsidR="00C20B12" w:rsidRPr="00EA7653" w:rsidRDefault="00C20B12" w:rsidP="00C20B12">
      <w:pPr>
        <w:numPr>
          <w:ilvl w:val="0"/>
          <w:numId w:val="6"/>
        </w:numPr>
        <w:spacing w:before="100" w:beforeAutospacing="1" w:after="100" w:afterAutospacing="1" w:line="240" w:lineRule="auto"/>
        <w:rPr>
          <w:rFonts w:ascii="Rockwell" w:eastAsia="Times New Roman" w:hAnsi="Rockwell" w:cs="Times New Roman"/>
          <w:sz w:val="20"/>
          <w:szCs w:val="20"/>
        </w:rPr>
      </w:pPr>
      <w:r w:rsidRPr="00EA7653">
        <w:rPr>
          <w:rFonts w:ascii="Rockwell" w:eastAsia="Times New Roman" w:hAnsi="Rockwell" w:cs="Times New Roman"/>
          <w:sz w:val="20"/>
          <w:szCs w:val="20"/>
        </w:rPr>
        <w:t>Stockouts Cost = Number of Stockouts × Average Cost per Stockout</w:t>
      </w:r>
    </w:p>
    <w:p w14:paraId="73E29C7D" w14:textId="77777777" w:rsidR="00C20B12" w:rsidRPr="00EA7653" w:rsidRDefault="00C20B12" w:rsidP="00C20B12">
      <w:pPr>
        <w:numPr>
          <w:ilvl w:val="0"/>
          <w:numId w:val="6"/>
        </w:numPr>
        <w:spacing w:before="100" w:beforeAutospacing="1" w:after="100" w:afterAutospacing="1" w:line="240" w:lineRule="auto"/>
        <w:rPr>
          <w:rFonts w:ascii="Rockwell" w:eastAsia="Times New Roman" w:hAnsi="Rockwell" w:cs="Times New Roman"/>
          <w:sz w:val="20"/>
          <w:szCs w:val="20"/>
        </w:rPr>
      </w:pPr>
      <w:r w:rsidRPr="00EA7653">
        <w:rPr>
          <w:rFonts w:ascii="Rockwell" w:eastAsia="Times New Roman" w:hAnsi="Rockwell" w:cs="Times New Roman"/>
          <w:sz w:val="20"/>
          <w:szCs w:val="20"/>
        </w:rPr>
        <w:t>Excess Inventory Cost = Excess Inventory Level × Carrying Cost per Unit</w:t>
      </w:r>
    </w:p>
    <w:p w14:paraId="579A4C6A" w14:textId="2FC209C8" w:rsidR="00C20B12" w:rsidRPr="00EA7653" w:rsidRDefault="00C20B12" w:rsidP="00C20B12">
      <w:pPr>
        <w:numPr>
          <w:ilvl w:val="0"/>
          <w:numId w:val="6"/>
        </w:numPr>
        <w:spacing w:before="100" w:beforeAutospacing="1" w:after="100" w:afterAutospacing="1" w:line="240" w:lineRule="auto"/>
        <w:rPr>
          <w:rFonts w:ascii="Rockwell" w:eastAsia="Times New Roman" w:hAnsi="Rockwell" w:cs="Times New Roman"/>
          <w:sz w:val="20"/>
          <w:szCs w:val="20"/>
        </w:rPr>
      </w:pPr>
      <w:r w:rsidRPr="00EA7653">
        <w:rPr>
          <w:rFonts w:ascii="Rockwell" w:eastAsia="Times New Roman" w:hAnsi="Rockwell" w:cs="Times New Roman"/>
          <w:sz w:val="20"/>
          <w:szCs w:val="20"/>
        </w:rPr>
        <w:t xml:space="preserve">Supplier Communication </w:t>
      </w:r>
      <w:r w:rsidR="00E35DF2" w:rsidRPr="00EA7653">
        <w:rPr>
          <w:rFonts w:ascii="Rockwell" w:eastAsia="Times New Roman" w:hAnsi="Rockwell" w:cs="Times New Roman"/>
          <w:sz w:val="20"/>
          <w:szCs w:val="20"/>
        </w:rPr>
        <w:t xml:space="preserve">inefficiency </w:t>
      </w:r>
      <w:r w:rsidRPr="00EA7653">
        <w:rPr>
          <w:rFonts w:ascii="Rockwell" w:eastAsia="Times New Roman" w:hAnsi="Rockwell" w:cs="Times New Roman"/>
          <w:sz w:val="20"/>
          <w:szCs w:val="20"/>
        </w:rPr>
        <w:t>Cost = Communication Errors × Cost per Error</w:t>
      </w:r>
    </w:p>
    <w:p w14:paraId="557252A7" w14:textId="0780CB0E" w:rsidR="00C20B12" w:rsidRPr="00EA7653" w:rsidRDefault="00C20B12" w:rsidP="00C20B12">
      <w:pPr>
        <w:numPr>
          <w:ilvl w:val="0"/>
          <w:numId w:val="6"/>
        </w:numPr>
        <w:spacing w:before="100" w:beforeAutospacing="1" w:after="100" w:afterAutospacing="1" w:line="240" w:lineRule="auto"/>
        <w:rPr>
          <w:rFonts w:ascii="Rockwell" w:eastAsia="Times New Roman" w:hAnsi="Rockwell" w:cs="Times New Roman"/>
          <w:sz w:val="20"/>
          <w:szCs w:val="20"/>
        </w:rPr>
      </w:pPr>
      <w:r w:rsidRPr="00EA7653">
        <w:rPr>
          <w:rFonts w:ascii="Rockwell" w:eastAsia="Times New Roman" w:hAnsi="Rockwell" w:cs="Times New Roman"/>
          <w:sz w:val="20"/>
          <w:szCs w:val="20"/>
        </w:rPr>
        <w:t xml:space="preserve">Performance Monitoring </w:t>
      </w:r>
      <w:proofErr w:type="gramStart"/>
      <w:r w:rsidR="00E35DF2" w:rsidRPr="00EA7653">
        <w:rPr>
          <w:rFonts w:ascii="Rockwell" w:eastAsia="Times New Roman" w:hAnsi="Rockwell" w:cs="Times New Roman"/>
          <w:sz w:val="20"/>
          <w:szCs w:val="20"/>
        </w:rPr>
        <w:t xml:space="preserve">inefficiency  </w:t>
      </w:r>
      <w:r w:rsidRPr="00EA7653">
        <w:rPr>
          <w:rFonts w:ascii="Rockwell" w:eastAsia="Times New Roman" w:hAnsi="Rockwell" w:cs="Times New Roman"/>
          <w:sz w:val="20"/>
          <w:szCs w:val="20"/>
        </w:rPr>
        <w:t>Cost</w:t>
      </w:r>
      <w:proofErr w:type="gramEnd"/>
      <w:r w:rsidRPr="00EA7653">
        <w:rPr>
          <w:rFonts w:ascii="Rockwell" w:eastAsia="Times New Roman" w:hAnsi="Rockwell" w:cs="Times New Roman"/>
          <w:sz w:val="20"/>
          <w:szCs w:val="20"/>
        </w:rPr>
        <w:t xml:space="preserve"> = Number of Assessments × Cost per Assessment</w:t>
      </w:r>
    </w:p>
    <w:p w14:paraId="1DD9A9D6" w14:textId="138085B1" w:rsidR="00C20B12" w:rsidRPr="00EA7653" w:rsidRDefault="00C20B12" w:rsidP="00C20B12">
      <w:pPr>
        <w:numPr>
          <w:ilvl w:val="0"/>
          <w:numId w:val="6"/>
        </w:numPr>
        <w:spacing w:before="100" w:beforeAutospacing="1" w:after="100" w:afterAutospacing="1" w:line="240" w:lineRule="auto"/>
        <w:rPr>
          <w:rFonts w:ascii="Rockwell" w:eastAsia="Times New Roman" w:hAnsi="Rockwell" w:cs="Times New Roman"/>
          <w:sz w:val="20"/>
          <w:szCs w:val="20"/>
        </w:rPr>
      </w:pPr>
      <w:r w:rsidRPr="00EA7653">
        <w:rPr>
          <w:rFonts w:ascii="Rockwell" w:eastAsia="Times New Roman" w:hAnsi="Rockwell" w:cs="Times New Roman"/>
          <w:sz w:val="20"/>
          <w:szCs w:val="20"/>
        </w:rPr>
        <w:t>Transportation</w:t>
      </w:r>
      <w:r w:rsidR="00E35DF2" w:rsidRPr="00EA7653">
        <w:rPr>
          <w:rFonts w:ascii="Rockwell" w:eastAsia="Times New Roman" w:hAnsi="Rockwell" w:cs="Times New Roman"/>
          <w:sz w:val="20"/>
          <w:szCs w:val="20"/>
        </w:rPr>
        <w:t xml:space="preserve"> inefficiency</w:t>
      </w:r>
      <w:r w:rsidRPr="00EA7653">
        <w:rPr>
          <w:rFonts w:ascii="Rockwell" w:eastAsia="Times New Roman" w:hAnsi="Rockwell" w:cs="Times New Roman"/>
          <w:sz w:val="20"/>
          <w:szCs w:val="20"/>
        </w:rPr>
        <w:t xml:space="preserve"> Cost = Number of Shipments × Average Cost per Shipment</w:t>
      </w:r>
    </w:p>
    <w:p w14:paraId="42553010" w14:textId="77777777" w:rsidR="00C20B12" w:rsidRPr="00EA7653" w:rsidRDefault="00C20B12" w:rsidP="00C20B12">
      <w:pPr>
        <w:numPr>
          <w:ilvl w:val="0"/>
          <w:numId w:val="6"/>
        </w:numPr>
        <w:spacing w:before="100" w:beforeAutospacing="1" w:after="100" w:afterAutospacing="1" w:line="240" w:lineRule="auto"/>
        <w:rPr>
          <w:rFonts w:ascii="Rockwell" w:eastAsia="Times New Roman" w:hAnsi="Rockwell" w:cs="Times New Roman"/>
          <w:sz w:val="20"/>
          <w:szCs w:val="20"/>
        </w:rPr>
      </w:pPr>
      <w:r w:rsidRPr="00EA7653">
        <w:rPr>
          <w:rFonts w:ascii="Rockwell" w:eastAsia="Times New Roman" w:hAnsi="Rockwell" w:cs="Times New Roman"/>
          <w:sz w:val="20"/>
          <w:szCs w:val="20"/>
        </w:rPr>
        <w:t>Poor Inventory Tracking Cost = Inventory Discrepancies × Cost per Discrepancy</w:t>
      </w:r>
    </w:p>
    <w:p w14:paraId="183B3E83" w14:textId="5F49ACD4" w:rsidR="00C20B12" w:rsidRPr="00EA7653" w:rsidRDefault="00C20B12" w:rsidP="00122A57">
      <w:pPr>
        <w:numPr>
          <w:ilvl w:val="0"/>
          <w:numId w:val="6"/>
        </w:numPr>
        <w:spacing w:before="100" w:beforeAutospacing="1" w:after="100" w:afterAutospacing="1" w:line="240" w:lineRule="auto"/>
        <w:rPr>
          <w:rFonts w:ascii="Rockwell" w:eastAsia="Times New Roman" w:hAnsi="Rockwell" w:cs="Times New Roman"/>
          <w:sz w:val="20"/>
          <w:szCs w:val="20"/>
        </w:rPr>
      </w:pPr>
      <w:r w:rsidRPr="00EA7653">
        <w:rPr>
          <w:rFonts w:ascii="Rockwell" w:eastAsia="Times New Roman" w:hAnsi="Rockwell" w:cs="Times New Roman"/>
          <w:sz w:val="20"/>
          <w:szCs w:val="20"/>
        </w:rPr>
        <w:t>Total Supply Chain Cost = Sum of all above costs</w:t>
      </w:r>
    </w:p>
    <w:p w14:paraId="33D9ED59" w14:textId="77777777" w:rsidR="00C20B12" w:rsidRPr="00EA7653" w:rsidRDefault="00C20B12" w:rsidP="00C20B12">
      <w:pPr>
        <w:numPr>
          <w:ilvl w:val="0"/>
          <w:numId w:val="7"/>
        </w:numPr>
        <w:spacing w:before="100" w:beforeAutospacing="1" w:after="100" w:afterAutospacing="1" w:line="240" w:lineRule="auto"/>
        <w:rPr>
          <w:rFonts w:ascii="Rockwell" w:eastAsia="Times New Roman" w:hAnsi="Rockwell" w:cs="Times New Roman"/>
          <w:sz w:val="20"/>
          <w:szCs w:val="20"/>
        </w:rPr>
      </w:pPr>
      <w:r w:rsidRPr="00EA7653">
        <w:rPr>
          <w:rFonts w:ascii="Rockwell" w:eastAsia="Times New Roman" w:hAnsi="Rockwell" w:cs="Times New Roman"/>
          <w:sz w:val="20"/>
          <w:szCs w:val="20"/>
        </w:rPr>
        <w:t>Procurement Inefficiency (%) = [(Actual Cost - Benchmark Cost) / Benchmark Cost] × 100</w:t>
      </w:r>
    </w:p>
    <w:p w14:paraId="4A734D4B" w14:textId="77777777" w:rsidR="00C20B12" w:rsidRPr="00EA7653" w:rsidRDefault="00C20B12" w:rsidP="00C20B12">
      <w:pPr>
        <w:numPr>
          <w:ilvl w:val="0"/>
          <w:numId w:val="7"/>
        </w:numPr>
        <w:spacing w:before="100" w:beforeAutospacing="1" w:after="100" w:afterAutospacing="1" w:line="240" w:lineRule="auto"/>
        <w:rPr>
          <w:rFonts w:ascii="Rockwell" w:eastAsia="Times New Roman" w:hAnsi="Rockwell" w:cs="Times New Roman"/>
          <w:sz w:val="20"/>
          <w:szCs w:val="20"/>
        </w:rPr>
      </w:pPr>
      <w:r w:rsidRPr="00EA7653">
        <w:rPr>
          <w:rFonts w:ascii="Rockwell" w:eastAsia="Times New Roman" w:hAnsi="Rockwell" w:cs="Times New Roman"/>
          <w:sz w:val="20"/>
          <w:szCs w:val="20"/>
        </w:rPr>
        <w:t>Inventory Inefficiency (%) = [(Stockouts + Overstocks) / Total Inventory Transactions] × 100</w:t>
      </w:r>
    </w:p>
    <w:p w14:paraId="4469078B" w14:textId="77777777" w:rsidR="00C20B12" w:rsidRPr="00EA7653" w:rsidRDefault="00C20B12" w:rsidP="00C20B12">
      <w:pPr>
        <w:numPr>
          <w:ilvl w:val="0"/>
          <w:numId w:val="7"/>
        </w:numPr>
        <w:spacing w:before="100" w:beforeAutospacing="1" w:after="100" w:afterAutospacing="1" w:line="240" w:lineRule="auto"/>
        <w:rPr>
          <w:rFonts w:ascii="Rockwell" w:eastAsia="Times New Roman" w:hAnsi="Rockwell" w:cs="Times New Roman"/>
          <w:sz w:val="20"/>
          <w:szCs w:val="20"/>
        </w:rPr>
      </w:pPr>
      <w:r w:rsidRPr="00EA7653">
        <w:rPr>
          <w:rFonts w:ascii="Rockwell" w:eastAsia="Times New Roman" w:hAnsi="Rockwell" w:cs="Times New Roman"/>
          <w:sz w:val="20"/>
          <w:szCs w:val="20"/>
        </w:rPr>
        <w:t>Storage Inefficiency (%) = (Damaged/Expired Stock / Total Stock) × 100</w:t>
      </w:r>
    </w:p>
    <w:p w14:paraId="0C533C69" w14:textId="77777777" w:rsidR="00C20B12" w:rsidRPr="00EA7653" w:rsidRDefault="00C20B12" w:rsidP="00C20B12">
      <w:pPr>
        <w:numPr>
          <w:ilvl w:val="0"/>
          <w:numId w:val="7"/>
        </w:numPr>
        <w:spacing w:before="100" w:beforeAutospacing="1" w:after="100" w:afterAutospacing="1" w:line="240" w:lineRule="auto"/>
        <w:rPr>
          <w:rFonts w:ascii="Rockwell" w:eastAsia="Times New Roman" w:hAnsi="Rockwell" w:cs="Times New Roman"/>
          <w:sz w:val="20"/>
          <w:szCs w:val="20"/>
        </w:rPr>
      </w:pPr>
      <w:r w:rsidRPr="00EA7653">
        <w:rPr>
          <w:rFonts w:ascii="Rockwell" w:eastAsia="Times New Roman" w:hAnsi="Rockwell" w:cs="Times New Roman"/>
          <w:sz w:val="20"/>
          <w:szCs w:val="20"/>
        </w:rPr>
        <w:t>Forecasting Inefficiency (%) = |Actual Demand - Forecast| / Actual Demand × 100</w:t>
      </w:r>
    </w:p>
    <w:p w14:paraId="7041449C" w14:textId="77777777" w:rsidR="00C20B12" w:rsidRPr="00EA7653" w:rsidRDefault="00C20B12" w:rsidP="00C20B12">
      <w:pPr>
        <w:numPr>
          <w:ilvl w:val="0"/>
          <w:numId w:val="7"/>
        </w:numPr>
        <w:spacing w:before="100" w:beforeAutospacing="1" w:after="100" w:afterAutospacing="1" w:line="240" w:lineRule="auto"/>
        <w:rPr>
          <w:rFonts w:ascii="Rockwell" w:eastAsia="Times New Roman" w:hAnsi="Rockwell" w:cs="Times New Roman"/>
          <w:sz w:val="20"/>
          <w:szCs w:val="20"/>
        </w:rPr>
      </w:pPr>
      <w:r w:rsidRPr="00EA7653">
        <w:rPr>
          <w:rFonts w:ascii="Rockwell" w:eastAsia="Times New Roman" w:hAnsi="Rockwell" w:cs="Times New Roman"/>
          <w:sz w:val="20"/>
          <w:szCs w:val="20"/>
        </w:rPr>
        <w:t>Supplier Inefficiency (%) = (Late/Incorrect Deliveries / Total Deliveries) × 100</w:t>
      </w:r>
    </w:p>
    <w:p w14:paraId="12F204EB" w14:textId="77777777" w:rsidR="00C20B12" w:rsidRPr="00EA7653" w:rsidRDefault="00C20B12" w:rsidP="00C20B12">
      <w:pPr>
        <w:numPr>
          <w:ilvl w:val="0"/>
          <w:numId w:val="7"/>
        </w:numPr>
        <w:spacing w:before="100" w:beforeAutospacing="1" w:after="100" w:afterAutospacing="1" w:line="240" w:lineRule="auto"/>
        <w:rPr>
          <w:rFonts w:ascii="Rockwell" w:eastAsia="Times New Roman" w:hAnsi="Rockwell" w:cs="Times New Roman"/>
          <w:sz w:val="20"/>
          <w:szCs w:val="20"/>
        </w:rPr>
      </w:pPr>
      <w:r w:rsidRPr="00EA7653">
        <w:rPr>
          <w:rFonts w:ascii="Rockwell" w:eastAsia="Times New Roman" w:hAnsi="Rockwell" w:cs="Times New Roman"/>
          <w:sz w:val="20"/>
          <w:szCs w:val="20"/>
        </w:rPr>
        <w:t>Distribution Inefficiency (%) = (Delayed/Incomplete Deliveries / Total Shipments) × 100</w:t>
      </w:r>
    </w:p>
    <w:p w14:paraId="69B362BE" w14:textId="77777777" w:rsidR="00C20B12" w:rsidRPr="00EA7653" w:rsidRDefault="00C20B12" w:rsidP="00C20B12">
      <w:pPr>
        <w:numPr>
          <w:ilvl w:val="0"/>
          <w:numId w:val="7"/>
        </w:numPr>
        <w:spacing w:before="100" w:beforeAutospacing="1" w:after="100" w:afterAutospacing="1" w:line="240" w:lineRule="auto"/>
        <w:rPr>
          <w:rFonts w:ascii="Rockwell" w:eastAsia="Times New Roman" w:hAnsi="Rockwell" w:cs="Times New Roman"/>
          <w:sz w:val="20"/>
          <w:szCs w:val="20"/>
        </w:rPr>
      </w:pPr>
      <w:r w:rsidRPr="00EA7653">
        <w:rPr>
          <w:rFonts w:ascii="Rockwell" w:eastAsia="Times New Roman" w:hAnsi="Rockwell" w:cs="Times New Roman"/>
          <w:sz w:val="20"/>
          <w:szCs w:val="20"/>
        </w:rPr>
        <w:t>Cost Inefficiency (%) = [(Actual Costs - Budgeted Costs) / Budgeted Costs] × 100</w:t>
      </w:r>
    </w:p>
    <w:p w14:paraId="21DFF5C8" w14:textId="77777777" w:rsidR="00C20B12" w:rsidRPr="00EA7653" w:rsidRDefault="00C20B12" w:rsidP="00C20B12">
      <w:pPr>
        <w:numPr>
          <w:ilvl w:val="0"/>
          <w:numId w:val="7"/>
        </w:numPr>
        <w:spacing w:before="100" w:beforeAutospacing="1" w:after="100" w:afterAutospacing="1" w:line="240" w:lineRule="auto"/>
        <w:rPr>
          <w:rFonts w:ascii="Rockwell" w:eastAsia="Times New Roman" w:hAnsi="Rockwell" w:cs="Times New Roman"/>
          <w:sz w:val="20"/>
          <w:szCs w:val="20"/>
        </w:rPr>
      </w:pPr>
      <w:r w:rsidRPr="00EA7653">
        <w:rPr>
          <w:rFonts w:ascii="Rockwell" w:eastAsia="Times New Roman" w:hAnsi="Rockwell" w:cs="Times New Roman"/>
          <w:sz w:val="20"/>
          <w:szCs w:val="20"/>
        </w:rPr>
        <w:t>Reporting Inefficiency (%) = (Delayed Reports / Total Reports) × 100</w:t>
      </w:r>
    </w:p>
    <w:p w14:paraId="27E4BC92" w14:textId="77777777" w:rsidR="00C20B12" w:rsidRPr="00EA7653" w:rsidRDefault="00C20B12" w:rsidP="00C20B12">
      <w:pPr>
        <w:numPr>
          <w:ilvl w:val="0"/>
          <w:numId w:val="7"/>
        </w:numPr>
        <w:spacing w:before="100" w:beforeAutospacing="1" w:after="100" w:afterAutospacing="1" w:line="240" w:lineRule="auto"/>
        <w:rPr>
          <w:rFonts w:ascii="Rockwell" w:eastAsia="Times New Roman" w:hAnsi="Rockwell" w:cs="Times New Roman"/>
          <w:sz w:val="20"/>
          <w:szCs w:val="20"/>
        </w:rPr>
      </w:pPr>
      <w:r w:rsidRPr="00EA7653">
        <w:rPr>
          <w:rFonts w:ascii="Rockwell" w:eastAsia="Times New Roman" w:hAnsi="Rockwell" w:cs="Times New Roman"/>
          <w:sz w:val="20"/>
          <w:szCs w:val="20"/>
        </w:rPr>
        <w:t>Technology Inefficiency (%) = (Manual Processes / Total Processes) × 100</w:t>
      </w:r>
    </w:p>
    <w:p w14:paraId="0D22E863" w14:textId="77777777" w:rsidR="00C20B12" w:rsidRPr="00EA7653" w:rsidRDefault="00C20B12" w:rsidP="00C20B12">
      <w:pPr>
        <w:numPr>
          <w:ilvl w:val="0"/>
          <w:numId w:val="7"/>
        </w:numPr>
        <w:spacing w:before="100" w:beforeAutospacing="1" w:after="100" w:afterAutospacing="1" w:line="240" w:lineRule="auto"/>
        <w:rPr>
          <w:rFonts w:ascii="Rockwell" w:eastAsia="Times New Roman" w:hAnsi="Rockwell" w:cs="Times New Roman"/>
          <w:sz w:val="20"/>
          <w:szCs w:val="20"/>
        </w:rPr>
      </w:pPr>
      <w:r w:rsidRPr="00EA7653">
        <w:rPr>
          <w:rFonts w:ascii="Rockwell" w:eastAsia="Times New Roman" w:hAnsi="Rockwell" w:cs="Times New Roman"/>
          <w:sz w:val="20"/>
          <w:szCs w:val="20"/>
        </w:rPr>
        <w:t>Coordination Inefficiency (%) = [1 - (Failures / Total Communications)] × 100</w:t>
      </w:r>
    </w:p>
    <w:p w14:paraId="0F39CC0D" w14:textId="77777777" w:rsidR="00C20B12" w:rsidRPr="00EA7653" w:rsidRDefault="00C20B12" w:rsidP="00C20B12">
      <w:pPr>
        <w:numPr>
          <w:ilvl w:val="0"/>
          <w:numId w:val="7"/>
        </w:numPr>
        <w:spacing w:before="100" w:beforeAutospacing="1" w:after="100" w:afterAutospacing="1" w:line="240" w:lineRule="auto"/>
        <w:rPr>
          <w:rFonts w:ascii="Rockwell" w:eastAsia="Times New Roman" w:hAnsi="Rockwell" w:cs="Times New Roman"/>
          <w:sz w:val="20"/>
          <w:szCs w:val="20"/>
        </w:rPr>
      </w:pPr>
      <w:r w:rsidRPr="00EA7653">
        <w:rPr>
          <w:rFonts w:ascii="Rockwell" w:eastAsia="Times New Roman" w:hAnsi="Rockwell" w:cs="Times New Roman"/>
          <w:sz w:val="20"/>
          <w:szCs w:val="20"/>
        </w:rPr>
        <w:t>Waste Inefficiency (%) = (Unusable Stock / Total Stock Handled) × 100</w:t>
      </w:r>
    </w:p>
    <w:p w14:paraId="3755B709" w14:textId="77777777" w:rsidR="00C20B12" w:rsidRPr="00C20B12" w:rsidRDefault="00C20B12" w:rsidP="00C20B12">
      <w:pPr>
        <w:numPr>
          <w:ilvl w:val="0"/>
          <w:numId w:val="7"/>
        </w:numPr>
        <w:spacing w:before="100" w:beforeAutospacing="1" w:after="100" w:afterAutospacing="1" w:line="240" w:lineRule="auto"/>
        <w:rPr>
          <w:rFonts w:ascii="Rockwell" w:eastAsia="Times New Roman" w:hAnsi="Rockwell" w:cs="Times New Roman"/>
          <w:sz w:val="24"/>
          <w:szCs w:val="24"/>
        </w:rPr>
      </w:pPr>
      <w:r w:rsidRPr="00EA7653">
        <w:rPr>
          <w:rFonts w:ascii="Rockwell" w:eastAsia="Times New Roman" w:hAnsi="Rockwell" w:cs="Times New Roman"/>
          <w:sz w:val="20"/>
          <w:szCs w:val="20"/>
        </w:rPr>
        <w:t xml:space="preserve">Dispensing Inefficiency (%) = (Errors / Total Dispensing </w:t>
      </w:r>
      <w:r w:rsidRPr="00C20B12">
        <w:rPr>
          <w:rFonts w:ascii="Rockwell" w:eastAsia="Times New Roman" w:hAnsi="Rockwell" w:cs="Times New Roman"/>
          <w:sz w:val="24"/>
          <w:szCs w:val="24"/>
        </w:rPr>
        <w:t>Transactions) × 100</w:t>
      </w:r>
    </w:p>
    <w:p w14:paraId="6E5BA377" w14:textId="77777777" w:rsidR="00C20B12" w:rsidRDefault="009140D6" w:rsidP="00C20B12">
      <w:pPr>
        <w:spacing w:after="0" w:line="240" w:lineRule="auto"/>
        <w:rPr>
          <w:rFonts w:ascii="Rockwell" w:eastAsia="Times New Roman" w:hAnsi="Rockwell" w:cs="Times New Roman"/>
          <w:sz w:val="28"/>
          <w:szCs w:val="28"/>
        </w:rPr>
      </w:pPr>
      <w:r>
        <w:rPr>
          <w:rFonts w:ascii="Rockwell" w:eastAsia="Times New Roman" w:hAnsi="Rockwell" w:cs="Times New Roman"/>
          <w:sz w:val="28"/>
          <w:szCs w:val="28"/>
        </w:rPr>
        <w:lastRenderedPageBreak/>
        <w:pict w14:anchorId="6A3B83CA">
          <v:rect id="_x0000_i1037" style="width:0;height:1.5pt" o:hralign="center" o:bullet="t" o:hrstd="t" o:hr="t" fillcolor="#a0a0a0" stroked="f"/>
        </w:pict>
      </w:r>
    </w:p>
    <w:p w14:paraId="6147ABEE" w14:textId="1482E68D" w:rsidR="008A44EB" w:rsidRDefault="008A44EB" w:rsidP="00C20B12">
      <w:pPr>
        <w:spacing w:after="0" w:line="240" w:lineRule="auto"/>
        <w:rPr>
          <w:rFonts w:ascii="Rockwell" w:eastAsia="Times New Roman" w:hAnsi="Rockwell" w:cs="Times New Roman"/>
          <w:sz w:val="36"/>
          <w:szCs w:val="36"/>
        </w:rPr>
      </w:pPr>
    </w:p>
    <w:p w14:paraId="1A315895" w14:textId="77777777" w:rsidR="008A44EB" w:rsidRPr="008A44EB" w:rsidRDefault="009140D6" w:rsidP="008A44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7A72F0">
          <v:rect id="_x0000_i1038" style="width:0;height:1.5pt" o:hralign="center" o:hrstd="t" o:hr="t" fillcolor="#a0a0a0" stroked="f"/>
        </w:pict>
      </w:r>
    </w:p>
    <w:p w14:paraId="7220066C" w14:textId="77777777" w:rsidR="008A44EB" w:rsidRPr="001155EA" w:rsidRDefault="008A44EB" w:rsidP="001155EA">
      <w:pPr>
        <w:pStyle w:val="Heading1"/>
        <w:rPr>
          <w:rFonts w:ascii="Rockwell" w:eastAsia="Times New Roman" w:hAnsi="Rockwell"/>
        </w:rPr>
      </w:pPr>
      <w:bookmarkStart w:id="9" w:name="_Toc202991381"/>
      <w:r w:rsidRPr="001155EA">
        <w:rPr>
          <w:rFonts w:ascii="Rockwell" w:eastAsia="Times New Roman" w:hAnsi="Rockwell"/>
        </w:rPr>
        <w:t>8. Discussion</w:t>
      </w:r>
      <w:bookmarkEnd w:id="9"/>
    </w:p>
    <w:p w14:paraId="51A34336" w14:textId="77777777" w:rsidR="008A44EB" w:rsidRPr="008A44EB" w:rsidRDefault="008A44EB" w:rsidP="008A44EB">
      <w:pPr>
        <w:spacing w:before="100" w:beforeAutospacing="1" w:after="100" w:afterAutospacing="1" w:line="240" w:lineRule="auto"/>
        <w:rPr>
          <w:rFonts w:ascii="Rockwell" w:eastAsia="Times New Roman" w:hAnsi="Rockwell" w:cs="Times New Roman"/>
          <w:sz w:val="28"/>
          <w:szCs w:val="28"/>
        </w:rPr>
      </w:pPr>
      <w:r w:rsidRPr="008A44EB">
        <w:rPr>
          <w:rFonts w:ascii="Rockwell" w:eastAsia="Times New Roman" w:hAnsi="Rockwell" w:cs="Times New Roman"/>
          <w:sz w:val="28"/>
          <w:szCs w:val="28"/>
        </w:rPr>
        <w:t xml:space="preserve">The findings from the Quarter 4, 2015 E.C. supply chain assessment at </w:t>
      </w:r>
      <w:proofErr w:type="spellStart"/>
      <w:r w:rsidRPr="008A44EB">
        <w:rPr>
          <w:rFonts w:ascii="Rockwell" w:eastAsia="Times New Roman" w:hAnsi="Rockwell" w:cs="Times New Roman"/>
          <w:sz w:val="28"/>
          <w:szCs w:val="28"/>
        </w:rPr>
        <w:t>Deder</w:t>
      </w:r>
      <w:proofErr w:type="spellEnd"/>
      <w:r w:rsidRPr="008A44EB">
        <w:rPr>
          <w:rFonts w:ascii="Rockwell" w:eastAsia="Times New Roman" w:hAnsi="Rockwell" w:cs="Times New Roman"/>
          <w:sz w:val="28"/>
          <w:szCs w:val="28"/>
        </w:rPr>
        <w:t xml:space="preserve"> General Hospital reveal both progress and ongoing inefficiencies across multiple operational areas when compared to the performance of Quarter 3. Improvements in procurement were observed, primarily due to the initiation of monthly procurement process reviews and the adoption of clearer purchasing schedules. However, challenges remain, such as inconsistent enforcement of procurement guidelines and limited use of performance-based contracts with suppliers. These gaps indicate a reactive procurement environment that continues to depend on emergency ordering, resulting in inflated costs and delayed delivery of essential commodities.</w:t>
      </w:r>
    </w:p>
    <w:p w14:paraId="7F5650B2" w14:textId="77777777" w:rsidR="008A44EB" w:rsidRPr="008A44EB" w:rsidRDefault="008A44EB" w:rsidP="008A44EB">
      <w:pPr>
        <w:spacing w:before="100" w:beforeAutospacing="1" w:after="100" w:afterAutospacing="1" w:line="240" w:lineRule="auto"/>
        <w:rPr>
          <w:rFonts w:ascii="Rockwell" w:eastAsia="Times New Roman" w:hAnsi="Rockwell" w:cs="Times New Roman"/>
          <w:sz w:val="28"/>
          <w:szCs w:val="28"/>
        </w:rPr>
      </w:pPr>
      <w:r w:rsidRPr="008A44EB">
        <w:rPr>
          <w:rFonts w:ascii="Rockwell" w:eastAsia="Times New Roman" w:hAnsi="Rockwell" w:cs="Times New Roman"/>
          <w:sz w:val="28"/>
          <w:szCs w:val="28"/>
        </w:rPr>
        <w:t>Inventory management also demonstrated modest progress. The application of the Electronic Auditable and Pharmaceutical Transaction Service (EAPTS) system was more evident in Q4, contributing to improved documentation and visibility. Nevertheless, issues such as irregular stock audits, mismatched physical versus recorded stock levels, and limited use of stock rotation procedures persist. These weaknesses imply a high risk of overstocking, expiries, and shortages—all of which compromise service delivery. The improvements seen reflect an increased commitment to using available tools but point to the need for more consistent and system-wide implementation.</w:t>
      </w:r>
    </w:p>
    <w:p w14:paraId="2D62B3F4" w14:textId="77777777" w:rsidR="008A44EB" w:rsidRPr="008A44EB" w:rsidRDefault="008A44EB" w:rsidP="008A44EB">
      <w:pPr>
        <w:spacing w:before="100" w:beforeAutospacing="1" w:after="100" w:afterAutospacing="1" w:line="240" w:lineRule="auto"/>
        <w:rPr>
          <w:rFonts w:ascii="Rockwell" w:eastAsia="Times New Roman" w:hAnsi="Rockwell" w:cs="Times New Roman"/>
          <w:sz w:val="28"/>
          <w:szCs w:val="28"/>
        </w:rPr>
      </w:pPr>
      <w:r w:rsidRPr="008A44EB">
        <w:rPr>
          <w:rFonts w:ascii="Rockwell" w:eastAsia="Times New Roman" w:hAnsi="Rockwell" w:cs="Times New Roman"/>
          <w:sz w:val="28"/>
          <w:szCs w:val="28"/>
        </w:rPr>
        <w:t>In the area of demand forecasting, significant gaps remain. Forecasting practices were still largely based on estimation rather than structured historical consumption analysis. The continued occurrence of emergency orders and stockouts indicates the absence of a reliable forecasting model. While Q4 saw some improvement in staff awareness and data use, the lack of forecasting tools and training undermines sustainability and accuracy.</w:t>
      </w:r>
    </w:p>
    <w:p w14:paraId="3E9E51B6" w14:textId="77777777" w:rsidR="008A44EB" w:rsidRPr="008A44EB" w:rsidRDefault="008A44EB" w:rsidP="008A44EB">
      <w:pPr>
        <w:spacing w:before="100" w:beforeAutospacing="1" w:after="100" w:afterAutospacing="1" w:line="240" w:lineRule="auto"/>
        <w:rPr>
          <w:rFonts w:ascii="Rockwell" w:eastAsia="Times New Roman" w:hAnsi="Rockwell" w:cs="Times New Roman"/>
          <w:sz w:val="28"/>
          <w:szCs w:val="28"/>
        </w:rPr>
      </w:pPr>
      <w:r w:rsidRPr="008A44EB">
        <w:rPr>
          <w:rFonts w:ascii="Rockwell" w:eastAsia="Times New Roman" w:hAnsi="Rockwell" w:cs="Times New Roman"/>
          <w:sz w:val="28"/>
          <w:szCs w:val="28"/>
        </w:rPr>
        <w:t xml:space="preserve">Supplier and distribution performance remained an area of concern. While Quarter 4 introduced supplier engagement through roundtable </w:t>
      </w:r>
      <w:r w:rsidRPr="008A44EB">
        <w:rPr>
          <w:rFonts w:ascii="Rockwell" w:eastAsia="Times New Roman" w:hAnsi="Rockwell" w:cs="Times New Roman"/>
          <w:sz w:val="28"/>
          <w:szCs w:val="28"/>
        </w:rPr>
        <w:lastRenderedPageBreak/>
        <w:t>discussions, delayed or incomplete deliveries were still frequent. These issues suggest that external supply chain partners are not yet fully integrated into the hospital’s performance standards. The progress observed—mainly in the establishment of communication channels with vendors—demonstrates a positive direction, but lacks the robustness required for long-term reliability.</w:t>
      </w:r>
    </w:p>
    <w:p w14:paraId="5AB18430" w14:textId="77777777" w:rsidR="008A44EB" w:rsidRPr="008A44EB" w:rsidRDefault="008A44EB" w:rsidP="008A44EB">
      <w:pPr>
        <w:spacing w:before="100" w:beforeAutospacing="1" w:after="100" w:afterAutospacing="1" w:line="240" w:lineRule="auto"/>
        <w:rPr>
          <w:rFonts w:ascii="Rockwell" w:eastAsia="Times New Roman" w:hAnsi="Rockwell" w:cs="Times New Roman"/>
          <w:sz w:val="28"/>
          <w:szCs w:val="28"/>
        </w:rPr>
      </w:pPr>
      <w:r w:rsidRPr="008A44EB">
        <w:rPr>
          <w:rFonts w:ascii="Rockwell" w:eastAsia="Times New Roman" w:hAnsi="Rockwell" w:cs="Times New Roman"/>
          <w:sz w:val="28"/>
          <w:szCs w:val="28"/>
        </w:rPr>
        <w:t>Financial management and cost control continued to show inefficiencies, with delays in payment processing and poor tracking of procurement budgets being reported. The gap here reflects a lack of alignment between procurement activities and financial planning, which can lead to procurement bottlenecks and cost overruns. Although some minor process reviews were initiated, improvements were minimal, indicating that more structured integration between finance and supply chain units is essential.</w:t>
      </w:r>
    </w:p>
    <w:p w14:paraId="672913CE" w14:textId="77777777" w:rsidR="008A44EB" w:rsidRPr="008A44EB" w:rsidRDefault="008A44EB" w:rsidP="008A44EB">
      <w:pPr>
        <w:spacing w:before="100" w:beforeAutospacing="1" w:after="100" w:afterAutospacing="1" w:line="240" w:lineRule="auto"/>
        <w:rPr>
          <w:rFonts w:ascii="Rockwell" w:eastAsia="Times New Roman" w:hAnsi="Rockwell" w:cs="Times New Roman"/>
          <w:sz w:val="28"/>
          <w:szCs w:val="28"/>
        </w:rPr>
      </w:pPr>
      <w:r w:rsidRPr="008A44EB">
        <w:rPr>
          <w:rFonts w:ascii="Rockwell" w:eastAsia="Times New Roman" w:hAnsi="Rockwell" w:cs="Times New Roman"/>
          <w:sz w:val="28"/>
          <w:szCs w:val="28"/>
        </w:rPr>
        <w:t>Monitoring and reporting of supply chain performance remained one of the weakest areas. The absence of defined key performance indicators (KPIs), lack of routine reporting, and no structured follow-up mechanisms means that inefficiencies go unnoticed or uncorrected over time. There was no measurable improvement between Q3 and Q4 in this domain, suggesting that the problem is rooted in system design rather than implementation.</w:t>
      </w:r>
    </w:p>
    <w:p w14:paraId="2DE9B508" w14:textId="77777777" w:rsidR="008A44EB" w:rsidRPr="008A44EB" w:rsidRDefault="008A44EB" w:rsidP="008A44EB">
      <w:pPr>
        <w:spacing w:before="100" w:beforeAutospacing="1" w:after="100" w:afterAutospacing="1" w:line="240" w:lineRule="auto"/>
        <w:rPr>
          <w:rFonts w:ascii="Rockwell" w:eastAsia="Times New Roman" w:hAnsi="Rockwell" w:cs="Times New Roman"/>
          <w:sz w:val="28"/>
          <w:szCs w:val="28"/>
        </w:rPr>
      </w:pPr>
      <w:r w:rsidRPr="008A44EB">
        <w:rPr>
          <w:rFonts w:ascii="Rockwell" w:eastAsia="Times New Roman" w:hAnsi="Rockwell" w:cs="Times New Roman"/>
          <w:sz w:val="28"/>
          <w:szCs w:val="28"/>
        </w:rPr>
        <w:t>Technology and system integration saw slight progress, particularly through increased exposure to EAPTS among staff. However, the inconsistent use of the system and a general lack of accountability for data updates continue to limit its effectiveness. While Q4 showed a slight increase in electronic transaction entries, the system remains underutilized and training is insufficient.</w:t>
      </w:r>
    </w:p>
    <w:p w14:paraId="79D2BCA9" w14:textId="77777777" w:rsidR="008A44EB" w:rsidRPr="008A44EB" w:rsidRDefault="008A44EB" w:rsidP="008A44EB">
      <w:pPr>
        <w:spacing w:before="100" w:beforeAutospacing="1" w:after="100" w:afterAutospacing="1" w:line="240" w:lineRule="auto"/>
        <w:rPr>
          <w:rFonts w:ascii="Rockwell" w:eastAsia="Times New Roman" w:hAnsi="Rockwell" w:cs="Times New Roman"/>
          <w:sz w:val="28"/>
          <w:szCs w:val="28"/>
        </w:rPr>
      </w:pPr>
      <w:r w:rsidRPr="008A44EB">
        <w:rPr>
          <w:rFonts w:ascii="Rockwell" w:eastAsia="Times New Roman" w:hAnsi="Rockwell" w:cs="Times New Roman"/>
          <w:sz w:val="28"/>
          <w:szCs w:val="28"/>
        </w:rPr>
        <w:t>Communication and coordination between departments improved marginally following the introduction of multidisciplinary review meetings. However, delays in communication and lack of shared planning still affected procurement decisions and stock replenishment processes. Although the improvement in Q4 indicates a shift toward more collaborative practices, these efforts need to be institutionalized to yield sustainable benefits.</w:t>
      </w:r>
    </w:p>
    <w:p w14:paraId="249C878C" w14:textId="77777777" w:rsidR="008A44EB" w:rsidRPr="008A44EB" w:rsidRDefault="008A44EB" w:rsidP="008A44EB">
      <w:pPr>
        <w:spacing w:before="100" w:beforeAutospacing="1" w:after="100" w:afterAutospacing="1" w:line="240" w:lineRule="auto"/>
        <w:rPr>
          <w:rFonts w:ascii="Rockwell" w:eastAsia="Times New Roman" w:hAnsi="Rockwell" w:cs="Times New Roman"/>
          <w:sz w:val="28"/>
          <w:szCs w:val="28"/>
        </w:rPr>
      </w:pPr>
      <w:r w:rsidRPr="008A44EB">
        <w:rPr>
          <w:rFonts w:ascii="Rockwell" w:eastAsia="Times New Roman" w:hAnsi="Rockwell" w:cs="Times New Roman"/>
          <w:sz w:val="28"/>
          <w:szCs w:val="28"/>
        </w:rPr>
        <w:lastRenderedPageBreak/>
        <w:t>Finally, storage and dispensing practices exhibited the most notable improvements. Environmental controls and basic organization within storage areas showed advancement, while dispensing units began implementing double-check systems. These gains demonstrate the impact of low-cost, practical interventions. However, gaps in expiry tracking, shelving systems, and documentation still expose the hospital to losses through wastage and medication errors.</w:t>
      </w:r>
    </w:p>
    <w:p w14:paraId="2408CBEB" w14:textId="77777777" w:rsidR="008A44EB" w:rsidRPr="008A44EB" w:rsidRDefault="008A44EB" w:rsidP="008A44EB">
      <w:pPr>
        <w:spacing w:before="100" w:beforeAutospacing="1" w:after="100" w:afterAutospacing="1" w:line="240" w:lineRule="auto"/>
        <w:rPr>
          <w:rFonts w:ascii="Rockwell" w:eastAsia="Times New Roman" w:hAnsi="Rockwell" w:cs="Times New Roman"/>
          <w:sz w:val="28"/>
          <w:szCs w:val="28"/>
        </w:rPr>
      </w:pPr>
      <w:r w:rsidRPr="008A44EB">
        <w:rPr>
          <w:rFonts w:ascii="Rockwell" w:eastAsia="Times New Roman" w:hAnsi="Rockwell" w:cs="Times New Roman"/>
          <w:sz w:val="28"/>
          <w:szCs w:val="28"/>
        </w:rPr>
        <w:t>In summary, while Quarter 4 demonstrated a measurable shift in awareness, coordination, and system use compared to Quarter 3, the hospital's supply chain still requires structured interventions, stronger leadership, and capacity building to sustain improvements and reach the desired efficiency level.</w:t>
      </w:r>
    </w:p>
    <w:p w14:paraId="676055E9" w14:textId="6AC76BCA" w:rsidR="008A44EB" w:rsidRPr="00C5535A" w:rsidRDefault="009140D6" w:rsidP="00C20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8"/>
          <w:szCs w:val="28"/>
        </w:rPr>
        <w:pict w14:anchorId="679827B1">
          <v:rect id="_x0000_i1039" style="width:0;height:1.5pt" o:hralign="center" o:hrstd="t" o:hr="t" fillcolor="#a0a0a0" stroked="f"/>
        </w:pict>
      </w:r>
    </w:p>
    <w:p w14:paraId="4C9B0C35" w14:textId="1737EFC2" w:rsidR="00C20B12" w:rsidRPr="00C20B12" w:rsidRDefault="00C20B12" w:rsidP="00C20B12">
      <w:pPr>
        <w:spacing w:before="100" w:beforeAutospacing="1" w:after="100" w:afterAutospacing="1" w:line="240" w:lineRule="auto"/>
        <w:outlineLvl w:val="2"/>
        <w:rPr>
          <w:rFonts w:ascii="Rockwell" w:eastAsia="Times New Roman" w:hAnsi="Rockwell" w:cs="Times New Roman"/>
          <w:b/>
          <w:bCs/>
          <w:sz w:val="36"/>
          <w:szCs w:val="36"/>
        </w:rPr>
      </w:pPr>
      <w:bookmarkStart w:id="10" w:name="_Toc202991382"/>
      <w:r w:rsidRPr="00C20B12">
        <w:rPr>
          <w:rFonts w:ascii="Rockwell" w:eastAsia="Times New Roman" w:hAnsi="Rockwell" w:cs="Times New Roman"/>
          <w:b/>
          <w:bCs/>
          <w:sz w:val="36"/>
          <w:szCs w:val="36"/>
        </w:rPr>
        <w:t>9. Inefficiency Summary Table (Q4 2015EC)</w:t>
      </w:r>
      <w:bookmarkEnd w:id="10"/>
    </w:p>
    <w:tbl>
      <w:tblPr>
        <w:tblStyle w:val="TableGrid"/>
        <w:tblW w:w="0" w:type="auto"/>
        <w:tblLook w:val="04A0" w:firstRow="1" w:lastRow="0" w:firstColumn="1" w:lastColumn="0" w:noHBand="0" w:noVBand="1"/>
      </w:tblPr>
      <w:tblGrid>
        <w:gridCol w:w="4132"/>
        <w:gridCol w:w="1707"/>
        <w:gridCol w:w="3511"/>
      </w:tblGrid>
      <w:tr w:rsidR="00C20B12" w:rsidRPr="00C20B12" w14:paraId="266D57F5" w14:textId="77777777" w:rsidTr="00FA535C">
        <w:tc>
          <w:tcPr>
            <w:tcW w:w="0" w:type="auto"/>
            <w:hideMark/>
          </w:tcPr>
          <w:p w14:paraId="73303062" w14:textId="77777777" w:rsidR="00C20B12" w:rsidRPr="00C20B12" w:rsidRDefault="00C20B12" w:rsidP="00C20B12">
            <w:pPr>
              <w:jc w:val="center"/>
              <w:rPr>
                <w:rFonts w:ascii="Rockwell" w:eastAsia="Times New Roman" w:hAnsi="Rockwell" w:cs="Times New Roman"/>
                <w:b/>
                <w:bCs/>
                <w:sz w:val="36"/>
                <w:szCs w:val="36"/>
              </w:rPr>
            </w:pPr>
            <w:r w:rsidRPr="00C20B12">
              <w:rPr>
                <w:rFonts w:ascii="Rockwell" w:eastAsia="Times New Roman" w:hAnsi="Rockwell" w:cs="Times New Roman"/>
                <w:b/>
                <w:bCs/>
                <w:sz w:val="36"/>
                <w:szCs w:val="36"/>
              </w:rPr>
              <w:t>Indicators</w:t>
            </w:r>
          </w:p>
        </w:tc>
        <w:tc>
          <w:tcPr>
            <w:tcW w:w="0" w:type="auto"/>
            <w:hideMark/>
          </w:tcPr>
          <w:p w14:paraId="1ABD055B" w14:textId="77777777" w:rsidR="00C20B12" w:rsidRPr="00C20B12" w:rsidRDefault="00C20B12" w:rsidP="00C20B12">
            <w:pPr>
              <w:jc w:val="center"/>
              <w:rPr>
                <w:rFonts w:ascii="Rockwell" w:eastAsia="Times New Roman" w:hAnsi="Rockwell" w:cs="Times New Roman"/>
                <w:b/>
                <w:bCs/>
                <w:sz w:val="36"/>
                <w:szCs w:val="36"/>
              </w:rPr>
            </w:pPr>
            <w:r w:rsidRPr="00C20B12">
              <w:rPr>
                <w:rFonts w:ascii="Rockwell" w:eastAsia="Times New Roman" w:hAnsi="Rockwell" w:cs="Times New Roman"/>
                <w:b/>
                <w:bCs/>
                <w:sz w:val="36"/>
                <w:szCs w:val="36"/>
              </w:rPr>
              <w:t>Cost (ETB)</w:t>
            </w:r>
          </w:p>
        </w:tc>
        <w:tc>
          <w:tcPr>
            <w:tcW w:w="0" w:type="auto"/>
            <w:hideMark/>
          </w:tcPr>
          <w:p w14:paraId="6083414F" w14:textId="77777777" w:rsidR="00C20B12" w:rsidRPr="00C20B12" w:rsidRDefault="00C20B12" w:rsidP="00C20B12">
            <w:pPr>
              <w:jc w:val="center"/>
              <w:rPr>
                <w:rFonts w:ascii="Rockwell" w:eastAsia="Times New Roman" w:hAnsi="Rockwell" w:cs="Times New Roman"/>
                <w:b/>
                <w:bCs/>
                <w:sz w:val="36"/>
                <w:szCs w:val="36"/>
              </w:rPr>
            </w:pPr>
            <w:r w:rsidRPr="00C20B12">
              <w:rPr>
                <w:rFonts w:ascii="Rockwell" w:eastAsia="Times New Roman" w:hAnsi="Rockwell" w:cs="Times New Roman"/>
                <w:b/>
                <w:bCs/>
                <w:sz w:val="36"/>
                <w:szCs w:val="36"/>
              </w:rPr>
              <w:t>Percentage Contribution</w:t>
            </w:r>
          </w:p>
        </w:tc>
      </w:tr>
      <w:tr w:rsidR="00C20B12" w:rsidRPr="00C20B12" w14:paraId="795812A6" w14:textId="77777777" w:rsidTr="00FA535C">
        <w:tc>
          <w:tcPr>
            <w:tcW w:w="0" w:type="auto"/>
            <w:hideMark/>
          </w:tcPr>
          <w:p w14:paraId="4BD406D4"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Procurement Efficiency</w:t>
            </w:r>
          </w:p>
        </w:tc>
        <w:tc>
          <w:tcPr>
            <w:tcW w:w="0" w:type="auto"/>
            <w:hideMark/>
          </w:tcPr>
          <w:p w14:paraId="2016CF08"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7,000</w:t>
            </w:r>
          </w:p>
        </w:tc>
        <w:tc>
          <w:tcPr>
            <w:tcW w:w="0" w:type="auto"/>
            <w:hideMark/>
          </w:tcPr>
          <w:p w14:paraId="26111B7B"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1.20%</w:t>
            </w:r>
          </w:p>
        </w:tc>
      </w:tr>
      <w:tr w:rsidR="00C20B12" w:rsidRPr="00C20B12" w14:paraId="25E62801" w14:textId="77777777" w:rsidTr="00FA535C">
        <w:tc>
          <w:tcPr>
            <w:tcW w:w="0" w:type="auto"/>
            <w:hideMark/>
          </w:tcPr>
          <w:p w14:paraId="42D069C2"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Inventory Management</w:t>
            </w:r>
          </w:p>
        </w:tc>
        <w:tc>
          <w:tcPr>
            <w:tcW w:w="0" w:type="auto"/>
            <w:hideMark/>
          </w:tcPr>
          <w:p w14:paraId="50761044"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13,500</w:t>
            </w:r>
          </w:p>
        </w:tc>
        <w:tc>
          <w:tcPr>
            <w:tcW w:w="0" w:type="auto"/>
            <w:hideMark/>
          </w:tcPr>
          <w:p w14:paraId="5C5AE3E8"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2.20%</w:t>
            </w:r>
          </w:p>
        </w:tc>
      </w:tr>
      <w:tr w:rsidR="00C20B12" w:rsidRPr="00C20B12" w14:paraId="455F06FE" w14:textId="77777777" w:rsidTr="00FA535C">
        <w:tc>
          <w:tcPr>
            <w:tcW w:w="0" w:type="auto"/>
            <w:hideMark/>
          </w:tcPr>
          <w:p w14:paraId="09997759"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Demand Forecasting</w:t>
            </w:r>
          </w:p>
        </w:tc>
        <w:tc>
          <w:tcPr>
            <w:tcW w:w="0" w:type="auto"/>
            <w:hideMark/>
          </w:tcPr>
          <w:p w14:paraId="5F8441A9"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10,000</w:t>
            </w:r>
          </w:p>
        </w:tc>
        <w:tc>
          <w:tcPr>
            <w:tcW w:w="0" w:type="auto"/>
            <w:hideMark/>
          </w:tcPr>
          <w:p w14:paraId="6FD7D04D"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1.70%</w:t>
            </w:r>
          </w:p>
        </w:tc>
      </w:tr>
      <w:tr w:rsidR="00C20B12" w:rsidRPr="00C20B12" w14:paraId="7D15BA2C" w14:textId="77777777" w:rsidTr="00FA535C">
        <w:tc>
          <w:tcPr>
            <w:tcW w:w="0" w:type="auto"/>
            <w:hideMark/>
          </w:tcPr>
          <w:p w14:paraId="699C2333"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Supplier &amp; Distribution</w:t>
            </w:r>
          </w:p>
        </w:tc>
        <w:tc>
          <w:tcPr>
            <w:tcW w:w="0" w:type="auto"/>
            <w:hideMark/>
          </w:tcPr>
          <w:p w14:paraId="25FF4F12"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16,900</w:t>
            </w:r>
          </w:p>
        </w:tc>
        <w:tc>
          <w:tcPr>
            <w:tcW w:w="0" w:type="auto"/>
            <w:hideMark/>
          </w:tcPr>
          <w:p w14:paraId="4E891C76"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2.60%</w:t>
            </w:r>
          </w:p>
        </w:tc>
      </w:tr>
      <w:tr w:rsidR="00C20B12" w:rsidRPr="00C20B12" w14:paraId="36057D4C" w14:textId="77777777" w:rsidTr="00FA535C">
        <w:tc>
          <w:tcPr>
            <w:tcW w:w="0" w:type="auto"/>
            <w:hideMark/>
          </w:tcPr>
          <w:p w14:paraId="45942BFC"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Financial Management</w:t>
            </w:r>
          </w:p>
        </w:tc>
        <w:tc>
          <w:tcPr>
            <w:tcW w:w="0" w:type="auto"/>
            <w:hideMark/>
          </w:tcPr>
          <w:p w14:paraId="60684214"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11,000</w:t>
            </w:r>
          </w:p>
        </w:tc>
        <w:tc>
          <w:tcPr>
            <w:tcW w:w="0" w:type="auto"/>
            <w:hideMark/>
          </w:tcPr>
          <w:p w14:paraId="1ABBE9CF"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1.90%</w:t>
            </w:r>
          </w:p>
        </w:tc>
      </w:tr>
      <w:tr w:rsidR="00C20B12" w:rsidRPr="00C20B12" w14:paraId="14A969A8" w14:textId="77777777" w:rsidTr="00FA535C">
        <w:tc>
          <w:tcPr>
            <w:tcW w:w="0" w:type="auto"/>
            <w:hideMark/>
          </w:tcPr>
          <w:p w14:paraId="0BA490F3"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Monitoring &amp; Reporting</w:t>
            </w:r>
          </w:p>
        </w:tc>
        <w:tc>
          <w:tcPr>
            <w:tcW w:w="0" w:type="auto"/>
            <w:hideMark/>
          </w:tcPr>
          <w:p w14:paraId="43596091"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3,000</w:t>
            </w:r>
          </w:p>
        </w:tc>
        <w:tc>
          <w:tcPr>
            <w:tcW w:w="0" w:type="auto"/>
            <w:hideMark/>
          </w:tcPr>
          <w:p w14:paraId="56DA6D8C"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0.50%</w:t>
            </w:r>
          </w:p>
        </w:tc>
      </w:tr>
      <w:tr w:rsidR="00C20B12" w:rsidRPr="00C20B12" w14:paraId="1BBC74E9" w14:textId="77777777" w:rsidTr="00FA535C">
        <w:tc>
          <w:tcPr>
            <w:tcW w:w="0" w:type="auto"/>
            <w:hideMark/>
          </w:tcPr>
          <w:p w14:paraId="424704AF"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Technology Integration</w:t>
            </w:r>
          </w:p>
        </w:tc>
        <w:tc>
          <w:tcPr>
            <w:tcW w:w="0" w:type="auto"/>
            <w:hideMark/>
          </w:tcPr>
          <w:p w14:paraId="398B7F52"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7,500</w:t>
            </w:r>
          </w:p>
        </w:tc>
        <w:tc>
          <w:tcPr>
            <w:tcW w:w="0" w:type="auto"/>
            <w:hideMark/>
          </w:tcPr>
          <w:p w14:paraId="37A04D26"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1.30%</w:t>
            </w:r>
          </w:p>
        </w:tc>
      </w:tr>
      <w:tr w:rsidR="00C20B12" w:rsidRPr="00C20B12" w14:paraId="0DCA50EB" w14:textId="77777777" w:rsidTr="00FA535C">
        <w:tc>
          <w:tcPr>
            <w:tcW w:w="0" w:type="auto"/>
            <w:hideMark/>
          </w:tcPr>
          <w:p w14:paraId="27DDDAC6"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Communication &amp; Coordination</w:t>
            </w:r>
          </w:p>
        </w:tc>
        <w:tc>
          <w:tcPr>
            <w:tcW w:w="0" w:type="auto"/>
            <w:hideMark/>
          </w:tcPr>
          <w:p w14:paraId="051EA664"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9,500</w:t>
            </w:r>
          </w:p>
        </w:tc>
        <w:tc>
          <w:tcPr>
            <w:tcW w:w="0" w:type="auto"/>
            <w:hideMark/>
          </w:tcPr>
          <w:p w14:paraId="03E1F03F"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1.60%</w:t>
            </w:r>
          </w:p>
        </w:tc>
      </w:tr>
      <w:tr w:rsidR="00C20B12" w:rsidRPr="00C20B12" w14:paraId="0BADE6CE" w14:textId="77777777" w:rsidTr="00FA535C">
        <w:tc>
          <w:tcPr>
            <w:tcW w:w="0" w:type="auto"/>
            <w:hideMark/>
          </w:tcPr>
          <w:p w14:paraId="258F0B68"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Storage Practice Inefficiency</w:t>
            </w:r>
          </w:p>
        </w:tc>
        <w:tc>
          <w:tcPr>
            <w:tcW w:w="0" w:type="auto"/>
            <w:hideMark/>
          </w:tcPr>
          <w:p w14:paraId="7BB56BEB"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1,500</w:t>
            </w:r>
          </w:p>
        </w:tc>
        <w:tc>
          <w:tcPr>
            <w:tcW w:w="0" w:type="auto"/>
            <w:hideMark/>
          </w:tcPr>
          <w:p w14:paraId="79FA2016"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0.30%</w:t>
            </w:r>
          </w:p>
        </w:tc>
      </w:tr>
      <w:tr w:rsidR="00C20B12" w:rsidRPr="00C20B12" w14:paraId="18A9FF28" w14:textId="77777777" w:rsidTr="00FA535C">
        <w:tc>
          <w:tcPr>
            <w:tcW w:w="0" w:type="auto"/>
            <w:hideMark/>
          </w:tcPr>
          <w:p w14:paraId="297C1539"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Dispensing Inefficiency</w:t>
            </w:r>
          </w:p>
        </w:tc>
        <w:tc>
          <w:tcPr>
            <w:tcW w:w="0" w:type="auto"/>
            <w:hideMark/>
          </w:tcPr>
          <w:p w14:paraId="184701E1"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2,000</w:t>
            </w:r>
          </w:p>
        </w:tc>
        <w:tc>
          <w:tcPr>
            <w:tcW w:w="0" w:type="auto"/>
            <w:hideMark/>
          </w:tcPr>
          <w:p w14:paraId="771FC3DD"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0.40%</w:t>
            </w:r>
          </w:p>
        </w:tc>
      </w:tr>
      <w:tr w:rsidR="00C20B12" w:rsidRPr="00C20B12" w14:paraId="22078B5A" w14:textId="77777777" w:rsidTr="00FA535C">
        <w:tc>
          <w:tcPr>
            <w:tcW w:w="0" w:type="auto"/>
            <w:hideMark/>
          </w:tcPr>
          <w:p w14:paraId="4CAE5D66"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b/>
                <w:bCs/>
                <w:sz w:val="36"/>
                <w:szCs w:val="36"/>
              </w:rPr>
              <w:t>Total</w:t>
            </w:r>
          </w:p>
        </w:tc>
        <w:tc>
          <w:tcPr>
            <w:tcW w:w="0" w:type="auto"/>
            <w:hideMark/>
          </w:tcPr>
          <w:p w14:paraId="5841F0EA"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b/>
                <w:bCs/>
                <w:sz w:val="36"/>
                <w:szCs w:val="36"/>
              </w:rPr>
              <w:t>81,900</w:t>
            </w:r>
          </w:p>
        </w:tc>
        <w:tc>
          <w:tcPr>
            <w:tcW w:w="0" w:type="auto"/>
            <w:hideMark/>
          </w:tcPr>
          <w:p w14:paraId="74C41932"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b/>
                <w:bCs/>
                <w:sz w:val="36"/>
                <w:szCs w:val="36"/>
              </w:rPr>
              <w:t>13.00%</w:t>
            </w:r>
          </w:p>
        </w:tc>
      </w:tr>
    </w:tbl>
    <w:p w14:paraId="1679BCA9" w14:textId="77777777" w:rsidR="00C20B12" w:rsidRDefault="009140D6" w:rsidP="00C20B12">
      <w:pPr>
        <w:spacing w:after="0" w:line="240" w:lineRule="auto"/>
        <w:rPr>
          <w:rFonts w:ascii="Rockwell" w:eastAsia="Times New Roman" w:hAnsi="Rockwell" w:cs="Times New Roman"/>
          <w:sz w:val="36"/>
          <w:szCs w:val="36"/>
        </w:rPr>
      </w:pPr>
      <w:r>
        <w:rPr>
          <w:rFonts w:ascii="Rockwell" w:eastAsia="Times New Roman" w:hAnsi="Rockwell" w:cs="Times New Roman"/>
          <w:sz w:val="36"/>
          <w:szCs w:val="36"/>
        </w:rPr>
        <w:pict w14:anchorId="083BDDDD">
          <v:rect id="_x0000_i1040" style="width:0;height:1.5pt" o:hralign="center" o:bullet="t" o:hrstd="t" o:hr="t" fillcolor="#a0a0a0" stroked="f"/>
        </w:pict>
      </w:r>
    </w:p>
    <w:p w14:paraId="18F0CCAA" w14:textId="268DBE29" w:rsidR="006F4810" w:rsidRDefault="006F4810" w:rsidP="00C20B12">
      <w:pPr>
        <w:spacing w:after="0" w:line="240" w:lineRule="auto"/>
        <w:rPr>
          <w:rFonts w:ascii="Rockwell" w:eastAsia="Times New Roman" w:hAnsi="Rockwell" w:cs="Times New Roman"/>
          <w:sz w:val="36"/>
          <w:szCs w:val="36"/>
        </w:rPr>
      </w:pPr>
    </w:p>
    <w:p w14:paraId="26C4F740" w14:textId="6D4E093F" w:rsidR="00A848E4" w:rsidRDefault="00A848E4" w:rsidP="00C20B12">
      <w:pPr>
        <w:spacing w:after="0" w:line="240" w:lineRule="auto"/>
        <w:rPr>
          <w:rFonts w:ascii="Rockwell" w:eastAsia="Times New Roman" w:hAnsi="Rockwell" w:cs="Times New Roman"/>
          <w:sz w:val="36"/>
          <w:szCs w:val="36"/>
        </w:rPr>
      </w:pPr>
    </w:p>
    <w:p w14:paraId="65C59C29" w14:textId="77777777" w:rsidR="00A848E4" w:rsidRDefault="00A848E4" w:rsidP="00C20B12">
      <w:pPr>
        <w:spacing w:after="0" w:line="240" w:lineRule="auto"/>
        <w:rPr>
          <w:rFonts w:ascii="Rockwell" w:eastAsia="Times New Roman" w:hAnsi="Rockwell" w:cs="Times New Roman"/>
          <w:sz w:val="36"/>
          <w:szCs w:val="36"/>
        </w:rPr>
      </w:pPr>
    </w:p>
    <w:p w14:paraId="0A44E83F" w14:textId="43AAADD0" w:rsidR="006F4810" w:rsidRDefault="006F4810" w:rsidP="00C20B12">
      <w:pPr>
        <w:spacing w:after="0" w:line="240" w:lineRule="auto"/>
        <w:rPr>
          <w:rFonts w:ascii="Rockwell" w:eastAsia="Times New Roman" w:hAnsi="Rockwell" w:cs="Times New Roman"/>
          <w:sz w:val="36"/>
          <w:szCs w:val="36"/>
        </w:rPr>
      </w:pPr>
    </w:p>
    <w:p w14:paraId="05DAE84C" w14:textId="46BB9433" w:rsidR="006F4810" w:rsidRDefault="006F4810" w:rsidP="00C20B12">
      <w:pPr>
        <w:spacing w:after="0" w:line="240" w:lineRule="auto"/>
        <w:rPr>
          <w:rFonts w:ascii="Rockwell" w:eastAsia="Times New Roman" w:hAnsi="Rockwell" w:cs="Times New Roman"/>
          <w:sz w:val="36"/>
          <w:szCs w:val="36"/>
        </w:rPr>
      </w:pPr>
      <w:r>
        <w:rPr>
          <w:rFonts w:ascii="Rockwell" w:eastAsia="Times New Roman" w:hAnsi="Rockwell" w:cs="Times New Roman"/>
          <w:sz w:val="36"/>
          <w:szCs w:val="36"/>
        </w:rPr>
        <w:t>Figure 1: Supply chain inefficiency rate – Quarter 4,2015EC</w:t>
      </w:r>
    </w:p>
    <w:p w14:paraId="253140B8" w14:textId="6D8CA4AA" w:rsidR="006F4810" w:rsidRDefault="006F4810" w:rsidP="00C20B12">
      <w:pPr>
        <w:spacing w:after="0" w:line="240" w:lineRule="auto"/>
        <w:rPr>
          <w:rFonts w:ascii="Rockwell" w:eastAsia="Times New Roman" w:hAnsi="Rockwell" w:cs="Times New Roman"/>
          <w:sz w:val="36"/>
          <w:szCs w:val="36"/>
        </w:rPr>
      </w:pPr>
    </w:p>
    <w:p w14:paraId="4795F515" w14:textId="0B4EBA46" w:rsidR="006F4810" w:rsidRDefault="006F4810" w:rsidP="00C20B12">
      <w:pPr>
        <w:spacing w:after="0" w:line="240" w:lineRule="auto"/>
        <w:rPr>
          <w:rFonts w:ascii="Rockwell" w:eastAsia="Times New Roman" w:hAnsi="Rockwell" w:cs="Times New Roman"/>
          <w:sz w:val="36"/>
          <w:szCs w:val="36"/>
        </w:rPr>
      </w:pPr>
      <w:r>
        <w:rPr>
          <w:noProof/>
        </w:rPr>
        <w:drawing>
          <wp:inline distT="0" distB="0" distL="0" distR="0" wp14:anchorId="664CC42D" wp14:editId="7DD42535">
            <wp:extent cx="5886450" cy="4343400"/>
            <wp:effectExtent l="0" t="0" r="0" b="0"/>
            <wp:docPr id="1" name="Chart 1">
              <a:extLst xmlns:a="http://schemas.openxmlformats.org/drawingml/2006/main">
                <a:ext uri="{FF2B5EF4-FFF2-40B4-BE49-F238E27FC236}">
                  <a16:creationId xmlns:a16="http://schemas.microsoft.com/office/drawing/2014/main" id="{82217A8E-B3E3-4432-A0F8-94425CBB17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0BF35C2" w14:textId="0F76AD9E" w:rsidR="006F4810" w:rsidRDefault="006F4810" w:rsidP="00C20B12">
      <w:pPr>
        <w:spacing w:after="0" w:line="240" w:lineRule="auto"/>
        <w:rPr>
          <w:rFonts w:ascii="Rockwell" w:eastAsia="Times New Roman" w:hAnsi="Rockwell" w:cs="Times New Roman"/>
          <w:sz w:val="36"/>
          <w:szCs w:val="36"/>
        </w:rPr>
      </w:pPr>
    </w:p>
    <w:p w14:paraId="56EF33E1" w14:textId="31A62265" w:rsidR="00EF1FCA" w:rsidRDefault="00EF1FCA" w:rsidP="00C20B12">
      <w:pPr>
        <w:spacing w:after="0" w:line="240" w:lineRule="auto"/>
        <w:rPr>
          <w:rFonts w:ascii="Rockwell" w:eastAsia="Times New Roman" w:hAnsi="Rockwell" w:cs="Times New Roman"/>
          <w:sz w:val="36"/>
          <w:szCs w:val="36"/>
        </w:rPr>
      </w:pPr>
    </w:p>
    <w:p w14:paraId="4D82467F" w14:textId="1DA020DE" w:rsidR="00EF1FCA" w:rsidRDefault="00EF1FCA" w:rsidP="00C20B12">
      <w:pPr>
        <w:spacing w:after="0" w:line="240" w:lineRule="auto"/>
        <w:rPr>
          <w:rFonts w:ascii="Rockwell" w:eastAsia="Times New Roman" w:hAnsi="Rockwell" w:cs="Times New Roman"/>
          <w:sz w:val="36"/>
          <w:szCs w:val="36"/>
        </w:rPr>
      </w:pPr>
    </w:p>
    <w:p w14:paraId="2319A2EA" w14:textId="41D3516C" w:rsidR="00EF1FCA" w:rsidRDefault="00EF1FCA" w:rsidP="00C20B12">
      <w:pPr>
        <w:spacing w:after="0" w:line="240" w:lineRule="auto"/>
        <w:rPr>
          <w:rFonts w:ascii="Rockwell" w:eastAsia="Times New Roman" w:hAnsi="Rockwell" w:cs="Times New Roman"/>
          <w:sz w:val="36"/>
          <w:szCs w:val="36"/>
        </w:rPr>
      </w:pPr>
    </w:p>
    <w:p w14:paraId="62E785F5" w14:textId="09CCCCF6" w:rsidR="00EF1FCA" w:rsidRDefault="00EF1FCA" w:rsidP="00C20B12">
      <w:pPr>
        <w:spacing w:after="0" w:line="240" w:lineRule="auto"/>
        <w:rPr>
          <w:rFonts w:ascii="Rockwell" w:eastAsia="Times New Roman" w:hAnsi="Rockwell" w:cs="Times New Roman"/>
          <w:sz w:val="36"/>
          <w:szCs w:val="36"/>
        </w:rPr>
      </w:pPr>
    </w:p>
    <w:p w14:paraId="10DFB371" w14:textId="21D7EDBD" w:rsidR="00EF1FCA" w:rsidRDefault="00EF1FCA" w:rsidP="00C20B12">
      <w:pPr>
        <w:spacing w:after="0" w:line="240" w:lineRule="auto"/>
        <w:rPr>
          <w:rFonts w:ascii="Rockwell" w:eastAsia="Times New Roman" w:hAnsi="Rockwell" w:cs="Times New Roman"/>
          <w:sz w:val="36"/>
          <w:szCs w:val="36"/>
        </w:rPr>
      </w:pPr>
    </w:p>
    <w:p w14:paraId="73C83B62" w14:textId="1AA72B9A" w:rsidR="00EF1FCA" w:rsidRDefault="00EF1FCA" w:rsidP="00C20B12">
      <w:pPr>
        <w:spacing w:after="0" w:line="240" w:lineRule="auto"/>
        <w:rPr>
          <w:rFonts w:ascii="Rockwell" w:eastAsia="Times New Roman" w:hAnsi="Rockwell" w:cs="Times New Roman"/>
          <w:sz w:val="36"/>
          <w:szCs w:val="36"/>
        </w:rPr>
      </w:pPr>
    </w:p>
    <w:p w14:paraId="1A406347" w14:textId="19F27332" w:rsidR="00EF1FCA" w:rsidRDefault="00EF1FCA" w:rsidP="00C20B12">
      <w:pPr>
        <w:spacing w:after="0" w:line="240" w:lineRule="auto"/>
        <w:rPr>
          <w:rFonts w:ascii="Rockwell" w:eastAsia="Times New Roman" w:hAnsi="Rockwell" w:cs="Times New Roman"/>
          <w:sz w:val="36"/>
          <w:szCs w:val="36"/>
        </w:rPr>
      </w:pPr>
    </w:p>
    <w:p w14:paraId="2402CFB5" w14:textId="77777777" w:rsidR="00EF1FCA" w:rsidRPr="00C20B12" w:rsidRDefault="00EF1FCA" w:rsidP="00C20B12">
      <w:pPr>
        <w:spacing w:after="0" w:line="240" w:lineRule="auto"/>
        <w:rPr>
          <w:rFonts w:ascii="Rockwell" w:eastAsia="Times New Roman" w:hAnsi="Rockwell" w:cs="Times New Roman"/>
          <w:sz w:val="36"/>
          <w:szCs w:val="36"/>
        </w:rPr>
      </w:pPr>
    </w:p>
    <w:p w14:paraId="57476560" w14:textId="6AB01E4E" w:rsidR="00C20B12" w:rsidRPr="00C20B12" w:rsidRDefault="00C20B12" w:rsidP="00C20B12">
      <w:pPr>
        <w:spacing w:before="100" w:beforeAutospacing="1" w:after="100" w:afterAutospacing="1" w:line="240" w:lineRule="auto"/>
        <w:outlineLvl w:val="2"/>
        <w:rPr>
          <w:rFonts w:ascii="Rockwell" w:eastAsia="Times New Roman" w:hAnsi="Rockwell" w:cs="Times New Roman"/>
          <w:b/>
          <w:bCs/>
          <w:sz w:val="36"/>
          <w:szCs w:val="36"/>
        </w:rPr>
      </w:pPr>
      <w:bookmarkStart w:id="11" w:name="_Toc202991383"/>
      <w:r w:rsidRPr="00C20B12">
        <w:rPr>
          <w:rFonts w:ascii="Rockwell" w:eastAsia="Times New Roman" w:hAnsi="Rockwell" w:cs="Times New Roman"/>
          <w:b/>
          <w:bCs/>
          <w:sz w:val="36"/>
          <w:szCs w:val="36"/>
        </w:rPr>
        <w:t>10. Action Plan</w:t>
      </w:r>
      <w:bookmarkEnd w:id="11"/>
    </w:p>
    <w:tbl>
      <w:tblPr>
        <w:tblStyle w:val="TableGrid"/>
        <w:tblW w:w="0" w:type="auto"/>
        <w:tblLook w:val="04A0" w:firstRow="1" w:lastRow="0" w:firstColumn="1" w:lastColumn="0" w:noHBand="0" w:noVBand="1"/>
      </w:tblPr>
      <w:tblGrid>
        <w:gridCol w:w="2182"/>
        <w:gridCol w:w="1786"/>
        <w:gridCol w:w="1837"/>
        <w:gridCol w:w="2125"/>
        <w:gridCol w:w="1420"/>
      </w:tblGrid>
      <w:tr w:rsidR="00C20B12" w:rsidRPr="00C20B12" w14:paraId="27FFB62D" w14:textId="77777777" w:rsidTr="00FA535C">
        <w:tc>
          <w:tcPr>
            <w:tcW w:w="0" w:type="auto"/>
            <w:hideMark/>
          </w:tcPr>
          <w:p w14:paraId="690906BD"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Category</w:t>
            </w:r>
          </w:p>
        </w:tc>
        <w:tc>
          <w:tcPr>
            <w:tcW w:w="0" w:type="auto"/>
            <w:hideMark/>
          </w:tcPr>
          <w:p w14:paraId="1A546BF6"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Identified Gap</w:t>
            </w:r>
          </w:p>
        </w:tc>
        <w:tc>
          <w:tcPr>
            <w:tcW w:w="0" w:type="auto"/>
            <w:hideMark/>
          </w:tcPr>
          <w:p w14:paraId="33BE740A"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Strategic Intervention</w:t>
            </w:r>
          </w:p>
        </w:tc>
        <w:tc>
          <w:tcPr>
            <w:tcW w:w="0" w:type="auto"/>
            <w:hideMark/>
          </w:tcPr>
          <w:p w14:paraId="2C767BE6"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Responsible Unit</w:t>
            </w:r>
          </w:p>
        </w:tc>
        <w:tc>
          <w:tcPr>
            <w:tcW w:w="0" w:type="auto"/>
            <w:hideMark/>
          </w:tcPr>
          <w:p w14:paraId="587BFF58"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Timeline</w:t>
            </w:r>
          </w:p>
        </w:tc>
      </w:tr>
      <w:tr w:rsidR="00C20B12" w:rsidRPr="00C20B12" w14:paraId="24DFEBC5" w14:textId="77777777" w:rsidTr="00FA535C">
        <w:tc>
          <w:tcPr>
            <w:tcW w:w="0" w:type="auto"/>
            <w:hideMark/>
          </w:tcPr>
          <w:p w14:paraId="17FCA2B5"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Inventory Management</w:t>
            </w:r>
          </w:p>
        </w:tc>
        <w:tc>
          <w:tcPr>
            <w:tcW w:w="0" w:type="auto"/>
            <w:hideMark/>
          </w:tcPr>
          <w:p w14:paraId="51FAC2BC"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EAPTS not used effectively</w:t>
            </w:r>
          </w:p>
        </w:tc>
        <w:tc>
          <w:tcPr>
            <w:tcW w:w="0" w:type="auto"/>
            <w:hideMark/>
          </w:tcPr>
          <w:p w14:paraId="1C0D7CFE"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EAPTS report review</w:t>
            </w:r>
          </w:p>
        </w:tc>
        <w:tc>
          <w:tcPr>
            <w:tcW w:w="0" w:type="auto"/>
            <w:hideMark/>
          </w:tcPr>
          <w:p w14:paraId="4C80D5D1"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Pharmacy Unit</w:t>
            </w:r>
          </w:p>
        </w:tc>
        <w:tc>
          <w:tcPr>
            <w:tcW w:w="0" w:type="auto"/>
            <w:hideMark/>
          </w:tcPr>
          <w:p w14:paraId="05979FF3"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Monthly</w:t>
            </w:r>
          </w:p>
        </w:tc>
      </w:tr>
      <w:tr w:rsidR="00C20B12" w:rsidRPr="00C20B12" w14:paraId="697C21CC" w14:textId="77777777" w:rsidTr="00FA535C">
        <w:tc>
          <w:tcPr>
            <w:tcW w:w="0" w:type="auto"/>
            <w:hideMark/>
          </w:tcPr>
          <w:p w14:paraId="3D64AAC6"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Procurement</w:t>
            </w:r>
          </w:p>
        </w:tc>
        <w:tc>
          <w:tcPr>
            <w:tcW w:w="0" w:type="auto"/>
            <w:hideMark/>
          </w:tcPr>
          <w:p w14:paraId="59F84F56"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No review cycles</w:t>
            </w:r>
          </w:p>
        </w:tc>
        <w:tc>
          <w:tcPr>
            <w:tcW w:w="0" w:type="auto"/>
            <w:hideMark/>
          </w:tcPr>
          <w:p w14:paraId="2608752E"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Monthly procurement process review</w:t>
            </w:r>
          </w:p>
        </w:tc>
        <w:tc>
          <w:tcPr>
            <w:tcW w:w="0" w:type="auto"/>
            <w:hideMark/>
          </w:tcPr>
          <w:p w14:paraId="2D841E82"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DTC</w:t>
            </w:r>
          </w:p>
        </w:tc>
        <w:tc>
          <w:tcPr>
            <w:tcW w:w="0" w:type="auto"/>
            <w:hideMark/>
          </w:tcPr>
          <w:p w14:paraId="40932EED"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Monthly</w:t>
            </w:r>
          </w:p>
        </w:tc>
      </w:tr>
      <w:tr w:rsidR="00C20B12" w:rsidRPr="00C20B12" w14:paraId="56D2D755" w14:textId="77777777" w:rsidTr="00FA535C">
        <w:tc>
          <w:tcPr>
            <w:tcW w:w="0" w:type="auto"/>
            <w:hideMark/>
          </w:tcPr>
          <w:p w14:paraId="5A2977EF"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Inventory Accuracy</w:t>
            </w:r>
          </w:p>
        </w:tc>
        <w:tc>
          <w:tcPr>
            <w:tcW w:w="0" w:type="auto"/>
            <w:hideMark/>
          </w:tcPr>
          <w:p w14:paraId="03EAEA17"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No audits</w:t>
            </w:r>
          </w:p>
        </w:tc>
        <w:tc>
          <w:tcPr>
            <w:tcW w:w="0" w:type="auto"/>
            <w:hideMark/>
          </w:tcPr>
          <w:p w14:paraId="662314CC"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Quarterly stock audits</w:t>
            </w:r>
          </w:p>
        </w:tc>
        <w:tc>
          <w:tcPr>
            <w:tcW w:w="0" w:type="auto"/>
            <w:hideMark/>
          </w:tcPr>
          <w:p w14:paraId="6AE1C8E6"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DTC/Pharmacy</w:t>
            </w:r>
          </w:p>
        </w:tc>
        <w:tc>
          <w:tcPr>
            <w:tcW w:w="0" w:type="auto"/>
            <w:hideMark/>
          </w:tcPr>
          <w:p w14:paraId="72E503E2"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Quarterly</w:t>
            </w:r>
          </w:p>
        </w:tc>
      </w:tr>
      <w:tr w:rsidR="00C20B12" w:rsidRPr="00C20B12" w14:paraId="141E4C28" w14:textId="77777777" w:rsidTr="00FA535C">
        <w:tc>
          <w:tcPr>
            <w:tcW w:w="0" w:type="auto"/>
            <w:hideMark/>
          </w:tcPr>
          <w:p w14:paraId="719BB6CF"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Supplier Communication</w:t>
            </w:r>
          </w:p>
        </w:tc>
        <w:tc>
          <w:tcPr>
            <w:tcW w:w="0" w:type="auto"/>
            <w:hideMark/>
          </w:tcPr>
          <w:p w14:paraId="7DC128B8"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Poor engagement</w:t>
            </w:r>
          </w:p>
        </w:tc>
        <w:tc>
          <w:tcPr>
            <w:tcW w:w="0" w:type="auto"/>
            <w:hideMark/>
          </w:tcPr>
          <w:p w14:paraId="76440F0E"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Supplier roundtables</w:t>
            </w:r>
          </w:p>
        </w:tc>
        <w:tc>
          <w:tcPr>
            <w:tcW w:w="0" w:type="auto"/>
            <w:hideMark/>
          </w:tcPr>
          <w:p w14:paraId="2C0281CD"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Procurement Office</w:t>
            </w:r>
          </w:p>
        </w:tc>
        <w:tc>
          <w:tcPr>
            <w:tcW w:w="0" w:type="auto"/>
            <w:hideMark/>
          </w:tcPr>
          <w:p w14:paraId="773A56BB"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Bi-annually</w:t>
            </w:r>
          </w:p>
        </w:tc>
      </w:tr>
      <w:tr w:rsidR="00C20B12" w:rsidRPr="00C20B12" w14:paraId="06CBF602" w14:textId="77777777" w:rsidTr="00FA535C">
        <w:tc>
          <w:tcPr>
            <w:tcW w:w="0" w:type="auto"/>
            <w:hideMark/>
          </w:tcPr>
          <w:p w14:paraId="695C56B2"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Staff Capacity</w:t>
            </w:r>
          </w:p>
        </w:tc>
        <w:tc>
          <w:tcPr>
            <w:tcW w:w="0" w:type="auto"/>
            <w:hideMark/>
          </w:tcPr>
          <w:p w14:paraId="1676E566"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Low awareness</w:t>
            </w:r>
          </w:p>
        </w:tc>
        <w:tc>
          <w:tcPr>
            <w:tcW w:w="0" w:type="auto"/>
            <w:hideMark/>
          </w:tcPr>
          <w:p w14:paraId="6A4B41C2"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Staff training workshops</w:t>
            </w:r>
          </w:p>
        </w:tc>
        <w:tc>
          <w:tcPr>
            <w:tcW w:w="0" w:type="auto"/>
            <w:hideMark/>
          </w:tcPr>
          <w:p w14:paraId="6426A929"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SMT/DTC</w:t>
            </w:r>
          </w:p>
        </w:tc>
        <w:tc>
          <w:tcPr>
            <w:tcW w:w="0" w:type="auto"/>
            <w:hideMark/>
          </w:tcPr>
          <w:p w14:paraId="3A346323"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Quarterly</w:t>
            </w:r>
          </w:p>
        </w:tc>
      </w:tr>
      <w:tr w:rsidR="00C20B12" w:rsidRPr="00C20B12" w14:paraId="6C8BB842" w14:textId="77777777" w:rsidTr="00FA535C">
        <w:tc>
          <w:tcPr>
            <w:tcW w:w="0" w:type="auto"/>
            <w:hideMark/>
          </w:tcPr>
          <w:p w14:paraId="59A9585B"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Emergency Response</w:t>
            </w:r>
          </w:p>
        </w:tc>
        <w:tc>
          <w:tcPr>
            <w:tcW w:w="0" w:type="auto"/>
            <w:hideMark/>
          </w:tcPr>
          <w:p w14:paraId="50AF8CA6"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Delays in urgent requests</w:t>
            </w:r>
          </w:p>
        </w:tc>
        <w:tc>
          <w:tcPr>
            <w:tcW w:w="0" w:type="auto"/>
            <w:hideMark/>
          </w:tcPr>
          <w:p w14:paraId="79B3A43A"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Emergency SOP</w:t>
            </w:r>
          </w:p>
        </w:tc>
        <w:tc>
          <w:tcPr>
            <w:tcW w:w="0" w:type="auto"/>
            <w:hideMark/>
          </w:tcPr>
          <w:p w14:paraId="7BB042CC"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DTC</w:t>
            </w:r>
          </w:p>
        </w:tc>
        <w:tc>
          <w:tcPr>
            <w:tcW w:w="0" w:type="auto"/>
            <w:hideMark/>
          </w:tcPr>
          <w:p w14:paraId="33FF8485" w14:textId="77777777" w:rsidR="00C20B12" w:rsidRPr="00C20B12" w:rsidRDefault="00C20B12" w:rsidP="00C20B12">
            <w:pPr>
              <w:rPr>
                <w:rFonts w:ascii="Rockwell" w:eastAsia="Times New Roman" w:hAnsi="Rockwell" w:cs="Times New Roman"/>
                <w:sz w:val="36"/>
                <w:szCs w:val="36"/>
              </w:rPr>
            </w:pPr>
            <w:r w:rsidRPr="00C20B12">
              <w:rPr>
                <w:rFonts w:ascii="Rockwell" w:eastAsia="Times New Roman" w:hAnsi="Rockwell" w:cs="Times New Roman"/>
                <w:sz w:val="36"/>
                <w:szCs w:val="36"/>
              </w:rPr>
              <w:t>1 Month</w:t>
            </w:r>
          </w:p>
        </w:tc>
      </w:tr>
    </w:tbl>
    <w:p w14:paraId="663CE705" w14:textId="77777777" w:rsidR="000B26F3" w:rsidRPr="000B26F3" w:rsidRDefault="000B26F3" w:rsidP="000B26F3">
      <w:pPr>
        <w:spacing w:after="0" w:line="240" w:lineRule="auto"/>
        <w:rPr>
          <w:rFonts w:ascii="Rockwell" w:eastAsia="Times New Roman" w:hAnsi="Rockwell" w:cs="Times New Roman"/>
          <w:sz w:val="36"/>
          <w:szCs w:val="36"/>
        </w:rPr>
      </w:pPr>
    </w:p>
    <w:p w14:paraId="7CFF4E1D" w14:textId="77777777" w:rsidR="00C20B12" w:rsidRPr="000B26F3" w:rsidRDefault="00C20B12" w:rsidP="000B26F3">
      <w:pPr>
        <w:pStyle w:val="ListParagraph"/>
        <w:numPr>
          <w:ilvl w:val="0"/>
          <w:numId w:val="11"/>
        </w:numPr>
        <w:spacing w:before="100" w:beforeAutospacing="1" w:after="100" w:afterAutospacing="1" w:line="240" w:lineRule="auto"/>
        <w:outlineLvl w:val="2"/>
        <w:rPr>
          <w:rFonts w:ascii="Rockwell" w:eastAsia="Times New Roman" w:hAnsi="Rockwell" w:cs="Times New Roman"/>
          <w:b/>
          <w:bCs/>
          <w:sz w:val="36"/>
          <w:szCs w:val="36"/>
        </w:rPr>
      </w:pPr>
      <w:bookmarkStart w:id="12" w:name="_Toc202991384"/>
      <w:r w:rsidRPr="000B26F3">
        <w:rPr>
          <w:rFonts w:ascii="Rockwell" w:eastAsia="Times New Roman" w:hAnsi="Rockwell" w:cs="Times New Roman"/>
          <w:b/>
          <w:bCs/>
          <w:sz w:val="36"/>
          <w:szCs w:val="36"/>
        </w:rPr>
        <w:t>11. Recommendations and Utilization Plan</w:t>
      </w:r>
      <w:bookmarkEnd w:id="12"/>
    </w:p>
    <w:p w14:paraId="69649D94" w14:textId="77777777" w:rsidR="00C20B12" w:rsidRPr="00C20B12" w:rsidRDefault="00C20B12" w:rsidP="00C20B12">
      <w:pPr>
        <w:numPr>
          <w:ilvl w:val="0"/>
          <w:numId w:val="8"/>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b/>
          <w:bCs/>
          <w:sz w:val="36"/>
          <w:szCs w:val="36"/>
        </w:rPr>
        <w:t>Policy Standardization:</w:t>
      </w:r>
      <w:r w:rsidRPr="00C20B12">
        <w:rPr>
          <w:rFonts w:ascii="Rockwell" w:eastAsia="Times New Roman" w:hAnsi="Rockwell" w:cs="Times New Roman"/>
          <w:sz w:val="36"/>
          <w:szCs w:val="36"/>
        </w:rPr>
        <w:t xml:space="preserve"> Enforce procurement policy adherence.</w:t>
      </w:r>
    </w:p>
    <w:p w14:paraId="53FE1819" w14:textId="77777777" w:rsidR="00C20B12" w:rsidRPr="00C20B12" w:rsidRDefault="00C20B12" w:rsidP="00C20B12">
      <w:pPr>
        <w:numPr>
          <w:ilvl w:val="0"/>
          <w:numId w:val="8"/>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b/>
          <w:bCs/>
          <w:sz w:val="36"/>
          <w:szCs w:val="36"/>
        </w:rPr>
        <w:t>Inventory Optimization:</w:t>
      </w:r>
      <w:r w:rsidRPr="00C20B12">
        <w:rPr>
          <w:rFonts w:ascii="Rockwell" w:eastAsia="Times New Roman" w:hAnsi="Rockwell" w:cs="Times New Roman"/>
          <w:sz w:val="36"/>
          <w:szCs w:val="36"/>
        </w:rPr>
        <w:t xml:space="preserve"> Utilize EAPTS and conduct routine stock audits.</w:t>
      </w:r>
    </w:p>
    <w:p w14:paraId="55EF4F0C" w14:textId="77777777" w:rsidR="00C20B12" w:rsidRPr="00C20B12" w:rsidRDefault="00C20B12" w:rsidP="00C20B12">
      <w:pPr>
        <w:numPr>
          <w:ilvl w:val="0"/>
          <w:numId w:val="8"/>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b/>
          <w:bCs/>
          <w:sz w:val="36"/>
          <w:szCs w:val="36"/>
        </w:rPr>
        <w:t>Forecasting Improvement:</w:t>
      </w:r>
      <w:r w:rsidRPr="00C20B12">
        <w:rPr>
          <w:rFonts w:ascii="Rockwell" w:eastAsia="Times New Roman" w:hAnsi="Rockwell" w:cs="Times New Roman"/>
          <w:sz w:val="36"/>
          <w:szCs w:val="36"/>
        </w:rPr>
        <w:t xml:space="preserve"> Integrate historical usage with EAPTS data.</w:t>
      </w:r>
    </w:p>
    <w:p w14:paraId="58B862A3" w14:textId="77777777" w:rsidR="00C20B12" w:rsidRPr="00C20B12" w:rsidRDefault="00C20B12" w:rsidP="00C20B12">
      <w:pPr>
        <w:numPr>
          <w:ilvl w:val="0"/>
          <w:numId w:val="8"/>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b/>
          <w:bCs/>
          <w:sz w:val="36"/>
          <w:szCs w:val="36"/>
        </w:rPr>
        <w:t>Vendor Performance:</w:t>
      </w:r>
      <w:r w:rsidRPr="00C20B12">
        <w:rPr>
          <w:rFonts w:ascii="Rockwell" w:eastAsia="Times New Roman" w:hAnsi="Rockwell" w:cs="Times New Roman"/>
          <w:sz w:val="36"/>
          <w:szCs w:val="36"/>
        </w:rPr>
        <w:t xml:space="preserve"> Review supplier compliance regularly.</w:t>
      </w:r>
    </w:p>
    <w:p w14:paraId="34ACFAE8" w14:textId="77777777" w:rsidR="00C20B12" w:rsidRPr="00C20B12" w:rsidRDefault="00C20B12" w:rsidP="00C20B12">
      <w:pPr>
        <w:numPr>
          <w:ilvl w:val="0"/>
          <w:numId w:val="8"/>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b/>
          <w:bCs/>
          <w:sz w:val="36"/>
          <w:szCs w:val="36"/>
        </w:rPr>
        <w:t>Monitoring Framework:</w:t>
      </w:r>
      <w:r w:rsidRPr="00C20B12">
        <w:rPr>
          <w:rFonts w:ascii="Rockwell" w:eastAsia="Times New Roman" w:hAnsi="Rockwell" w:cs="Times New Roman"/>
          <w:sz w:val="36"/>
          <w:szCs w:val="36"/>
        </w:rPr>
        <w:t xml:space="preserve"> Establish key KPIs across functions.</w:t>
      </w:r>
    </w:p>
    <w:p w14:paraId="6B225B23" w14:textId="77777777" w:rsidR="00C20B12" w:rsidRPr="00C20B12" w:rsidRDefault="00C20B12" w:rsidP="00C20B12">
      <w:pPr>
        <w:numPr>
          <w:ilvl w:val="0"/>
          <w:numId w:val="8"/>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b/>
          <w:bCs/>
          <w:sz w:val="36"/>
          <w:szCs w:val="36"/>
        </w:rPr>
        <w:t>Technology Use:</w:t>
      </w:r>
      <w:r w:rsidRPr="00C20B12">
        <w:rPr>
          <w:rFonts w:ascii="Rockwell" w:eastAsia="Times New Roman" w:hAnsi="Rockwell" w:cs="Times New Roman"/>
          <w:sz w:val="36"/>
          <w:szCs w:val="36"/>
        </w:rPr>
        <w:t xml:space="preserve"> Increase digital inventory tool application.</w:t>
      </w:r>
    </w:p>
    <w:p w14:paraId="200F4B26" w14:textId="77777777" w:rsidR="00C20B12" w:rsidRPr="00C20B12" w:rsidRDefault="00C20B12" w:rsidP="00C20B12">
      <w:pPr>
        <w:numPr>
          <w:ilvl w:val="0"/>
          <w:numId w:val="8"/>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b/>
          <w:bCs/>
          <w:sz w:val="36"/>
          <w:szCs w:val="36"/>
        </w:rPr>
        <w:t>Cross-Department Collaboration:</w:t>
      </w:r>
      <w:r w:rsidRPr="00C20B12">
        <w:rPr>
          <w:rFonts w:ascii="Rockwell" w:eastAsia="Times New Roman" w:hAnsi="Rockwell" w:cs="Times New Roman"/>
          <w:sz w:val="36"/>
          <w:szCs w:val="36"/>
        </w:rPr>
        <w:t xml:space="preserve"> Enable real-time communication.</w:t>
      </w:r>
    </w:p>
    <w:p w14:paraId="05C2A6FB" w14:textId="77777777" w:rsidR="00C20B12" w:rsidRPr="00C20B12" w:rsidRDefault="00C20B12" w:rsidP="00C20B12">
      <w:pPr>
        <w:numPr>
          <w:ilvl w:val="0"/>
          <w:numId w:val="8"/>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b/>
          <w:bCs/>
          <w:sz w:val="36"/>
          <w:szCs w:val="36"/>
        </w:rPr>
        <w:t>Utilization Plan:</w:t>
      </w:r>
      <w:r w:rsidRPr="00C20B12">
        <w:rPr>
          <w:rFonts w:ascii="Rockwell" w:eastAsia="Times New Roman" w:hAnsi="Rockwell" w:cs="Times New Roman"/>
          <w:sz w:val="36"/>
          <w:szCs w:val="36"/>
        </w:rPr>
        <w:t xml:space="preserve"> Fully adopt inventory tools already in place and automate alerts.</w:t>
      </w:r>
    </w:p>
    <w:p w14:paraId="178CAB2D" w14:textId="77777777" w:rsidR="00C20B12" w:rsidRPr="00C20B12" w:rsidRDefault="009140D6" w:rsidP="00C20B12">
      <w:pPr>
        <w:spacing w:after="0" w:line="240" w:lineRule="auto"/>
        <w:rPr>
          <w:rFonts w:ascii="Rockwell" w:eastAsia="Times New Roman" w:hAnsi="Rockwell" w:cs="Times New Roman"/>
          <w:sz w:val="36"/>
          <w:szCs w:val="36"/>
        </w:rPr>
      </w:pPr>
      <w:r>
        <w:rPr>
          <w:rFonts w:ascii="Rockwell" w:eastAsia="Times New Roman" w:hAnsi="Rockwell" w:cs="Times New Roman"/>
          <w:sz w:val="36"/>
          <w:szCs w:val="36"/>
        </w:rPr>
        <w:pict w14:anchorId="534684CA">
          <v:rect id="_x0000_i1041" style="width:0;height:1.5pt" o:hralign="center" o:hrstd="t" o:hr="t" fillcolor="#a0a0a0" stroked="f"/>
        </w:pict>
      </w:r>
    </w:p>
    <w:p w14:paraId="0A8F9579" w14:textId="77777777" w:rsidR="00C20B12" w:rsidRPr="00C20B12" w:rsidRDefault="00C20B12" w:rsidP="00C20B12">
      <w:pPr>
        <w:spacing w:before="100" w:beforeAutospacing="1" w:after="100" w:afterAutospacing="1" w:line="240" w:lineRule="auto"/>
        <w:outlineLvl w:val="2"/>
        <w:rPr>
          <w:rFonts w:ascii="Rockwell" w:eastAsia="Times New Roman" w:hAnsi="Rockwell" w:cs="Times New Roman"/>
          <w:b/>
          <w:bCs/>
          <w:sz w:val="36"/>
          <w:szCs w:val="36"/>
        </w:rPr>
      </w:pPr>
      <w:bookmarkStart w:id="13" w:name="_Toc202991385"/>
      <w:r w:rsidRPr="00C20B12">
        <w:rPr>
          <w:rFonts w:ascii="Rockwell" w:eastAsia="Times New Roman" w:hAnsi="Rockwell" w:cs="Times New Roman"/>
          <w:b/>
          <w:bCs/>
          <w:sz w:val="36"/>
          <w:szCs w:val="36"/>
        </w:rPr>
        <w:t>12. Conclusion</w:t>
      </w:r>
      <w:bookmarkEnd w:id="13"/>
    </w:p>
    <w:p w14:paraId="4165F84E" w14:textId="77777777" w:rsidR="00C20B12" w:rsidRPr="00C20B12" w:rsidRDefault="00C20B12" w:rsidP="00C20B12">
      <w:p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sz w:val="36"/>
          <w:szCs w:val="36"/>
        </w:rPr>
        <w:t xml:space="preserve">The assessment identified a 13% supply chain inefficiency rate at </w:t>
      </w:r>
      <w:proofErr w:type="spellStart"/>
      <w:r w:rsidRPr="00C20B12">
        <w:rPr>
          <w:rFonts w:ascii="Rockwell" w:eastAsia="Times New Roman" w:hAnsi="Rockwell" w:cs="Times New Roman"/>
          <w:sz w:val="36"/>
          <w:szCs w:val="36"/>
        </w:rPr>
        <w:t>Deder</w:t>
      </w:r>
      <w:proofErr w:type="spellEnd"/>
      <w:r w:rsidRPr="00C20B12">
        <w:rPr>
          <w:rFonts w:ascii="Rockwell" w:eastAsia="Times New Roman" w:hAnsi="Rockwell" w:cs="Times New Roman"/>
          <w:sz w:val="36"/>
          <w:szCs w:val="36"/>
        </w:rPr>
        <w:t xml:space="preserve"> General Hospital. Although the previous action plan improved some processes, further refinement is required. Focused leadership, structured follow-up, and enhanced tool utilization will be essential in closing the remaining gaps.</w:t>
      </w:r>
    </w:p>
    <w:p w14:paraId="1193950A" w14:textId="506D0230" w:rsidR="00B21FCF" w:rsidRDefault="00B21FCF" w:rsidP="00B21FCF">
      <w:pPr>
        <w:spacing w:after="0" w:line="240" w:lineRule="auto"/>
        <w:rPr>
          <w:rFonts w:ascii="Rockwell" w:eastAsia="Times New Roman" w:hAnsi="Rockwell" w:cs="Times New Roman"/>
          <w:sz w:val="36"/>
          <w:szCs w:val="36"/>
        </w:rPr>
      </w:pPr>
    </w:p>
    <w:p w14:paraId="00F9BBD7" w14:textId="77777777" w:rsidR="00B21FCF" w:rsidRPr="00B21FCF" w:rsidRDefault="00B21FCF" w:rsidP="00B21FCF">
      <w:pPr>
        <w:spacing w:after="0" w:line="240" w:lineRule="auto"/>
        <w:rPr>
          <w:rFonts w:ascii="Rockwell" w:eastAsia="Times New Roman" w:hAnsi="Rockwell" w:cs="Times New Roman"/>
          <w:sz w:val="36"/>
          <w:szCs w:val="36"/>
        </w:rPr>
      </w:pPr>
    </w:p>
    <w:p w14:paraId="4284544B" w14:textId="77777777" w:rsidR="00C20B12" w:rsidRPr="00B21FCF" w:rsidRDefault="00C20B12" w:rsidP="00B21FCF">
      <w:pPr>
        <w:pStyle w:val="ListParagraph"/>
        <w:numPr>
          <w:ilvl w:val="0"/>
          <w:numId w:val="10"/>
        </w:numPr>
        <w:spacing w:before="100" w:beforeAutospacing="1" w:after="100" w:afterAutospacing="1" w:line="240" w:lineRule="auto"/>
        <w:outlineLvl w:val="2"/>
        <w:rPr>
          <w:rFonts w:ascii="Rockwell" w:eastAsia="Times New Roman" w:hAnsi="Rockwell" w:cs="Times New Roman"/>
          <w:b/>
          <w:bCs/>
          <w:sz w:val="36"/>
          <w:szCs w:val="36"/>
        </w:rPr>
      </w:pPr>
      <w:bookmarkStart w:id="14" w:name="_Toc202991386"/>
      <w:r w:rsidRPr="00B21FCF">
        <w:rPr>
          <w:rFonts w:ascii="Rockwell" w:eastAsia="Times New Roman" w:hAnsi="Rockwell" w:cs="Times New Roman"/>
          <w:b/>
          <w:bCs/>
          <w:sz w:val="36"/>
          <w:szCs w:val="36"/>
        </w:rPr>
        <w:t>13. References</w:t>
      </w:r>
      <w:bookmarkEnd w:id="14"/>
    </w:p>
    <w:p w14:paraId="69A298FC" w14:textId="77777777" w:rsidR="00C20B12" w:rsidRPr="00C20B12" w:rsidRDefault="00C20B12" w:rsidP="00C20B12">
      <w:pPr>
        <w:numPr>
          <w:ilvl w:val="0"/>
          <w:numId w:val="9"/>
        </w:numPr>
        <w:spacing w:before="100" w:beforeAutospacing="1" w:after="100" w:afterAutospacing="1" w:line="240" w:lineRule="auto"/>
        <w:rPr>
          <w:rFonts w:ascii="Rockwell" w:eastAsia="Times New Roman" w:hAnsi="Rockwell" w:cs="Times New Roman"/>
          <w:sz w:val="36"/>
          <w:szCs w:val="36"/>
        </w:rPr>
      </w:pPr>
      <w:proofErr w:type="gramStart"/>
      <w:r w:rsidRPr="00C20B12">
        <w:rPr>
          <w:rFonts w:ascii="Rockwell" w:eastAsia="Times New Roman" w:hAnsi="Rockwell" w:cs="Times New Roman"/>
          <w:sz w:val="36"/>
          <w:szCs w:val="36"/>
        </w:rPr>
        <w:t>WHO.</w:t>
      </w:r>
      <w:proofErr w:type="gramEnd"/>
      <w:r w:rsidRPr="00C20B12">
        <w:rPr>
          <w:rFonts w:ascii="Rockwell" w:eastAsia="Times New Roman" w:hAnsi="Rockwell" w:cs="Times New Roman"/>
          <w:sz w:val="36"/>
          <w:szCs w:val="36"/>
        </w:rPr>
        <w:t xml:space="preserve"> (2017). </w:t>
      </w:r>
      <w:r w:rsidRPr="00C20B12">
        <w:rPr>
          <w:rFonts w:ascii="Rockwell" w:eastAsia="Times New Roman" w:hAnsi="Rockwell" w:cs="Times New Roman"/>
          <w:b/>
          <w:bCs/>
          <w:sz w:val="36"/>
          <w:szCs w:val="36"/>
        </w:rPr>
        <w:t>Health System Strengthening: Supply Chain Toolkit.</w:t>
      </w:r>
      <w:r w:rsidRPr="00C20B12">
        <w:rPr>
          <w:rFonts w:ascii="Rockwell" w:eastAsia="Times New Roman" w:hAnsi="Rockwell" w:cs="Times New Roman"/>
          <w:sz w:val="36"/>
          <w:szCs w:val="36"/>
        </w:rPr>
        <w:t xml:space="preserve"> Geneva: World Health Organization.</w:t>
      </w:r>
    </w:p>
    <w:p w14:paraId="1DD3F04A" w14:textId="77777777" w:rsidR="00C20B12" w:rsidRPr="00C20B12" w:rsidRDefault="00C20B12" w:rsidP="00C20B12">
      <w:pPr>
        <w:numPr>
          <w:ilvl w:val="0"/>
          <w:numId w:val="9"/>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sz w:val="36"/>
          <w:szCs w:val="36"/>
        </w:rPr>
        <w:t xml:space="preserve">USAID | DELIVER PROJECT. (2011). </w:t>
      </w:r>
      <w:r w:rsidRPr="00C20B12">
        <w:rPr>
          <w:rFonts w:ascii="Rockwell" w:eastAsia="Times New Roman" w:hAnsi="Rockwell" w:cs="Times New Roman"/>
          <w:b/>
          <w:bCs/>
          <w:sz w:val="36"/>
          <w:szCs w:val="36"/>
        </w:rPr>
        <w:t>Logistics Indicators Assessment Tool (LIAT)</w:t>
      </w:r>
      <w:r w:rsidRPr="00C20B12">
        <w:rPr>
          <w:rFonts w:ascii="Rockwell" w:eastAsia="Times New Roman" w:hAnsi="Rockwell" w:cs="Times New Roman"/>
          <w:sz w:val="36"/>
          <w:szCs w:val="36"/>
        </w:rPr>
        <w:t>.</w:t>
      </w:r>
    </w:p>
    <w:p w14:paraId="66B5FA35" w14:textId="77777777" w:rsidR="00C20B12" w:rsidRPr="00C20B12" w:rsidRDefault="00C20B12" w:rsidP="00C20B12">
      <w:pPr>
        <w:numPr>
          <w:ilvl w:val="0"/>
          <w:numId w:val="9"/>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sz w:val="36"/>
          <w:szCs w:val="36"/>
        </w:rPr>
        <w:t xml:space="preserve">Federal Ministry of Health Ethiopia. (2021). </w:t>
      </w:r>
      <w:r w:rsidRPr="00C20B12">
        <w:rPr>
          <w:rFonts w:ascii="Rockwell" w:eastAsia="Times New Roman" w:hAnsi="Rockwell" w:cs="Times New Roman"/>
          <w:b/>
          <w:bCs/>
          <w:sz w:val="36"/>
          <w:szCs w:val="36"/>
        </w:rPr>
        <w:t>Health Commodity Management Manual</w:t>
      </w:r>
      <w:r w:rsidRPr="00C20B12">
        <w:rPr>
          <w:rFonts w:ascii="Rockwell" w:eastAsia="Times New Roman" w:hAnsi="Rockwell" w:cs="Times New Roman"/>
          <w:sz w:val="36"/>
          <w:szCs w:val="36"/>
        </w:rPr>
        <w:t>.</w:t>
      </w:r>
    </w:p>
    <w:p w14:paraId="6E4CAD5A" w14:textId="77777777" w:rsidR="00C20B12" w:rsidRPr="00C20B12" w:rsidRDefault="00C20B12" w:rsidP="00C20B12">
      <w:pPr>
        <w:numPr>
          <w:ilvl w:val="0"/>
          <w:numId w:val="9"/>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sz w:val="36"/>
          <w:szCs w:val="36"/>
        </w:rPr>
        <w:t xml:space="preserve">UNICEF Supply Division. (2019). </w:t>
      </w:r>
      <w:r w:rsidRPr="00C20B12">
        <w:rPr>
          <w:rFonts w:ascii="Rockwell" w:eastAsia="Times New Roman" w:hAnsi="Rockwell" w:cs="Times New Roman"/>
          <w:b/>
          <w:bCs/>
          <w:sz w:val="36"/>
          <w:szCs w:val="36"/>
        </w:rPr>
        <w:t>Inventory Management Best Practices</w:t>
      </w:r>
      <w:r w:rsidRPr="00C20B12">
        <w:rPr>
          <w:rFonts w:ascii="Rockwell" w:eastAsia="Times New Roman" w:hAnsi="Rockwell" w:cs="Times New Roman"/>
          <w:sz w:val="36"/>
          <w:szCs w:val="36"/>
        </w:rPr>
        <w:t>.</w:t>
      </w:r>
    </w:p>
    <w:p w14:paraId="0EA33755" w14:textId="77777777" w:rsidR="00C20B12" w:rsidRPr="00C20B12" w:rsidRDefault="00C20B12" w:rsidP="00C20B12">
      <w:pPr>
        <w:numPr>
          <w:ilvl w:val="0"/>
          <w:numId w:val="9"/>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sz w:val="36"/>
          <w:szCs w:val="36"/>
        </w:rPr>
        <w:t xml:space="preserve">Management Sciences for Health (MSH). (2012). </w:t>
      </w:r>
      <w:r w:rsidRPr="00C20B12">
        <w:rPr>
          <w:rFonts w:ascii="Rockwell" w:eastAsia="Times New Roman" w:hAnsi="Rockwell" w:cs="Times New Roman"/>
          <w:b/>
          <w:bCs/>
          <w:sz w:val="36"/>
          <w:szCs w:val="36"/>
        </w:rPr>
        <w:t>Quantifying the Cost of Inefficiency in Public Health Supply Chains</w:t>
      </w:r>
      <w:r w:rsidRPr="00C20B12">
        <w:rPr>
          <w:rFonts w:ascii="Rockwell" w:eastAsia="Times New Roman" w:hAnsi="Rockwell" w:cs="Times New Roman"/>
          <w:sz w:val="36"/>
          <w:szCs w:val="36"/>
        </w:rPr>
        <w:t>.</w:t>
      </w:r>
    </w:p>
    <w:p w14:paraId="268E5F11" w14:textId="77777777" w:rsidR="00C20B12" w:rsidRPr="00C20B12" w:rsidRDefault="00C20B12" w:rsidP="00C20B12">
      <w:pPr>
        <w:numPr>
          <w:ilvl w:val="0"/>
          <w:numId w:val="9"/>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sz w:val="36"/>
          <w:szCs w:val="36"/>
        </w:rPr>
        <w:t xml:space="preserve">GS1. (2020). </w:t>
      </w:r>
      <w:r w:rsidRPr="00C20B12">
        <w:rPr>
          <w:rFonts w:ascii="Rockwell" w:eastAsia="Times New Roman" w:hAnsi="Rockwell" w:cs="Times New Roman"/>
          <w:b/>
          <w:bCs/>
          <w:sz w:val="36"/>
          <w:szCs w:val="36"/>
        </w:rPr>
        <w:t>Standards in Healthcare Supply Chains</w:t>
      </w:r>
      <w:r w:rsidRPr="00C20B12">
        <w:rPr>
          <w:rFonts w:ascii="Rockwell" w:eastAsia="Times New Roman" w:hAnsi="Rockwell" w:cs="Times New Roman"/>
          <w:sz w:val="36"/>
          <w:szCs w:val="36"/>
        </w:rPr>
        <w:t>.</w:t>
      </w:r>
    </w:p>
    <w:p w14:paraId="3EE1E8F1" w14:textId="77777777" w:rsidR="00C20B12" w:rsidRPr="00C20B12" w:rsidRDefault="00C20B12" w:rsidP="00C20B12">
      <w:pPr>
        <w:numPr>
          <w:ilvl w:val="0"/>
          <w:numId w:val="9"/>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sz w:val="36"/>
          <w:szCs w:val="36"/>
        </w:rPr>
        <w:t xml:space="preserve">Ethiopian Pharmaceuticals Supply Agency (EPSA). (2022). </w:t>
      </w:r>
      <w:r w:rsidRPr="00C20B12">
        <w:rPr>
          <w:rFonts w:ascii="Rockwell" w:eastAsia="Times New Roman" w:hAnsi="Rockwell" w:cs="Times New Roman"/>
          <w:b/>
          <w:bCs/>
          <w:sz w:val="36"/>
          <w:szCs w:val="36"/>
        </w:rPr>
        <w:t>EAPTS User Manual</w:t>
      </w:r>
      <w:r w:rsidRPr="00C20B12">
        <w:rPr>
          <w:rFonts w:ascii="Rockwell" w:eastAsia="Times New Roman" w:hAnsi="Rockwell" w:cs="Times New Roman"/>
          <w:sz w:val="36"/>
          <w:szCs w:val="36"/>
        </w:rPr>
        <w:t>.</w:t>
      </w:r>
    </w:p>
    <w:p w14:paraId="7BB23040" w14:textId="77777777" w:rsidR="00C20B12" w:rsidRPr="00C20B12" w:rsidRDefault="00C20B12" w:rsidP="00C20B12">
      <w:pPr>
        <w:numPr>
          <w:ilvl w:val="0"/>
          <w:numId w:val="9"/>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sz w:val="36"/>
          <w:szCs w:val="36"/>
        </w:rPr>
        <w:t xml:space="preserve">Global Fund. (2021). </w:t>
      </w:r>
      <w:r w:rsidRPr="00C20B12">
        <w:rPr>
          <w:rFonts w:ascii="Rockwell" w:eastAsia="Times New Roman" w:hAnsi="Rockwell" w:cs="Times New Roman"/>
          <w:b/>
          <w:bCs/>
          <w:sz w:val="36"/>
          <w:szCs w:val="36"/>
        </w:rPr>
        <w:t>Procurement and Supply Chain Management Toolkit</w:t>
      </w:r>
      <w:r w:rsidRPr="00C20B12">
        <w:rPr>
          <w:rFonts w:ascii="Rockwell" w:eastAsia="Times New Roman" w:hAnsi="Rockwell" w:cs="Times New Roman"/>
          <w:sz w:val="36"/>
          <w:szCs w:val="36"/>
        </w:rPr>
        <w:t>.</w:t>
      </w:r>
    </w:p>
    <w:p w14:paraId="7DF20B1F" w14:textId="77777777" w:rsidR="00C20B12" w:rsidRPr="00C20B12" w:rsidRDefault="00C20B12" w:rsidP="00C20B12">
      <w:pPr>
        <w:numPr>
          <w:ilvl w:val="0"/>
          <w:numId w:val="9"/>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sz w:val="36"/>
          <w:szCs w:val="36"/>
        </w:rPr>
        <w:t xml:space="preserve">UNFPA. (2020). </w:t>
      </w:r>
      <w:r w:rsidRPr="00C20B12">
        <w:rPr>
          <w:rFonts w:ascii="Rockwell" w:eastAsia="Times New Roman" w:hAnsi="Rockwell" w:cs="Times New Roman"/>
          <w:b/>
          <w:bCs/>
          <w:sz w:val="36"/>
          <w:szCs w:val="36"/>
        </w:rPr>
        <w:t>Assessment of Supply Chain Systems in Eastern Africa</w:t>
      </w:r>
      <w:r w:rsidRPr="00C20B12">
        <w:rPr>
          <w:rFonts w:ascii="Rockwell" w:eastAsia="Times New Roman" w:hAnsi="Rockwell" w:cs="Times New Roman"/>
          <w:sz w:val="36"/>
          <w:szCs w:val="36"/>
        </w:rPr>
        <w:t>.</w:t>
      </w:r>
    </w:p>
    <w:p w14:paraId="49A1987A" w14:textId="77777777" w:rsidR="00C20B12" w:rsidRPr="00C20B12" w:rsidRDefault="00C20B12" w:rsidP="00C20B12">
      <w:pPr>
        <w:numPr>
          <w:ilvl w:val="0"/>
          <w:numId w:val="9"/>
        </w:numPr>
        <w:spacing w:before="100" w:beforeAutospacing="1" w:after="100" w:afterAutospacing="1" w:line="240" w:lineRule="auto"/>
        <w:rPr>
          <w:rFonts w:ascii="Rockwell" w:eastAsia="Times New Roman" w:hAnsi="Rockwell" w:cs="Times New Roman"/>
          <w:sz w:val="36"/>
          <w:szCs w:val="36"/>
        </w:rPr>
      </w:pPr>
      <w:r w:rsidRPr="00C20B12">
        <w:rPr>
          <w:rFonts w:ascii="Rockwell" w:eastAsia="Times New Roman" w:hAnsi="Rockwell" w:cs="Times New Roman"/>
          <w:sz w:val="36"/>
          <w:szCs w:val="36"/>
        </w:rPr>
        <w:t xml:space="preserve">Gavi, The Vaccine Alliance. (2020). </w:t>
      </w:r>
      <w:r w:rsidRPr="00C20B12">
        <w:rPr>
          <w:rFonts w:ascii="Rockwell" w:eastAsia="Times New Roman" w:hAnsi="Rockwell" w:cs="Times New Roman"/>
          <w:b/>
          <w:bCs/>
          <w:sz w:val="36"/>
          <w:szCs w:val="36"/>
        </w:rPr>
        <w:t>Digital Transformation of Vaccine Supply Chains</w:t>
      </w:r>
      <w:r w:rsidRPr="00C20B12">
        <w:rPr>
          <w:rFonts w:ascii="Rockwell" w:eastAsia="Times New Roman" w:hAnsi="Rockwell" w:cs="Times New Roman"/>
          <w:sz w:val="36"/>
          <w:szCs w:val="36"/>
        </w:rPr>
        <w:t>.</w:t>
      </w:r>
    </w:p>
    <w:p w14:paraId="57634FAB" w14:textId="77777777" w:rsidR="00C20B12" w:rsidRPr="00E636C7" w:rsidRDefault="00C20B12">
      <w:pPr>
        <w:rPr>
          <w:rFonts w:ascii="Rockwell" w:hAnsi="Rockwell"/>
          <w:sz w:val="32"/>
          <w:szCs w:val="32"/>
        </w:rPr>
      </w:pPr>
    </w:p>
    <w:sectPr w:rsidR="00C20B12" w:rsidRPr="00E636C7" w:rsidSect="004A2DCF">
      <w:footerReference w:type="default" r:id="rId10"/>
      <w:pgSz w:w="12240" w:h="15840"/>
      <w:pgMar w:top="1440" w:right="1440" w:bottom="1440" w:left="1440" w:header="720" w:footer="720" w:gutter="0"/>
      <w:pgBorders w:offsetFrom="page">
        <w:top w:val="single" w:sz="48" w:space="24" w:color="00B050"/>
        <w:left w:val="single" w:sz="48" w:space="24" w:color="00B050"/>
        <w:bottom w:val="single" w:sz="48" w:space="24" w:color="00B050"/>
        <w:right w:val="single" w:sz="48" w:space="24" w:color="00B050"/>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3783C" w14:textId="77777777" w:rsidR="009140D6" w:rsidRDefault="009140D6" w:rsidP="004A2DCF">
      <w:pPr>
        <w:spacing w:after="0" w:line="240" w:lineRule="auto"/>
      </w:pPr>
      <w:r>
        <w:separator/>
      </w:r>
    </w:p>
  </w:endnote>
  <w:endnote w:type="continuationSeparator" w:id="0">
    <w:p w14:paraId="2C9521DE" w14:textId="77777777" w:rsidR="009140D6" w:rsidRDefault="009140D6" w:rsidP="004A2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376734"/>
      <w:docPartObj>
        <w:docPartGallery w:val="Page Numbers (Bottom of Page)"/>
        <w:docPartUnique/>
      </w:docPartObj>
    </w:sdtPr>
    <w:sdtEndPr>
      <w:rPr>
        <w:rFonts w:ascii="Rockwell" w:hAnsi="Rockwell"/>
        <w:b/>
        <w:bCs/>
        <w:noProof/>
      </w:rPr>
    </w:sdtEndPr>
    <w:sdtContent>
      <w:p w14:paraId="17F1530D" w14:textId="0341475F" w:rsidR="00B64FC1" w:rsidRPr="00C5535A" w:rsidRDefault="00B64FC1">
        <w:pPr>
          <w:pStyle w:val="Footer"/>
          <w:jc w:val="right"/>
          <w:rPr>
            <w:rFonts w:ascii="Rockwell" w:hAnsi="Rockwell"/>
            <w:b/>
            <w:bCs/>
          </w:rPr>
        </w:pPr>
        <w:r w:rsidRPr="00C5535A">
          <w:rPr>
            <w:rFonts w:ascii="Rockwell" w:hAnsi="Rockwell"/>
            <w:b/>
            <w:bCs/>
          </w:rPr>
          <w:fldChar w:fldCharType="begin"/>
        </w:r>
        <w:r w:rsidRPr="00C5535A">
          <w:rPr>
            <w:rFonts w:ascii="Rockwell" w:hAnsi="Rockwell"/>
            <w:b/>
            <w:bCs/>
          </w:rPr>
          <w:instrText xml:space="preserve"> PAGE   \* MERGEFORMAT </w:instrText>
        </w:r>
        <w:r w:rsidRPr="00C5535A">
          <w:rPr>
            <w:rFonts w:ascii="Rockwell" w:hAnsi="Rockwell"/>
            <w:b/>
            <w:bCs/>
          </w:rPr>
          <w:fldChar w:fldCharType="separate"/>
        </w:r>
        <w:r w:rsidRPr="00C5535A">
          <w:rPr>
            <w:rFonts w:ascii="Rockwell" w:hAnsi="Rockwell"/>
            <w:b/>
            <w:bCs/>
            <w:noProof/>
          </w:rPr>
          <w:t>2</w:t>
        </w:r>
        <w:r w:rsidRPr="00C5535A">
          <w:rPr>
            <w:rFonts w:ascii="Rockwell" w:hAnsi="Rockwell"/>
            <w:b/>
            <w:bCs/>
            <w:noProof/>
          </w:rPr>
          <w:fldChar w:fldCharType="end"/>
        </w:r>
      </w:p>
    </w:sdtContent>
  </w:sdt>
  <w:p w14:paraId="4DCC0108" w14:textId="77777777" w:rsidR="004A2DCF" w:rsidRPr="00B64FC1" w:rsidRDefault="004A2DCF">
    <w:pPr>
      <w:pStyle w:val="Footer"/>
      <w:rPr>
        <w:sz w:val="44"/>
        <w:szCs w:val="4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88C11" w14:textId="77777777" w:rsidR="009140D6" w:rsidRDefault="009140D6" w:rsidP="004A2DCF">
      <w:pPr>
        <w:spacing w:after="0" w:line="240" w:lineRule="auto"/>
      </w:pPr>
      <w:r>
        <w:separator/>
      </w:r>
    </w:p>
  </w:footnote>
  <w:footnote w:type="continuationSeparator" w:id="0">
    <w:p w14:paraId="13EEB2BA" w14:textId="77777777" w:rsidR="009140D6" w:rsidRDefault="009140D6" w:rsidP="004A2D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02" style="width:0;height:1.5pt" o:hralign="center" o:bullet="t" o:hrstd="t" o:hr="t" fillcolor="#a0a0a0" stroked="f"/>
    </w:pict>
  </w:numPicBullet>
  <w:numPicBullet w:numPicBulletId="1">
    <w:pict>
      <v:rect id="_x0000_i1103" style="width:0;height:1.5pt" o:hralign="center" o:bullet="t" o:hrstd="t" o:hr="t" fillcolor="#a0a0a0" stroked="f"/>
    </w:pict>
  </w:numPicBullet>
  <w:numPicBullet w:numPicBulletId="2">
    <w:pict>
      <v:rect id="_x0000_i1104" style="width:0;height:1.5pt" o:hralign="center" o:bullet="t" o:hrstd="t" o:hr="t" fillcolor="#a0a0a0" stroked="f"/>
    </w:pict>
  </w:numPicBullet>
  <w:numPicBullet w:numPicBulletId="3">
    <w:pict>
      <v:rect id="_x0000_i1105" style="width:0;height:1.5pt" o:hralign="center" o:bullet="t" o:hrstd="t" o:hr="t" fillcolor="#a0a0a0" stroked="f"/>
    </w:pict>
  </w:numPicBullet>
  <w:abstractNum w:abstractNumId="0" w15:restartNumberingAfterBreak="0">
    <w:nsid w:val="0CCD4809"/>
    <w:multiLevelType w:val="multilevel"/>
    <w:tmpl w:val="662AD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04BFA"/>
    <w:multiLevelType w:val="hybridMultilevel"/>
    <w:tmpl w:val="F25682C4"/>
    <w:lvl w:ilvl="0" w:tplc="2F7C01E4">
      <w:start w:val="1"/>
      <w:numFmt w:val="bullet"/>
      <w:lvlText w:val=""/>
      <w:lvlPicBulletId w:val="3"/>
      <w:lvlJc w:val="left"/>
      <w:pPr>
        <w:tabs>
          <w:tab w:val="num" w:pos="720"/>
        </w:tabs>
        <w:ind w:left="720" w:hanging="360"/>
      </w:pPr>
      <w:rPr>
        <w:rFonts w:ascii="Symbol" w:hAnsi="Symbol" w:hint="default"/>
      </w:rPr>
    </w:lvl>
    <w:lvl w:ilvl="1" w:tplc="EA74FE8E" w:tentative="1">
      <w:start w:val="1"/>
      <w:numFmt w:val="bullet"/>
      <w:lvlText w:val=""/>
      <w:lvlJc w:val="left"/>
      <w:pPr>
        <w:tabs>
          <w:tab w:val="num" w:pos="1440"/>
        </w:tabs>
        <w:ind w:left="1440" w:hanging="360"/>
      </w:pPr>
      <w:rPr>
        <w:rFonts w:ascii="Symbol" w:hAnsi="Symbol" w:hint="default"/>
      </w:rPr>
    </w:lvl>
    <w:lvl w:ilvl="2" w:tplc="1C986316" w:tentative="1">
      <w:start w:val="1"/>
      <w:numFmt w:val="bullet"/>
      <w:lvlText w:val=""/>
      <w:lvlJc w:val="left"/>
      <w:pPr>
        <w:tabs>
          <w:tab w:val="num" w:pos="2160"/>
        </w:tabs>
        <w:ind w:left="2160" w:hanging="360"/>
      </w:pPr>
      <w:rPr>
        <w:rFonts w:ascii="Symbol" w:hAnsi="Symbol" w:hint="default"/>
      </w:rPr>
    </w:lvl>
    <w:lvl w:ilvl="3" w:tplc="D7FA4BCC" w:tentative="1">
      <w:start w:val="1"/>
      <w:numFmt w:val="bullet"/>
      <w:lvlText w:val=""/>
      <w:lvlJc w:val="left"/>
      <w:pPr>
        <w:tabs>
          <w:tab w:val="num" w:pos="2880"/>
        </w:tabs>
        <w:ind w:left="2880" w:hanging="360"/>
      </w:pPr>
      <w:rPr>
        <w:rFonts w:ascii="Symbol" w:hAnsi="Symbol" w:hint="default"/>
      </w:rPr>
    </w:lvl>
    <w:lvl w:ilvl="4" w:tplc="1EDADCCC" w:tentative="1">
      <w:start w:val="1"/>
      <w:numFmt w:val="bullet"/>
      <w:lvlText w:val=""/>
      <w:lvlJc w:val="left"/>
      <w:pPr>
        <w:tabs>
          <w:tab w:val="num" w:pos="3600"/>
        </w:tabs>
        <w:ind w:left="3600" w:hanging="360"/>
      </w:pPr>
      <w:rPr>
        <w:rFonts w:ascii="Symbol" w:hAnsi="Symbol" w:hint="default"/>
      </w:rPr>
    </w:lvl>
    <w:lvl w:ilvl="5" w:tplc="3BCA23EE" w:tentative="1">
      <w:start w:val="1"/>
      <w:numFmt w:val="bullet"/>
      <w:lvlText w:val=""/>
      <w:lvlJc w:val="left"/>
      <w:pPr>
        <w:tabs>
          <w:tab w:val="num" w:pos="4320"/>
        </w:tabs>
        <w:ind w:left="4320" w:hanging="360"/>
      </w:pPr>
      <w:rPr>
        <w:rFonts w:ascii="Symbol" w:hAnsi="Symbol" w:hint="default"/>
      </w:rPr>
    </w:lvl>
    <w:lvl w:ilvl="6" w:tplc="C9485208" w:tentative="1">
      <w:start w:val="1"/>
      <w:numFmt w:val="bullet"/>
      <w:lvlText w:val=""/>
      <w:lvlJc w:val="left"/>
      <w:pPr>
        <w:tabs>
          <w:tab w:val="num" w:pos="5040"/>
        </w:tabs>
        <w:ind w:left="5040" w:hanging="360"/>
      </w:pPr>
      <w:rPr>
        <w:rFonts w:ascii="Symbol" w:hAnsi="Symbol" w:hint="default"/>
      </w:rPr>
    </w:lvl>
    <w:lvl w:ilvl="7" w:tplc="81C2712A" w:tentative="1">
      <w:start w:val="1"/>
      <w:numFmt w:val="bullet"/>
      <w:lvlText w:val=""/>
      <w:lvlJc w:val="left"/>
      <w:pPr>
        <w:tabs>
          <w:tab w:val="num" w:pos="5760"/>
        </w:tabs>
        <w:ind w:left="5760" w:hanging="360"/>
      </w:pPr>
      <w:rPr>
        <w:rFonts w:ascii="Symbol" w:hAnsi="Symbol" w:hint="default"/>
      </w:rPr>
    </w:lvl>
    <w:lvl w:ilvl="8" w:tplc="DB6E975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1C56523A"/>
    <w:multiLevelType w:val="multilevel"/>
    <w:tmpl w:val="90B6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26A68"/>
    <w:multiLevelType w:val="multilevel"/>
    <w:tmpl w:val="DCD6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F53D9"/>
    <w:multiLevelType w:val="multilevel"/>
    <w:tmpl w:val="0284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F21EB"/>
    <w:multiLevelType w:val="multilevel"/>
    <w:tmpl w:val="FD229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D1752C"/>
    <w:multiLevelType w:val="hybridMultilevel"/>
    <w:tmpl w:val="EF9CC05C"/>
    <w:lvl w:ilvl="0" w:tplc="45901FD4">
      <w:start w:val="1"/>
      <w:numFmt w:val="bullet"/>
      <w:lvlText w:val=""/>
      <w:lvlPicBulletId w:val="2"/>
      <w:lvlJc w:val="left"/>
      <w:pPr>
        <w:tabs>
          <w:tab w:val="num" w:pos="720"/>
        </w:tabs>
        <w:ind w:left="720" w:hanging="360"/>
      </w:pPr>
      <w:rPr>
        <w:rFonts w:ascii="Symbol" w:hAnsi="Symbol" w:hint="default"/>
      </w:rPr>
    </w:lvl>
    <w:lvl w:ilvl="1" w:tplc="4B542A46" w:tentative="1">
      <w:start w:val="1"/>
      <w:numFmt w:val="bullet"/>
      <w:lvlText w:val=""/>
      <w:lvlJc w:val="left"/>
      <w:pPr>
        <w:tabs>
          <w:tab w:val="num" w:pos="1440"/>
        </w:tabs>
        <w:ind w:left="1440" w:hanging="360"/>
      </w:pPr>
      <w:rPr>
        <w:rFonts w:ascii="Symbol" w:hAnsi="Symbol" w:hint="default"/>
      </w:rPr>
    </w:lvl>
    <w:lvl w:ilvl="2" w:tplc="436843E6" w:tentative="1">
      <w:start w:val="1"/>
      <w:numFmt w:val="bullet"/>
      <w:lvlText w:val=""/>
      <w:lvlJc w:val="left"/>
      <w:pPr>
        <w:tabs>
          <w:tab w:val="num" w:pos="2160"/>
        </w:tabs>
        <w:ind w:left="2160" w:hanging="360"/>
      </w:pPr>
      <w:rPr>
        <w:rFonts w:ascii="Symbol" w:hAnsi="Symbol" w:hint="default"/>
      </w:rPr>
    </w:lvl>
    <w:lvl w:ilvl="3" w:tplc="366E7B2C" w:tentative="1">
      <w:start w:val="1"/>
      <w:numFmt w:val="bullet"/>
      <w:lvlText w:val=""/>
      <w:lvlJc w:val="left"/>
      <w:pPr>
        <w:tabs>
          <w:tab w:val="num" w:pos="2880"/>
        </w:tabs>
        <w:ind w:left="2880" w:hanging="360"/>
      </w:pPr>
      <w:rPr>
        <w:rFonts w:ascii="Symbol" w:hAnsi="Symbol" w:hint="default"/>
      </w:rPr>
    </w:lvl>
    <w:lvl w:ilvl="4" w:tplc="A956ED98" w:tentative="1">
      <w:start w:val="1"/>
      <w:numFmt w:val="bullet"/>
      <w:lvlText w:val=""/>
      <w:lvlJc w:val="left"/>
      <w:pPr>
        <w:tabs>
          <w:tab w:val="num" w:pos="3600"/>
        </w:tabs>
        <w:ind w:left="3600" w:hanging="360"/>
      </w:pPr>
      <w:rPr>
        <w:rFonts w:ascii="Symbol" w:hAnsi="Symbol" w:hint="default"/>
      </w:rPr>
    </w:lvl>
    <w:lvl w:ilvl="5" w:tplc="689CBBDA" w:tentative="1">
      <w:start w:val="1"/>
      <w:numFmt w:val="bullet"/>
      <w:lvlText w:val=""/>
      <w:lvlJc w:val="left"/>
      <w:pPr>
        <w:tabs>
          <w:tab w:val="num" w:pos="4320"/>
        </w:tabs>
        <w:ind w:left="4320" w:hanging="360"/>
      </w:pPr>
      <w:rPr>
        <w:rFonts w:ascii="Symbol" w:hAnsi="Symbol" w:hint="default"/>
      </w:rPr>
    </w:lvl>
    <w:lvl w:ilvl="6" w:tplc="38ACA1CE" w:tentative="1">
      <w:start w:val="1"/>
      <w:numFmt w:val="bullet"/>
      <w:lvlText w:val=""/>
      <w:lvlJc w:val="left"/>
      <w:pPr>
        <w:tabs>
          <w:tab w:val="num" w:pos="5040"/>
        </w:tabs>
        <w:ind w:left="5040" w:hanging="360"/>
      </w:pPr>
      <w:rPr>
        <w:rFonts w:ascii="Symbol" w:hAnsi="Symbol" w:hint="default"/>
      </w:rPr>
    </w:lvl>
    <w:lvl w:ilvl="7" w:tplc="016E2B38" w:tentative="1">
      <w:start w:val="1"/>
      <w:numFmt w:val="bullet"/>
      <w:lvlText w:val=""/>
      <w:lvlJc w:val="left"/>
      <w:pPr>
        <w:tabs>
          <w:tab w:val="num" w:pos="5760"/>
        </w:tabs>
        <w:ind w:left="5760" w:hanging="360"/>
      </w:pPr>
      <w:rPr>
        <w:rFonts w:ascii="Symbol" w:hAnsi="Symbol" w:hint="default"/>
      </w:rPr>
    </w:lvl>
    <w:lvl w:ilvl="8" w:tplc="806C4774"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4ED917E9"/>
    <w:multiLevelType w:val="multilevel"/>
    <w:tmpl w:val="D6E0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115EF0"/>
    <w:multiLevelType w:val="multilevel"/>
    <w:tmpl w:val="C020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A50D8"/>
    <w:multiLevelType w:val="multilevel"/>
    <w:tmpl w:val="43D0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33356E"/>
    <w:multiLevelType w:val="multilevel"/>
    <w:tmpl w:val="0FF8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4"/>
  </w:num>
  <w:num w:numId="4">
    <w:abstractNumId w:val="9"/>
  </w:num>
  <w:num w:numId="5">
    <w:abstractNumId w:val="7"/>
  </w:num>
  <w:num w:numId="6">
    <w:abstractNumId w:val="8"/>
  </w:num>
  <w:num w:numId="7">
    <w:abstractNumId w:val="2"/>
  </w:num>
  <w:num w:numId="8">
    <w:abstractNumId w:val="10"/>
  </w:num>
  <w:num w:numId="9">
    <w:abstractNumId w:val="0"/>
  </w:num>
  <w:num w:numId="10">
    <w:abstractNumId w:val="6"/>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B12"/>
    <w:rsid w:val="000A135A"/>
    <w:rsid w:val="000B26F3"/>
    <w:rsid w:val="000B4089"/>
    <w:rsid w:val="000F1677"/>
    <w:rsid w:val="001155EA"/>
    <w:rsid w:val="00122A57"/>
    <w:rsid w:val="00162B84"/>
    <w:rsid w:val="00164251"/>
    <w:rsid w:val="001A2D99"/>
    <w:rsid w:val="00255DD7"/>
    <w:rsid w:val="002D0AAB"/>
    <w:rsid w:val="0031008E"/>
    <w:rsid w:val="00340BE4"/>
    <w:rsid w:val="003805F5"/>
    <w:rsid w:val="003F3196"/>
    <w:rsid w:val="00457D02"/>
    <w:rsid w:val="00472BF0"/>
    <w:rsid w:val="004A2DCF"/>
    <w:rsid w:val="004C3C56"/>
    <w:rsid w:val="004D1F4E"/>
    <w:rsid w:val="004F1A8E"/>
    <w:rsid w:val="005075DE"/>
    <w:rsid w:val="00594057"/>
    <w:rsid w:val="005E4755"/>
    <w:rsid w:val="005F3717"/>
    <w:rsid w:val="00625031"/>
    <w:rsid w:val="00641371"/>
    <w:rsid w:val="0068274F"/>
    <w:rsid w:val="006F4810"/>
    <w:rsid w:val="007E4BA9"/>
    <w:rsid w:val="00896D1B"/>
    <w:rsid w:val="008A44EB"/>
    <w:rsid w:val="008B7F27"/>
    <w:rsid w:val="009140D6"/>
    <w:rsid w:val="00A03D05"/>
    <w:rsid w:val="00A13418"/>
    <w:rsid w:val="00A72E01"/>
    <w:rsid w:val="00A848E4"/>
    <w:rsid w:val="00AD2AE8"/>
    <w:rsid w:val="00B21FCF"/>
    <w:rsid w:val="00B47984"/>
    <w:rsid w:val="00B64FC1"/>
    <w:rsid w:val="00BE7E45"/>
    <w:rsid w:val="00C20B12"/>
    <w:rsid w:val="00C5535A"/>
    <w:rsid w:val="00C97121"/>
    <w:rsid w:val="00CE38AE"/>
    <w:rsid w:val="00D86CFE"/>
    <w:rsid w:val="00D92715"/>
    <w:rsid w:val="00DE66E8"/>
    <w:rsid w:val="00E35DF2"/>
    <w:rsid w:val="00E372FB"/>
    <w:rsid w:val="00E56C55"/>
    <w:rsid w:val="00E636C7"/>
    <w:rsid w:val="00E75886"/>
    <w:rsid w:val="00EA7653"/>
    <w:rsid w:val="00EB1E6B"/>
    <w:rsid w:val="00EF1FCA"/>
    <w:rsid w:val="00F03909"/>
    <w:rsid w:val="00F40D83"/>
    <w:rsid w:val="00F51149"/>
    <w:rsid w:val="00F82F8D"/>
    <w:rsid w:val="00FA535C"/>
    <w:rsid w:val="00FC65F3"/>
    <w:rsid w:val="00FC7DF3"/>
    <w:rsid w:val="00FD0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DD0334"/>
  <w15:chartTrackingRefBased/>
  <w15:docId w15:val="{14AC6715-34F9-42E5-8606-71E8CF4FE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C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C20B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20B1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20B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0B12"/>
    <w:rPr>
      <w:b/>
      <w:bCs/>
    </w:rPr>
  </w:style>
  <w:style w:type="character" w:customStyle="1" w:styleId="Heading1Char">
    <w:name w:val="Heading 1 Char"/>
    <w:basedOn w:val="DefaultParagraphFont"/>
    <w:link w:val="Heading1"/>
    <w:uiPriority w:val="9"/>
    <w:rsid w:val="00E56C5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56C55"/>
    <w:pPr>
      <w:outlineLvl w:val="9"/>
    </w:pPr>
  </w:style>
  <w:style w:type="paragraph" w:styleId="TOC3">
    <w:name w:val="toc 3"/>
    <w:basedOn w:val="Normal"/>
    <w:next w:val="Normal"/>
    <w:autoRedefine/>
    <w:uiPriority w:val="39"/>
    <w:unhideWhenUsed/>
    <w:rsid w:val="00E56C55"/>
    <w:pPr>
      <w:spacing w:after="100"/>
      <w:ind w:left="440"/>
    </w:pPr>
  </w:style>
  <w:style w:type="character" w:styleId="Hyperlink">
    <w:name w:val="Hyperlink"/>
    <w:basedOn w:val="DefaultParagraphFont"/>
    <w:uiPriority w:val="99"/>
    <w:unhideWhenUsed/>
    <w:rsid w:val="00E56C55"/>
    <w:rPr>
      <w:color w:val="0563C1" w:themeColor="hyperlink"/>
      <w:u w:val="single"/>
    </w:rPr>
  </w:style>
  <w:style w:type="table" w:styleId="TableGrid">
    <w:name w:val="Table Grid"/>
    <w:basedOn w:val="TableNormal"/>
    <w:uiPriority w:val="39"/>
    <w:rsid w:val="00FA5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A2D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2DCF"/>
  </w:style>
  <w:style w:type="paragraph" w:styleId="Footer">
    <w:name w:val="footer"/>
    <w:basedOn w:val="Normal"/>
    <w:link w:val="FooterChar"/>
    <w:uiPriority w:val="99"/>
    <w:unhideWhenUsed/>
    <w:rsid w:val="004A2D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2DCF"/>
  </w:style>
  <w:style w:type="paragraph" w:styleId="ListParagraph">
    <w:name w:val="List Paragraph"/>
    <w:basedOn w:val="Normal"/>
    <w:uiPriority w:val="34"/>
    <w:qFormat/>
    <w:rsid w:val="00B21FCF"/>
    <w:pPr>
      <w:ind w:left="720"/>
      <w:contextualSpacing/>
    </w:pPr>
  </w:style>
  <w:style w:type="paragraph" w:styleId="TOC1">
    <w:name w:val="toc 1"/>
    <w:basedOn w:val="Normal"/>
    <w:next w:val="Normal"/>
    <w:autoRedefine/>
    <w:uiPriority w:val="39"/>
    <w:unhideWhenUsed/>
    <w:rsid w:val="001155E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216348">
      <w:bodyDiv w:val="1"/>
      <w:marLeft w:val="0"/>
      <w:marRight w:val="0"/>
      <w:marTop w:val="0"/>
      <w:marBottom w:val="0"/>
      <w:divBdr>
        <w:top w:val="none" w:sz="0" w:space="0" w:color="auto"/>
        <w:left w:val="none" w:sz="0" w:space="0" w:color="auto"/>
        <w:bottom w:val="none" w:sz="0" w:space="0" w:color="auto"/>
        <w:right w:val="none" w:sz="0" w:space="0" w:color="auto"/>
      </w:divBdr>
      <w:divsChild>
        <w:div w:id="1507474011">
          <w:marLeft w:val="0"/>
          <w:marRight w:val="0"/>
          <w:marTop w:val="0"/>
          <w:marBottom w:val="0"/>
          <w:divBdr>
            <w:top w:val="none" w:sz="0" w:space="0" w:color="auto"/>
            <w:left w:val="none" w:sz="0" w:space="0" w:color="auto"/>
            <w:bottom w:val="none" w:sz="0" w:space="0" w:color="auto"/>
            <w:right w:val="none" w:sz="0" w:space="0" w:color="auto"/>
          </w:divBdr>
        </w:div>
        <w:div w:id="772625891">
          <w:marLeft w:val="0"/>
          <w:marRight w:val="0"/>
          <w:marTop w:val="0"/>
          <w:marBottom w:val="0"/>
          <w:divBdr>
            <w:top w:val="none" w:sz="0" w:space="0" w:color="auto"/>
            <w:left w:val="none" w:sz="0" w:space="0" w:color="auto"/>
            <w:bottom w:val="none" w:sz="0" w:space="0" w:color="auto"/>
            <w:right w:val="none" w:sz="0" w:space="0" w:color="auto"/>
          </w:divBdr>
        </w:div>
        <w:div w:id="100951149">
          <w:marLeft w:val="0"/>
          <w:marRight w:val="0"/>
          <w:marTop w:val="0"/>
          <w:marBottom w:val="0"/>
          <w:divBdr>
            <w:top w:val="none" w:sz="0" w:space="0" w:color="auto"/>
            <w:left w:val="none" w:sz="0" w:space="0" w:color="auto"/>
            <w:bottom w:val="none" w:sz="0" w:space="0" w:color="auto"/>
            <w:right w:val="none" w:sz="0" w:space="0" w:color="auto"/>
          </w:divBdr>
        </w:div>
        <w:div w:id="1521701421">
          <w:marLeft w:val="0"/>
          <w:marRight w:val="0"/>
          <w:marTop w:val="0"/>
          <w:marBottom w:val="0"/>
          <w:divBdr>
            <w:top w:val="none" w:sz="0" w:space="0" w:color="auto"/>
            <w:left w:val="none" w:sz="0" w:space="0" w:color="auto"/>
            <w:bottom w:val="none" w:sz="0" w:space="0" w:color="auto"/>
            <w:right w:val="none" w:sz="0" w:space="0" w:color="auto"/>
          </w:divBdr>
        </w:div>
        <w:div w:id="1346715427">
          <w:marLeft w:val="0"/>
          <w:marRight w:val="0"/>
          <w:marTop w:val="0"/>
          <w:marBottom w:val="0"/>
          <w:divBdr>
            <w:top w:val="none" w:sz="0" w:space="0" w:color="auto"/>
            <w:left w:val="none" w:sz="0" w:space="0" w:color="auto"/>
            <w:bottom w:val="none" w:sz="0" w:space="0" w:color="auto"/>
            <w:right w:val="none" w:sz="0" w:space="0" w:color="auto"/>
          </w:divBdr>
        </w:div>
        <w:div w:id="1122115459">
          <w:marLeft w:val="0"/>
          <w:marRight w:val="0"/>
          <w:marTop w:val="0"/>
          <w:marBottom w:val="0"/>
          <w:divBdr>
            <w:top w:val="none" w:sz="0" w:space="0" w:color="auto"/>
            <w:left w:val="none" w:sz="0" w:space="0" w:color="auto"/>
            <w:bottom w:val="none" w:sz="0" w:space="0" w:color="auto"/>
            <w:right w:val="none" w:sz="0" w:space="0" w:color="auto"/>
          </w:divBdr>
        </w:div>
        <w:div w:id="1694306387">
          <w:marLeft w:val="0"/>
          <w:marRight w:val="0"/>
          <w:marTop w:val="0"/>
          <w:marBottom w:val="0"/>
          <w:divBdr>
            <w:top w:val="none" w:sz="0" w:space="0" w:color="auto"/>
            <w:left w:val="none" w:sz="0" w:space="0" w:color="auto"/>
            <w:bottom w:val="none" w:sz="0" w:space="0" w:color="auto"/>
            <w:right w:val="none" w:sz="0" w:space="0" w:color="auto"/>
          </w:divBdr>
        </w:div>
        <w:div w:id="1831679886">
          <w:marLeft w:val="0"/>
          <w:marRight w:val="0"/>
          <w:marTop w:val="0"/>
          <w:marBottom w:val="0"/>
          <w:divBdr>
            <w:top w:val="none" w:sz="0" w:space="0" w:color="auto"/>
            <w:left w:val="none" w:sz="0" w:space="0" w:color="auto"/>
            <w:bottom w:val="none" w:sz="0" w:space="0" w:color="auto"/>
            <w:right w:val="none" w:sz="0" w:space="0" w:color="auto"/>
          </w:divBdr>
        </w:div>
        <w:div w:id="904799232">
          <w:marLeft w:val="0"/>
          <w:marRight w:val="0"/>
          <w:marTop w:val="0"/>
          <w:marBottom w:val="0"/>
          <w:divBdr>
            <w:top w:val="none" w:sz="0" w:space="0" w:color="auto"/>
            <w:left w:val="none" w:sz="0" w:space="0" w:color="auto"/>
            <w:bottom w:val="none" w:sz="0" w:space="0" w:color="auto"/>
            <w:right w:val="none" w:sz="0" w:space="0" w:color="auto"/>
          </w:divBdr>
        </w:div>
        <w:div w:id="456685566">
          <w:marLeft w:val="0"/>
          <w:marRight w:val="0"/>
          <w:marTop w:val="0"/>
          <w:marBottom w:val="0"/>
          <w:divBdr>
            <w:top w:val="none" w:sz="0" w:space="0" w:color="auto"/>
            <w:left w:val="none" w:sz="0" w:space="0" w:color="auto"/>
            <w:bottom w:val="none" w:sz="0" w:space="0" w:color="auto"/>
            <w:right w:val="none" w:sz="0" w:space="0" w:color="auto"/>
          </w:divBdr>
        </w:div>
        <w:div w:id="1059675083">
          <w:marLeft w:val="0"/>
          <w:marRight w:val="0"/>
          <w:marTop w:val="0"/>
          <w:marBottom w:val="0"/>
          <w:divBdr>
            <w:top w:val="none" w:sz="0" w:space="0" w:color="auto"/>
            <w:left w:val="none" w:sz="0" w:space="0" w:color="auto"/>
            <w:bottom w:val="none" w:sz="0" w:space="0" w:color="auto"/>
            <w:right w:val="none" w:sz="0" w:space="0" w:color="auto"/>
          </w:divBdr>
        </w:div>
        <w:div w:id="366762213">
          <w:marLeft w:val="0"/>
          <w:marRight w:val="0"/>
          <w:marTop w:val="0"/>
          <w:marBottom w:val="0"/>
          <w:divBdr>
            <w:top w:val="none" w:sz="0" w:space="0" w:color="auto"/>
            <w:left w:val="none" w:sz="0" w:space="0" w:color="auto"/>
            <w:bottom w:val="none" w:sz="0" w:space="0" w:color="auto"/>
            <w:right w:val="none" w:sz="0" w:space="0" w:color="auto"/>
          </w:divBdr>
        </w:div>
        <w:div w:id="998313441">
          <w:marLeft w:val="0"/>
          <w:marRight w:val="0"/>
          <w:marTop w:val="0"/>
          <w:marBottom w:val="0"/>
          <w:divBdr>
            <w:top w:val="none" w:sz="0" w:space="0" w:color="auto"/>
            <w:left w:val="none" w:sz="0" w:space="0" w:color="auto"/>
            <w:bottom w:val="none" w:sz="0" w:space="0" w:color="auto"/>
            <w:right w:val="none" w:sz="0" w:space="0" w:color="auto"/>
          </w:divBdr>
        </w:div>
        <w:div w:id="1865708225">
          <w:marLeft w:val="0"/>
          <w:marRight w:val="0"/>
          <w:marTop w:val="0"/>
          <w:marBottom w:val="0"/>
          <w:divBdr>
            <w:top w:val="none" w:sz="0" w:space="0" w:color="auto"/>
            <w:left w:val="none" w:sz="0" w:space="0" w:color="auto"/>
            <w:bottom w:val="none" w:sz="0" w:space="0" w:color="auto"/>
            <w:right w:val="none" w:sz="0" w:space="0" w:color="auto"/>
          </w:divBdr>
        </w:div>
      </w:divsChild>
    </w:div>
    <w:div w:id="1033262433">
      <w:bodyDiv w:val="1"/>
      <w:marLeft w:val="0"/>
      <w:marRight w:val="0"/>
      <w:marTop w:val="0"/>
      <w:marBottom w:val="0"/>
      <w:divBdr>
        <w:top w:val="none" w:sz="0" w:space="0" w:color="auto"/>
        <w:left w:val="none" w:sz="0" w:space="0" w:color="auto"/>
        <w:bottom w:val="none" w:sz="0" w:space="0" w:color="auto"/>
        <w:right w:val="none" w:sz="0" w:space="0" w:color="auto"/>
      </w:divBdr>
    </w:div>
    <w:div w:id="1225287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Sheet1!$B$1</c:f>
              <c:strCache>
                <c:ptCount val="1"/>
                <c:pt idx="0">
                  <c:v>Cost (ETB)</c:v>
                </c:pt>
              </c:strCache>
            </c:strRef>
          </c:tx>
          <c:spPr>
            <a:solidFill>
              <a:schemeClr val="accent1"/>
            </a:solidFill>
            <a:ln>
              <a:noFill/>
            </a:ln>
            <a:effectLst/>
            <a:sp3d/>
          </c:spPr>
          <c:invertIfNegative val="0"/>
          <c:cat>
            <c:strRef>
              <c:f>Sheet1!$A$2:$A$11</c:f>
              <c:strCache>
                <c:ptCount val="10"/>
                <c:pt idx="0">
                  <c:v>Procurement Efficiency</c:v>
                </c:pt>
                <c:pt idx="1">
                  <c:v>Inventory Management</c:v>
                </c:pt>
                <c:pt idx="2">
                  <c:v>Demand Forecasting</c:v>
                </c:pt>
                <c:pt idx="3">
                  <c:v>Supplier &amp; Distribution</c:v>
                </c:pt>
                <c:pt idx="4">
                  <c:v>Financial Management</c:v>
                </c:pt>
                <c:pt idx="5">
                  <c:v>Monitoring &amp; Reporting</c:v>
                </c:pt>
                <c:pt idx="6">
                  <c:v>Technology Integration</c:v>
                </c:pt>
                <c:pt idx="7">
                  <c:v>Communication &amp; Coordination</c:v>
                </c:pt>
                <c:pt idx="8">
                  <c:v>Storage Practice Inefficiency</c:v>
                </c:pt>
                <c:pt idx="9">
                  <c:v>Dispensing Inefficiency</c:v>
                </c:pt>
              </c:strCache>
            </c:strRef>
          </c:cat>
          <c:val>
            <c:numRef>
              <c:f>Sheet1!$B$2:$B$11</c:f>
            </c:numRef>
          </c:val>
          <c:extLst>
            <c:ext xmlns:c16="http://schemas.microsoft.com/office/drawing/2014/chart" uri="{C3380CC4-5D6E-409C-BE32-E72D297353CC}">
              <c16:uniqueId val="{00000000-4A87-468D-A276-55A97E680289}"/>
            </c:ext>
          </c:extLst>
        </c:ser>
        <c:ser>
          <c:idx val="1"/>
          <c:order val="1"/>
          <c:tx>
            <c:strRef>
              <c:f>Sheet1!$C$1</c:f>
              <c:strCache>
                <c:ptCount val="1"/>
                <c:pt idx="0">
                  <c:v>Percentage Contribution</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Rockwell" panose="020606030202050204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Sheet1!$A$2:$A$11</c:f>
              <c:strCache>
                <c:ptCount val="10"/>
                <c:pt idx="0">
                  <c:v>Procurement Efficiency</c:v>
                </c:pt>
                <c:pt idx="1">
                  <c:v>Inventory Management</c:v>
                </c:pt>
                <c:pt idx="2">
                  <c:v>Demand Forecasting</c:v>
                </c:pt>
                <c:pt idx="3">
                  <c:v>Supplier &amp; Distribution</c:v>
                </c:pt>
                <c:pt idx="4">
                  <c:v>Financial Management</c:v>
                </c:pt>
                <c:pt idx="5">
                  <c:v>Monitoring &amp; Reporting</c:v>
                </c:pt>
                <c:pt idx="6">
                  <c:v>Technology Integration</c:v>
                </c:pt>
                <c:pt idx="7">
                  <c:v>Communication &amp; Coordination</c:v>
                </c:pt>
                <c:pt idx="8">
                  <c:v>Storage Practice Inefficiency</c:v>
                </c:pt>
                <c:pt idx="9">
                  <c:v>Dispensing Inefficiency</c:v>
                </c:pt>
              </c:strCache>
            </c:strRef>
          </c:cat>
          <c:val>
            <c:numRef>
              <c:f>Sheet1!$C$2:$C$11</c:f>
              <c:numCache>
                <c:formatCode>0.00%</c:formatCode>
                <c:ptCount val="10"/>
                <c:pt idx="0">
                  <c:v>1.2E-2</c:v>
                </c:pt>
                <c:pt idx="1">
                  <c:v>2.1999999999999999E-2</c:v>
                </c:pt>
                <c:pt idx="2">
                  <c:v>1.7000000000000001E-2</c:v>
                </c:pt>
                <c:pt idx="3">
                  <c:v>2.5999999999999999E-2</c:v>
                </c:pt>
                <c:pt idx="4">
                  <c:v>1.9E-2</c:v>
                </c:pt>
                <c:pt idx="5">
                  <c:v>5.0000000000000001E-3</c:v>
                </c:pt>
                <c:pt idx="6">
                  <c:v>1.2999999999999999E-2</c:v>
                </c:pt>
                <c:pt idx="7">
                  <c:v>1.6E-2</c:v>
                </c:pt>
                <c:pt idx="8">
                  <c:v>3.0000000000000001E-3</c:v>
                </c:pt>
                <c:pt idx="9">
                  <c:v>4.0000000000000001E-3</c:v>
                </c:pt>
              </c:numCache>
            </c:numRef>
          </c:val>
          <c:extLst>
            <c:ext xmlns:c16="http://schemas.microsoft.com/office/drawing/2014/chart" uri="{C3380CC4-5D6E-409C-BE32-E72D297353CC}">
              <c16:uniqueId val="{00000001-4A87-468D-A276-55A97E680289}"/>
            </c:ext>
          </c:extLst>
        </c:ser>
        <c:dLbls>
          <c:showLegendKey val="0"/>
          <c:showVal val="0"/>
          <c:showCatName val="0"/>
          <c:showSerName val="0"/>
          <c:showPercent val="0"/>
          <c:showBubbleSize val="0"/>
        </c:dLbls>
        <c:gapWidth val="150"/>
        <c:shape val="box"/>
        <c:axId val="1164710048"/>
        <c:axId val="1164711712"/>
        <c:axId val="1164634896"/>
      </c:bar3DChart>
      <c:catAx>
        <c:axId val="116471004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Rockwell" panose="02060603020205020403" pitchFamily="18" charset="0"/>
                <a:ea typeface="PMingLiU-ExtB" panose="02020500000000000000" pitchFamily="18" charset="-120"/>
                <a:cs typeface="Aldhabi" panose="01000000000000000000" pitchFamily="2" charset="-78"/>
              </a:defRPr>
            </a:pPr>
            <a:endParaRPr lang="en-US"/>
          </a:p>
        </c:txPr>
        <c:crossAx val="1164711712"/>
        <c:crosses val="autoZero"/>
        <c:auto val="1"/>
        <c:lblAlgn val="ctr"/>
        <c:lblOffset val="100"/>
        <c:noMultiLvlLbl val="0"/>
      </c:catAx>
      <c:valAx>
        <c:axId val="116471171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crossAx val="1164710048"/>
        <c:crosses val="autoZero"/>
        <c:crossBetween val="between"/>
      </c:valAx>
      <c:serAx>
        <c:axId val="1164634896"/>
        <c:scaling>
          <c:orientation val="minMax"/>
        </c:scaling>
        <c:delete val="1"/>
        <c:axPos val="b"/>
        <c:majorTickMark val="none"/>
        <c:minorTickMark val="none"/>
        <c:tickLblPos val="nextTo"/>
        <c:crossAx val="1164711712"/>
        <c:crosses val="autoZero"/>
      </c:ser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EC568-60CF-434A-A251-9EBDD81AA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13</Pages>
  <Words>2057</Words>
  <Characters>11727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70</cp:revision>
  <dcterms:created xsi:type="dcterms:W3CDTF">2025-07-09T14:55:00Z</dcterms:created>
  <dcterms:modified xsi:type="dcterms:W3CDTF">2025-07-30T21:37:00Z</dcterms:modified>
</cp:coreProperties>
</file>