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D948" w14:textId="56BB0A7E" w:rsidR="00D60AA2" w:rsidRDefault="00C54F40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BA2E632" wp14:editId="22061891">
                <wp:simplePos x="0" y="0"/>
                <wp:positionH relativeFrom="column">
                  <wp:posOffset>6965950</wp:posOffset>
                </wp:positionH>
                <wp:positionV relativeFrom="page">
                  <wp:posOffset>939800</wp:posOffset>
                </wp:positionV>
                <wp:extent cx="1962150" cy="1075690"/>
                <wp:effectExtent l="19050" t="19050" r="19050" b="10160"/>
                <wp:wrapTight wrapText="bothSides">
                  <wp:wrapPolygon edited="0">
                    <wp:start x="7969" y="-383"/>
                    <wp:lineTo x="5452" y="-383"/>
                    <wp:lineTo x="419" y="3825"/>
                    <wp:lineTo x="-210" y="5738"/>
                    <wp:lineTo x="-210" y="14153"/>
                    <wp:lineTo x="1887" y="17979"/>
                    <wp:lineTo x="1887" y="18361"/>
                    <wp:lineTo x="7130" y="21421"/>
                    <wp:lineTo x="7550" y="21421"/>
                    <wp:lineTo x="13841" y="21421"/>
                    <wp:lineTo x="14260" y="21421"/>
                    <wp:lineTo x="19503" y="18361"/>
                    <wp:lineTo x="19713" y="17979"/>
                    <wp:lineTo x="21600" y="12623"/>
                    <wp:lineTo x="21600" y="7651"/>
                    <wp:lineTo x="21390" y="4208"/>
                    <wp:lineTo x="15518" y="-383"/>
                    <wp:lineTo x="13421" y="-383"/>
                    <wp:lineTo x="7969" y="-383"/>
                  </wp:wrapPolygon>
                </wp:wrapTight>
                <wp:docPr id="740537203" name="Ar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075690"/>
                        </a:xfrm>
                        <a:prstGeom prst="arc">
                          <a:avLst>
                            <a:gd name="adj1" fmla="val 16200000"/>
                            <a:gd name="adj2" fmla="val 16200000"/>
                          </a:avLst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B42B5" id="Arc 20" o:spid="_x0000_s1026" style="position:absolute;margin-left:548.5pt;margin-top:74pt;width:154.5pt;height:84.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1962150,1075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" path="m981075,nsc1522908,,1962150,240801,1962150,537845v,297044,-439242,537845,-981075,537845c439242,1075690,,834889,,537845,,240801,439242,,981075,r,537845l981075,xem981075,nfc1522908,,1962150,240801,1962150,537845v,297044,-439242,537845,-981075,537845c439242,1075690,,834889,,537845,,240801,439242,,981075,e" filled="f" strokecolor="black [3200]" strokeweight="3pt">
                <v:stroke joinstyle="miter"/>
                <v:path arrowok="t" o:connecttype="custom" o:connectlocs="981075,0;1962150,537845;981075,1075690;0,537845;981075,0" o:connectangles="0,0,0,0,0"/>
                <w10:wrap type="tight" anchory="pag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57216" behindDoc="0" locked="0" layoutInCell="1" allowOverlap="1" wp14:anchorId="77A08E72" wp14:editId="4D61FC3B">
            <wp:simplePos x="0" y="0"/>
            <wp:positionH relativeFrom="column">
              <wp:posOffset>-781050</wp:posOffset>
            </wp:positionH>
            <wp:positionV relativeFrom="paragraph">
              <wp:posOffset>-228600</wp:posOffset>
            </wp:positionV>
            <wp:extent cx="9836150" cy="6807200"/>
            <wp:effectExtent l="19050" t="19050" r="12700" b="12700"/>
            <wp:wrapNone/>
            <wp:docPr id="3270686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888B55" wp14:editId="599C1111">
                <wp:simplePos x="0" y="0"/>
                <wp:positionH relativeFrom="page">
                  <wp:align>right</wp:align>
                </wp:positionH>
                <wp:positionV relativeFrom="paragraph">
                  <wp:posOffset>-901700</wp:posOffset>
                </wp:positionV>
                <wp:extent cx="10045700" cy="641350"/>
                <wp:effectExtent l="0" t="0" r="12700" b="25400"/>
                <wp:wrapNone/>
                <wp:docPr id="11456759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0" cy="641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097A44" w14:textId="07D66B2B" w:rsidR="00B56C88" w:rsidRPr="00C54F40" w:rsidRDefault="00E85A03" w:rsidP="00E85A03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0" w:name="_Hlk199356287"/>
                            <w:r w:rsidRPr="00C54F40">
                              <w:rPr>
                                <w:rFonts w:ascii="Rockwell" w:hAnsi="Rockwel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RUN CHART WITH MULTIPLE PDSA CYCLES TO </w:t>
                            </w:r>
                            <w:bookmarkEnd w:id="0"/>
                            <w:r w:rsidR="00C54F40" w:rsidRPr="00C54F40">
                              <w:rPr>
                                <w:rFonts w:ascii="Rockwell" w:hAnsi="Rockwel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SUSTAINING IMPROVEMENT IN WHO SAFE SURGERY CHECKLIST (SSC) ADHERENCE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88B55" id="Rectangle 1" o:spid="_x0000_s1026" style="position:absolute;margin-left:739.8pt;margin-top:-71pt;width:791pt;height:50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" fillcolor="black [3200]" strokecolor="white [3201]" strokeweight="1.5pt">
                <v:textbox>
                  <w:txbxContent>
                    <w:p w14:paraId="26097A44" w14:textId="07D66B2B" w:rsidR="00B56C88" w:rsidRPr="00C54F40" w:rsidRDefault="00E85A03" w:rsidP="00E85A03">
                      <w:pPr>
                        <w:jc w:val="center"/>
                        <w:rPr>
                          <w:rFonts w:ascii="Rockwell" w:hAnsi="Rockwel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bookmarkStart w:id="1" w:name="_Hlk199356287"/>
                      <w:r w:rsidRPr="00C54F40">
                        <w:rPr>
                          <w:rFonts w:ascii="Rockwell" w:hAnsi="Rockwel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RUN CHART WITH MULTIPLE PDSA CYCLES TO </w:t>
                      </w:r>
                      <w:bookmarkEnd w:id="1"/>
                      <w:r w:rsidR="00C54F40" w:rsidRPr="00C54F40">
                        <w:rPr>
                          <w:rFonts w:ascii="Rockwell" w:hAnsi="Rockwel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SUSTAINING IMPROVEMENT IN WHO SAFE SURGERY CHECKLIST (SSC) ADHERENCE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A8D1637" w14:textId="4C2C335B" w:rsidR="00B56C88" w:rsidRPr="00B56C88" w:rsidRDefault="00B56C88" w:rsidP="00B56C88"/>
    <w:p w14:paraId="57EC3B2B" w14:textId="77777777" w:rsidR="00B56C88" w:rsidRPr="00B56C88" w:rsidRDefault="00B56C88" w:rsidP="00B56C88"/>
    <w:p w14:paraId="42353F15" w14:textId="77777777" w:rsidR="00B56C88" w:rsidRPr="00B56C88" w:rsidRDefault="00B56C88" w:rsidP="00B56C88"/>
    <w:p w14:paraId="1E72AC3D" w14:textId="77777777" w:rsidR="00B56C88" w:rsidRPr="00B56C88" w:rsidRDefault="00B56C88" w:rsidP="00B56C88"/>
    <w:p w14:paraId="1819E253" w14:textId="77777777" w:rsidR="00B56C88" w:rsidRPr="00B56C88" w:rsidRDefault="00B56C88" w:rsidP="00B56C88"/>
    <w:p w14:paraId="57375D8B" w14:textId="77777777" w:rsidR="00B56C88" w:rsidRPr="00B56C88" w:rsidRDefault="00B56C88" w:rsidP="00B56C88"/>
    <w:p w14:paraId="3586F62E" w14:textId="77777777" w:rsidR="00B56C88" w:rsidRPr="00B56C88" w:rsidRDefault="00B56C88" w:rsidP="00B56C88"/>
    <w:p w14:paraId="11DB2FA3" w14:textId="77777777" w:rsidR="00B56C88" w:rsidRPr="00B56C88" w:rsidRDefault="00B56C88" w:rsidP="00B56C88"/>
    <w:p w14:paraId="62EC966F" w14:textId="77777777" w:rsidR="00B56C88" w:rsidRPr="00B56C88" w:rsidRDefault="00B56C88" w:rsidP="00B56C88"/>
    <w:p w14:paraId="1ADB3371" w14:textId="77777777" w:rsidR="00B56C88" w:rsidRPr="00B56C88" w:rsidRDefault="00B56C88" w:rsidP="00B56C88"/>
    <w:p w14:paraId="56000BB1" w14:textId="77777777" w:rsidR="00B56C88" w:rsidRPr="00B56C88" w:rsidRDefault="00B56C88" w:rsidP="00B56C88"/>
    <w:p w14:paraId="161D9EDA" w14:textId="77777777" w:rsidR="00B56C88" w:rsidRPr="00B56C88" w:rsidRDefault="00B56C88" w:rsidP="00B56C88"/>
    <w:p w14:paraId="5731617A" w14:textId="77777777" w:rsidR="00B56C88" w:rsidRPr="00B56C88" w:rsidRDefault="00B56C88" w:rsidP="00B56C88"/>
    <w:p w14:paraId="60E9D5DF" w14:textId="77777777" w:rsidR="00B56C88" w:rsidRPr="00B56C88" w:rsidRDefault="00B56C88" w:rsidP="00B56C88"/>
    <w:p w14:paraId="7FE1975C" w14:textId="77777777" w:rsidR="00B56C88" w:rsidRPr="00B56C88" w:rsidRDefault="00B56C88" w:rsidP="00B56C88"/>
    <w:p w14:paraId="0D054C38" w14:textId="77777777" w:rsidR="00B56C88" w:rsidRPr="00B56C88" w:rsidRDefault="00B56C88" w:rsidP="00B56C88"/>
    <w:p w14:paraId="689B7B6F" w14:textId="77777777" w:rsidR="00B56C88" w:rsidRPr="00B56C88" w:rsidRDefault="00B56C88" w:rsidP="00B56C88"/>
    <w:p w14:paraId="0A0A6E48" w14:textId="77777777" w:rsidR="00B56C88" w:rsidRPr="00B56C88" w:rsidRDefault="00B56C88" w:rsidP="00B56C88"/>
    <w:p w14:paraId="17067B00" w14:textId="77777777" w:rsidR="00B56C88" w:rsidRPr="00B56C88" w:rsidRDefault="00B56C88" w:rsidP="00B56C88"/>
    <w:p w14:paraId="748404DC" w14:textId="77777777" w:rsidR="00B56C88" w:rsidRPr="00B56C88" w:rsidRDefault="00B56C88" w:rsidP="00B56C88"/>
    <w:p w14:paraId="38DCFFA7" w14:textId="77777777" w:rsidR="00B56C88" w:rsidRPr="00B56C88" w:rsidRDefault="00B56C88" w:rsidP="00B56C88"/>
    <w:p w14:paraId="25B90619" w14:textId="77777777" w:rsidR="00B56C88" w:rsidRPr="00B56C88" w:rsidRDefault="00B56C88" w:rsidP="00B56C88"/>
    <w:p w14:paraId="176A09B2" w14:textId="77777777" w:rsidR="00B56C88" w:rsidRPr="00B56C88" w:rsidRDefault="00B56C88" w:rsidP="00B56C88"/>
    <w:p w14:paraId="33A2BAF3" w14:textId="77777777" w:rsidR="00B56C88" w:rsidRPr="00B56C88" w:rsidRDefault="00B56C88" w:rsidP="00B56C88"/>
    <w:p w14:paraId="3C6D9961" w14:textId="77777777" w:rsidR="00B56C88" w:rsidRPr="00B56C88" w:rsidRDefault="00B56C88" w:rsidP="00B56C88"/>
    <w:p w14:paraId="05192713" w14:textId="544A348C" w:rsidR="00B56C88" w:rsidRPr="00B56C88" w:rsidRDefault="00337167" w:rsidP="00B56C88">
      <w:r>
        <w:t>s</w:t>
      </w:r>
    </w:p>
    <w:p w14:paraId="6A2DB4BE" w14:textId="77777777" w:rsidR="00B56C88" w:rsidRDefault="00B56C88" w:rsidP="00B56C88"/>
    <w:p w14:paraId="09026A53" w14:textId="77777777" w:rsidR="00B56C88" w:rsidRPr="00B56C88" w:rsidRDefault="00B56C88" w:rsidP="00B56C88"/>
    <w:p w14:paraId="1E862FD6" w14:textId="77777777" w:rsidR="00B56C88" w:rsidRPr="00B56C88" w:rsidRDefault="00B56C88" w:rsidP="00B56C88"/>
    <w:p w14:paraId="3B9B8BE0" w14:textId="77777777" w:rsidR="00B56C88" w:rsidRPr="00B56C88" w:rsidRDefault="00B56C88" w:rsidP="00B56C88"/>
    <w:p w14:paraId="3470EA3A" w14:textId="77777777" w:rsidR="00B56C88" w:rsidRPr="00B56C88" w:rsidRDefault="00B56C88" w:rsidP="00B56C88"/>
    <w:p w14:paraId="40734026" w14:textId="77777777" w:rsidR="00B56C88" w:rsidRDefault="00B56C88" w:rsidP="00B56C88"/>
    <w:p w14:paraId="22B44571" w14:textId="77777777" w:rsidR="00B56C88" w:rsidRDefault="00B56C88" w:rsidP="00B56C88"/>
    <w:p w14:paraId="5B32D9FA" w14:textId="77777777" w:rsidR="00B56C88" w:rsidRDefault="00B56C88" w:rsidP="00B56C88">
      <w:pPr>
        <w:pStyle w:val="Caption"/>
        <w:ind w:left="720"/>
        <w:jc w:val="center"/>
      </w:pPr>
      <w:r>
        <w:tab/>
      </w:r>
      <w:bookmarkStart w:id="2" w:name="_Toc199368777"/>
      <w:bookmarkStart w:id="3" w:name="_Toc199543031"/>
      <w:bookmarkStart w:id="4" w:name="_Toc199543190"/>
    </w:p>
    <w:bookmarkEnd w:id="2"/>
    <w:bookmarkEnd w:id="3"/>
    <w:bookmarkEnd w:id="4"/>
    <w:p w14:paraId="3065A5EF" w14:textId="0044018B" w:rsidR="00B56C88" w:rsidRPr="00B56C88" w:rsidRDefault="00B56C88" w:rsidP="00896D92">
      <w:pPr>
        <w:tabs>
          <w:tab w:val="left" w:pos="3980"/>
        </w:tabs>
      </w:pPr>
    </w:p>
    <w:sectPr w:rsidR="00B56C88" w:rsidRPr="00B56C88" w:rsidSect="00D60A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2F939" w14:textId="77777777" w:rsidR="00AB6E29" w:rsidRDefault="00AB6E29" w:rsidP="00B56C88">
      <w:r>
        <w:separator/>
      </w:r>
    </w:p>
  </w:endnote>
  <w:endnote w:type="continuationSeparator" w:id="0">
    <w:p w14:paraId="63D4E6D9" w14:textId="77777777" w:rsidR="00AB6E29" w:rsidRDefault="00AB6E29" w:rsidP="00B56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3437C" w14:textId="77777777" w:rsidR="00AB6E29" w:rsidRDefault="00AB6E29" w:rsidP="00B56C88">
      <w:r>
        <w:separator/>
      </w:r>
    </w:p>
  </w:footnote>
  <w:footnote w:type="continuationSeparator" w:id="0">
    <w:p w14:paraId="5CA3B918" w14:textId="77777777" w:rsidR="00AB6E29" w:rsidRDefault="00AB6E29" w:rsidP="00B56C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A2"/>
    <w:rsid w:val="00023125"/>
    <w:rsid w:val="00183B39"/>
    <w:rsid w:val="00295181"/>
    <w:rsid w:val="002E24AD"/>
    <w:rsid w:val="002F1E0E"/>
    <w:rsid w:val="00337167"/>
    <w:rsid w:val="00491C6E"/>
    <w:rsid w:val="004D3988"/>
    <w:rsid w:val="005A56DF"/>
    <w:rsid w:val="00626A64"/>
    <w:rsid w:val="0077409F"/>
    <w:rsid w:val="00896D92"/>
    <w:rsid w:val="008C2673"/>
    <w:rsid w:val="008F74C1"/>
    <w:rsid w:val="0096378E"/>
    <w:rsid w:val="00AB6E29"/>
    <w:rsid w:val="00B56C88"/>
    <w:rsid w:val="00B74463"/>
    <w:rsid w:val="00C35CD8"/>
    <w:rsid w:val="00C54F40"/>
    <w:rsid w:val="00D60AA2"/>
    <w:rsid w:val="00D749C8"/>
    <w:rsid w:val="00D8300E"/>
    <w:rsid w:val="00E8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201D193"/>
  <w15:chartTrackingRefBased/>
  <w15:docId w15:val="{65E8C908-F836-4622-BA36-C9B3AB32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C88"/>
    <w:pPr>
      <w:widowControl w:val="0"/>
      <w:autoSpaceDE w:val="0"/>
      <w:autoSpaceDN w:val="0"/>
      <w:spacing w:after="0" w:line="240" w:lineRule="auto"/>
    </w:pPr>
    <w:rPr>
      <w:rFonts w:ascii="Gill Sans MT" w:eastAsia="Gill Sans MT" w:hAnsi="Gill Sans MT" w:cs="Gill Sans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AA2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A2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A2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A2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A2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A2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A2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A2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A2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A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A2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A2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0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A2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0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A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A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56C88"/>
    <w:pPr>
      <w:spacing w:after="200"/>
    </w:pPr>
    <w:rPr>
      <w:rFonts w:ascii="Rockwell" w:eastAsia="Rockwell" w:hAnsi="Rockwell" w:cs="Rockwell"/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56C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6C88"/>
    <w:rPr>
      <w:rFonts w:ascii="Gill Sans MT" w:eastAsia="Gill Sans MT" w:hAnsi="Gill Sans MT" w:cs="Gill Sans MT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6C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6C88"/>
    <w:rPr>
      <w:rFonts w:ascii="Gill Sans MT" w:eastAsia="Gill Sans MT" w:hAnsi="Gill Sans MT" w:cs="Gill Sans M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8.3282253975808865E-2"/>
          <c:y val="1.4316852777508772E-2"/>
          <c:w val="0.90209006952588378"/>
          <c:h val="0.62083750894774514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# of charts with fully completed Checklist (SSC)</c:v>
                </c:pt>
              </c:strCache>
            </c:strRef>
          </c:tx>
          <c:spPr>
            <a:ln w="38100" cap="rnd">
              <a:solidFill>
                <a:srgbClr val="00B050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38100">
                <a:solidFill>
                  <a:srgbClr val="00B050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Sheet1!$A$2:$A$15</c:f>
              <c:strCache>
                <c:ptCount val="14"/>
                <c:pt idx="0">
                  <c:v>Baseline</c:v>
                </c:pt>
                <c:pt idx="1">
                  <c:v>15-Jan-17</c:v>
                </c:pt>
                <c:pt idx="2">
                  <c:v>30-Jan-17</c:v>
                </c:pt>
                <c:pt idx="3">
                  <c:v>15-Feb-17</c:v>
                </c:pt>
                <c:pt idx="4">
                  <c:v>30-Feb-17</c:v>
                </c:pt>
                <c:pt idx="5">
                  <c:v>15-Mar-17</c:v>
                </c:pt>
                <c:pt idx="6">
                  <c:v>30-Mar-17</c:v>
                </c:pt>
                <c:pt idx="7">
                  <c:v>15-Apr-17</c:v>
                </c:pt>
                <c:pt idx="8">
                  <c:v>30-Apr-17</c:v>
                </c:pt>
                <c:pt idx="9">
                  <c:v>15-May-17</c:v>
                </c:pt>
                <c:pt idx="10">
                  <c:v>30-May-17</c:v>
                </c:pt>
                <c:pt idx="11">
                  <c:v>15-Jun-17</c:v>
                </c:pt>
                <c:pt idx="12">
                  <c:v>30-Jun-17</c:v>
                </c:pt>
                <c:pt idx="13">
                  <c:v>30-Aug-17</c:v>
                </c:pt>
              </c:strCache>
            </c:strRef>
          </c:cat>
          <c:val>
            <c:numRef>
              <c:f>Sheet1!$B$2:$B$15</c:f>
            </c:numRef>
          </c:val>
          <c:smooth val="0"/>
          <c:extLst>
            <c:ext xmlns:c16="http://schemas.microsoft.com/office/drawing/2014/chart" uri="{C3380CC4-5D6E-409C-BE32-E72D297353CC}">
              <c16:uniqueId val="{00000000-6D3D-4778-96B3-96F501D8F5C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Total # of audited surgical cases.</c:v>
                </c:pt>
              </c:strCache>
            </c:strRef>
          </c:tx>
          <c:spPr>
            <a:ln w="38100" cap="rnd">
              <a:solidFill>
                <a:srgbClr val="FF0000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2"/>
              </a:solidFill>
              <a:ln w="38100">
                <a:solidFill>
                  <a:srgbClr val="FF0000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Sheet1!$A$2:$A$15</c:f>
              <c:strCache>
                <c:ptCount val="14"/>
                <c:pt idx="0">
                  <c:v>Baseline</c:v>
                </c:pt>
                <c:pt idx="1">
                  <c:v>15-Jan-17</c:v>
                </c:pt>
                <c:pt idx="2">
                  <c:v>30-Jan-17</c:v>
                </c:pt>
                <c:pt idx="3">
                  <c:v>15-Feb-17</c:v>
                </c:pt>
                <c:pt idx="4">
                  <c:v>30-Feb-17</c:v>
                </c:pt>
                <c:pt idx="5">
                  <c:v>15-Mar-17</c:v>
                </c:pt>
                <c:pt idx="6">
                  <c:v>30-Mar-17</c:v>
                </c:pt>
                <c:pt idx="7">
                  <c:v>15-Apr-17</c:v>
                </c:pt>
                <c:pt idx="8">
                  <c:v>30-Apr-17</c:v>
                </c:pt>
                <c:pt idx="9">
                  <c:v>15-May-17</c:v>
                </c:pt>
                <c:pt idx="10">
                  <c:v>30-May-17</c:v>
                </c:pt>
                <c:pt idx="11">
                  <c:v>15-Jun-17</c:v>
                </c:pt>
                <c:pt idx="12">
                  <c:v>30-Jun-17</c:v>
                </c:pt>
                <c:pt idx="13">
                  <c:v>30-Aug-17</c:v>
                </c:pt>
              </c:strCache>
            </c:strRef>
          </c:cat>
          <c:val>
            <c:numRef>
              <c:f>Sheet1!$C$2:$C$15</c:f>
            </c:numRef>
          </c:val>
          <c:smooth val="0"/>
          <c:extLst>
            <c:ext xmlns:c16="http://schemas.microsoft.com/office/drawing/2014/chart" uri="{C3380CC4-5D6E-409C-BE32-E72D297353CC}">
              <c16:uniqueId val="{00000001-6D3D-4778-96B3-96F501D8F5C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% of SSC adherence</c:v>
                </c:pt>
              </c:strCache>
            </c:strRef>
          </c:tx>
          <c:spPr>
            <a:ln w="57150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6"/>
            <c:spPr>
              <a:solidFill>
                <a:schemeClr val="accent3"/>
              </a:solidFill>
              <a:ln w="57150">
                <a:solidFill>
                  <a:srgbClr val="00B050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Sheet1!$A$2:$A$15</c:f>
              <c:strCache>
                <c:ptCount val="14"/>
                <c:pt idx="0">
                  <c:v>Baseline</c:v>
                </c:pt>
                <c:pt idx="1">
                  <c:v>15-Jan-17</c:v>
                </c:pt>
                <c:pt idx="2">
                  <c:v>30-Jan-17</c:v>
                </c:pt>
                <c:pt idx="3">
                  <c:v>15-Feb-17</c:v>
                </c:pt>
                <c:pt idx="4">
                  <c:v>30-Feb-17</c:v>
                </c:pt>
                <c:pt idx="5">
                  <c:v>15-Mar-17</c:v>
                </c:pt>
                <c:pt idx="6">
                  <c:v>30-Mar-17</c:v>
                </c:pt>
                <c:pt idx="7">
                  <c:v>15-Apr-17</c:v>
                </c:pt>
                <c:pt idx="8">
                  <c:v>30-Apr-17</c:v>
                </c:pt>
                <c:pt idx="9">
                  <c:v>15-May-17</c:v>
                </c:pt>
                <c:pt idx="10">
                  <c:v>30-May-17</c:v>
                </c:pt>
                <c:pt idx="11">
                  <c:v>15-Jun-17</c:v>
                </c:pt>
                <c:pt idx="12">
                  <c:v>30-Jun-17</c:v>
                </c:pt>
                <c:pt idx="13">
                  <c:v>30-Aug-17</c:v>
                </c:pt>
              </c:strCache>
            </c:strRef>
          </c:cat>
          <c:val>
            <c:numRef>
              <c:f>Sheet1!$D$2:$D$15</c:f>
              <c:numCache>
                <c:formatCode>General</c:formatCode>
                <c:ptCount val="14"/>
                <c:pt idx="0">
                  <c:v>60</c:v>
                </c:pt>
                <c:pt idx="1">
                  <c:v>80</c:v>
                </c:pt>
                <c:pt idx="2">
                  <c:v>80</c:v>
                </c:pt>
                <c:pt idx="3">
                  <c:v>100</c:v>
                </c:pt>
                <c:pt idx="4">
                  <c:v>90</c:v>
                </c:pt>
                <c:pt idx="5">
                  <c:v>100</c:v>
                </c:pt>
                <c:pt idx="6">
                  <c:v>90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95</c:v>
                </c:pt>
                <c:pt idx="12">
                  <c:v>100</c:v>
                </c:pt>
                <c:pt idx="13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D3D-4778-96B3-96F501D8F5C5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Baseline Median</c:v>
                </c:pt>
              </c:strCache>
            </c:strRef>
          </c:tx>
          <c:spPr>
            <a:ln w="38100" cap="rnd">
              <a:solidFill>
                <a:srgbClr val="FF0000"/>
              </a:solidFill>
              <a:round/>
            </a:ln>
            <a:effectLst/>
          </c:spPr>
          <c:marker>
            <c:symbol val="x"/>
            <c:size val="6"/>
            <c:spPr>
              <a:noFill/>
              <a:ln w="38100">
                <a:solidFill>
                  <a:srgbClr val="FF0000"/>
                </a:solidFill>
                <a:round/>
              </a:ln>
              <a:effectLst/>
            </c:spPr>
          </c:marker>
          <c:dLbls>
            <c:delete val="1"/>
          </c:dLbls>
          <c:cat>
            <c:strRef>
              <c:f>Sheet1!$A$2:$A$15</c:f>
              <c:strCache>
                <c:ptCount val="14"/>
                <c:pt idx="0">
                  <c:v>Baseline</c:v>
                </c:pt>
                <c:pt idx="1">
                  <c:v>15-Jan-17</c:v>
                </c:pt>
                <c:pt idx="2">
                  <c:v>30-Jan-17</c:v>
                </c:pt>
                <c:pt idx="3">
                  <c:v>15-Feb-17</c:v>
                </c:pt>
                <c:pt idx="4">
                  <c:v>30-Feb-17</c:v>
                </c:pt>
                <c:pt idx="5">
                  <c:v>15-Mar-17</c:v>
                </c:pt>
                <c:pt idx="6">
                  <c:v>30-Mar-17</c:v>
                </c:pt>
                <c:pt idx="7">
                  <c:v>15-Apr-17</c:v>
                </c:pt>
                <c:pt idx="8">
                  <c:v>30-Apr-17</c:v>
                </c:pt>
                <c:pt idx="9">
                  <c:v>15-May-17</c:v>
                </c:pt>
                <c:pt idx="10">
                  <c:v>30-May-17</c:v>
                </c:pt>
                <c:pt idx="11">
                  <c:v>15-Jun-17</c:v>
                </c:pt>
                <c:pt idx="12">
                  <c:v>30-Jun-17</c:v>
                </c:pt>
                <c:pt idx="13">
                  <c:v>30-Aug-17</c:v>
                </c:pt>
              </c:strCache>
            </c:strRef>
          </c:cat>
          <c:val>
            <c:numRef>
              <c:f>Sheet1!$E$2:$E$15</c:f>
              <c:numCache>
                <c:formatCode>General</c:formatCode>
                <c:ptCount val="14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  <c:pt idx="4">
                  <c:v>60</c:v>
                </c:pt>
                <c:pt idx="5">
                  <c:v>60</c:v>
                </c:pt>
                <c:pt idx="6">
                  <c:v>60</c:v>
                </c:pt>
                <c:pt idx="7">
                  <c:v>60</c:v>
                </c:pt>
                <c:pt idx="8">
                  <c:v>60</c:v>
                </c:pt>
                <c:pt idx="9">
                  <c:v>60</c:v>
                </c:pt>
                <c:pt idx="10">
                  <c:v>60</c:v>
                </c:pt>
                <c:pt idx="11">
                  <c:v>60</c:v>
                </c:pt>
                <c:pt idx="12">
                  <c:v>60</c:v>
                </c:pt>
                <c:pt idx="13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D3D-4778-96B3-96F501D8F5C5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Intervention Median</c:v>
                </c:pt>
              </c:strCache>
            </c:strRef>
          </c:tx>
          <c:spPr>
            <a:ln w="57150" cap="rnd">
              <a:solidFill>
                <a:srgbClr val="7030A0"/>
              </a:solidFill>
              <a:round/>
            </a:ln>
            <a:effectLst/>
          </c:spPr>
          <c:marker>
            <c:symbol val="star"/>
            <c:size val="6"/>
            <c:spPr>
              <a:noFill/>
              <a:ln w="57150">
                <a:solidFill>
                  <a:srgbClr val="7030A0"/>
                </a:solidFill>
                <a:round/>
              </a:ln>
              <a:effectLst/>
            </c:spPr>
          </c:marker>
          <c:dLbls>
            <c:delete val="1"/>
          </c:dLbls>
          <c:cat>
            <c:strRef>
              <c:f>Sheet1!$A$2:$A$15</c:f>
              <c:strCache>
                <c:ptCount val="14"/>
                <c:pt idx="0">
                  <c:v>Baseline</c:v>
                </c:pt>
                <c:pt idx="1">
                  <c:v>15-Jan-17</c:v>
                </c:pt>
                <c:pt idx="2">
                  <c:v>30-Jan-17</c:v>
                </c:pt>
                <c:pt idx="3">
                  <c:v>15-Feb-17</c:v>
                </c:pt>
                <c:pt idx="4">
                  <c:v>30-Feb-17</c:v>
                </c:pt>
                <c:pt idx="5">
                  <c:v>15-Mar-17</c:v>
                </c:pt>
                <c:pt idx="6">
                  <c:v>30-Mar-17</c:v>
                </c:pt>
                <c:pt idx="7">
                  <c:v>15-Apr-17</c:v>
                </c:pt>
                <c:pt idx="8">
                  <c:v>30-Apr-17</c:v>
                </c:pt>
                <c:pt idx="9">
                  <c:v>15-May-17</c:v>
                </c:pt>
                <c:pt idx="10">
                  <c:v>30-May-17</c:v>
                </c:pt>
                <c:pt idx="11">
                  <c:v>15-Jun-17</c:v>
                </c:pt>
                <c:pt idx="12">
                  <c:v>30-Jun-17</c:v>
                </c:pt>
                <c:pt idx="13">
                  <c:v>30-Aug-17</c:v>
                </c:pt>
              </c:strCache>
            </c:strRef>
          </c:cat>
          <c:val>
            <c:numRef>
              <c:f>Sheet1!$F$2:$F$15</c:f>
              <c:numCache>
                <c:formatCode>General</c:formatCode>
                <c:ptCount val="14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  <c:pt idx="12">
                  <c:v>100</c:v>
                </c:pt>
                <c:pt idx="13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6D3D-4778-96B3-96F501D8F5C5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622884399"/>
        <c:axId val="622884879"/>
      </c:lineChart>
      <c:catAx>
        <c:axId val="6228843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US" sz="1400" b="1" i="0" baseline="0">
                    <a:effectLst/>
                  </a:rPr>
                  <a:t>Time: Bi-weekly</a:t>
                </a:r>
              </a:p>
            </c:rich>
          </c:tx>
          <c:layout>
            <c:manualLayout>
              <c:xMode val="edge"/>
              <c:yMode val="edge"/>
              <c:x val="0.44577549393272353"/>
              <c:y val="0.8306911821011803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spc="120" normalizeH="0" baseline="0">
                <a:solidFill>
                  <a:sysClr val="windowText" lastClr="000000"/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622884879"/>
        <c:crosses val="autoZero"/>
        <c:auto val="0"/>
        <c:lblAlgn val="ctr"/>
        <c:lblOffset val="100"/>
        <c:noMultiLvlLbl val="0"/>
      </c:catAx>
      <c:valAx>
        <c:axId val="62288487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US" sz="1400" b="1" i="0" baseline="0">
                    <a:effectLst/>
                  </a:rPr>
                  <a:t>Percenatge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6228843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Rockwell" panose="02060603020205020403" pitchFamily="18" charset="0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38100" cap="flat" cmpd="sng" algn="ctr">
      <a:solidFill>
        <a:srgbClr val="252FF7"/>
      </a:solidFill>
      <a:round/>
    </a:ln>
    <a:effectLst/>
  </c:spPr>
  <c:txPr>
    <a:bodyPr/>
    <a:lstStyle/>
    <a:p>
      <a:pPr>
        <a:defRPr>
          <a:latin typeface="Rockwell" panose="02060603020205020403" pitchFamily="18" charset="0"/>
        </a:defRPr>
      </a:pPr>
      <a:endParaRPr lang="en-US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0.182</cdr:x>
      <cdr:y>0.23084</cdr:y>
    </cdr:from>
    <cdr:to>
      <cdr:x>0.19145</cdr:x>
      <cdr:y>0.42226</cdr:y>
    </cdr:to>
    <cdr:cxnSp macro="">
      <cdr:nvCxnSpPr>
        <cdr:cNvPr id="12" name="Straight Arrow Connector 11"/>
        <cdr:cNvCxnSpPr/>
      </cdr:nvCxnSpPr>
      <cdr:spPr>
        <a:xfrm xmlns:a="http://schemas.openxmlformats.org/drawingml/2006/main" flipH="1" flipV="1">
          <a:off x="1758950" y="1549400"/>
          <a:ext cx="91394" cy="1284775"/>
        </a:xfrm>
        <a:prstGeom xmlns:a="http://schemas.openxmlformats.org/drawingml/2006/main" prst="straightConnector1">
          <a:avLst/>
        </a:prstGeom>
        <a:noFill xmlns:a="http://schemas.openxmlformats.org/drawingml/2006/main"/>
        <a:ln xmlns:a="http://schemas.openxmlformats.org/drawingml/2006/main" w="57150" cap="flat" cmpd="sng" algn="ctr">
          <a:solidFill>
            <a:schemeClr val="tx1"/>
          </a:solidFill>
          <a:prstDash val="solid"/>
          <a:miter lim="800000"/>
          <a:tailEnd type="triangle"/>
        </a:ln>
        <a:effectLst xmlns:a="http://schemas.openxmlformats.org/drawingml/2006/main"/>
      </cdr:spPr>
    </cdr:cxnSp>
  </cdr:relSizeAnchor>
  <cdr:relSizeAnchor xmlns:cdr="http://schemas.openxmlformats.org/drawingml/2006/chartDrawing">
    <cdr:from>
      <cdr:x>0.07389</cdr:x>
      <cdr:y>0.41994</cdr:y>
    </cdr:from>
    <cdr:to>
      <cdr:x>0.35738</cdr:x>
      <cdr:y>0.58067</cdr:y>
    </cdr:to>
    <cdr:sp macro="" textlink="">
      <cdr:nvSpPr>
        <cdr:cNvPr id="13" name="Oval 12"/>
        <cdr:cNvSpPr/>
      </cdr:nvSpPr>
      <cdr:spPr>
        <a:xfrm xmlns:a="http://schemas.openxmlformats.org/drawingml/2006/main" rot="20149031">
          <a:off x="714084" y="2818589"/>
          <a:ext cx="2739853" cy="1078811"/>
        </a:xfrm>
        <a:prstGeom xmlns:a="http://schemas.openxmlformats.org/drawingml/2006/main" prst="ellipse">
          <a:avLst/>
        </a:prstGeom>
        <a:ln xmlns:a="http://schemas.openxmlformats.org/drawingml/2006/main"/>
      </cdr:spPr>
      <cdr:style>
        <a:lnRef xmlns:a="http://schemas.openxmlformats.org/drawingml/2006/main" idx="3">
          <a:schemeClr val="lt1"/>
        </a:lnRef>
        <a:fillRef xmlns:a="http://schemas.openxmlformats.org/drawingml/2006/main" idx="1">
          <a:schemeClr val="dk1"/>
        </a:fillRef>
        <a:effectRef xmlns:a="http://schemas.openxmlformats.org/drawingml/2006/main" idx="1">
          <a:schemeClr val="dk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 marL="0" marR="0" algn="ctr">
            <a:buNone/>
          </a:pPr>
          <a:r>
            <a:rPr lang="en-US" sz="1400" b="1" i="1">
              <a:solidFill>
                <a:schemeClr val="bg1"/>
              </a:solidFill>
              <a:effectLst/>
              <a:latin typeface="Rockwell" panose="02060603020205020403" pitchFamily="18" charset="0"/>
              <a:ea typeface="Cambria" panose="02040503050406030204" pitchFamily="18" charset="0"/>
              <a:cs typeface="Cambria" panose="02040503050406030204" pitchFamily="18" charset="0"/>
            </a:rPr>
            <a:t>PDSA 1</a:t>
          </a:r>
          <a:r>
            <a:rPr lang="en-US" sz="1200" b="1" i="1">
              <a:solidFill>
                <a:schemeClr val="bg1"/>
              </a:solidFill>
              <a:effectLst/>
              <a:latin typeface="Rockwell" panose="02060603020205020403" pitchFamily="18" charset="0"/>
              <a:ea typeface="Cambria" panose="02040503050406030204" pitchFamily="18" charset="0"/>
              <a:cs typeface="Cambria" panose="02040503050406030204" pitchFamily="18" charset="0"/>
            </a:rPr>
            <a:t>:</a:t>
          </a:r>
          <a:endParaRPr lang="en-US" sz="1100" b="1" i="1">
            <a:solidFill>
              <a:schemeClr val="bg1"/>
            </a:solidFill>
            <a:effectLst/>
            <a:latin typeface="Cambria" panose="02040503050406030204" pitchFamily="18" charset="0"/>
            <a:ea typeface="Cambria" panose="02040503050406030204" pitchFamily="18" charset="0"/>
            <a:cs typeface="Cambria" panose="02040503050406030204" pitchFamily="18" charset="0"/>
          </a:endParaRPr>
        </a:p>
        <a:p xmlns:a="http://schemas.openxmlformats.org/drawingml/2006/main">
          <a:pPr marL="0" marR="0" algn="ctr"/>
          <a:r>
            <a:rPr lang="en-US" sz="1400" b="1">
              <a:solidFill>
                <a:schemeClr val="bg1"/>
              </a:solidFill>
              <a:effectLst/>
              <a:latin typeface="Rockwell" panose="02060603020205020403" pitchFamily="18" charset="0"/>
              <a:ea typeface="Times New Roman" panose="02020603050405020304" pitchFamily="18" charset="0"/>
              <a:cs typeface="Segoe UI" panose="020B0502040204020203" pitchFamily="34" charset="0"/>
            </a:rPr>
            <a:t>Integrate SSC Checklists with </a:t>
          </a:r>
          <a:r>
            <a:rPr lang="en-US" sz="1600" b="1">
              <a:solidFill>
                <a:schemeClr val="bg1"/>
              </a:solidFill>
              <a:effectLst/>
              <a:latin typeface="Rockwell" panose="02060603020205020403" pitchFamily="18" charset="0"/>
              <a:ea typeface="Times New Roman" panose="02020603050405020304" pitchFamily="18" charset="0"/>
              <a:cs typeface="Segoe UI" panose="020B0502040204020203" pitchFamily="34" charset="0"/>
            </a:rPr>
            <a:t>EMR</a:t>
          </a:r>
          <a:endParaRPr lang="en-US" sz="1400" b="1">
            <a:solidFill>
              <a:schemeClr val="bg1"/>
            </a:solidFill>
            <a:effectLst/>
            <a:latin typeface="Cambria" panose="02040503050406030204" pitchFamily="18" charset="0"/>
            <a:ea typeface="Cambria" panose="02040503050406030204" pitchFamily="18" charset="0"/>
            <a:cs typeface="Cambria" panose="02040503050406030204" pitchFamily="18" charset="0"/>
          </a:endParaRPr>
        </a:p>
      </cdr:txBody>
    </cdr:sp>
  </cdr:relSizeAnchor>
  <cdr:relSizeAnchor xmlns:cdr="http://schemas.openxmlformats.org/drawingml/2006/chartDrawing">
    <cdr:from>
      <cdr:x>0.31275</cdr:x>
      <cdr:y>0.1334</cdr:y>
    </cdr:from>
    <cdr:to>
      <cdr:x>0.3488</cdr:x>
      <cdr:y>0.46863</cdr:y>
    </cdr:to>
    <cdr:cxnSp macro="">
      <cdr:nvCxnSpPr>
        <cdr:cNvPr id="8" name="Straight Arrow Connector 7"/>
        <cdr:cNvCxnSpPr>
          <a:stCxn xmlns:a="http://schemas.openxmlformats.org/drawingml/2006/main" id="2" idx="0"/>
        </cdr:cNvCxnSpPr>
      </cdr:nvCxnSpPr>
      <cdr:spPr>
        <a:xfrm xmlns:a="http://schemas.openxmlformats.org/drawingml/2006/main" flipH="1" flipV="1">
          <a:off x="3022600" y="895350"/>
          <a:ext cx="348495" cy="2250069"/>
        </a:xfrm>
        <a:prstGeom xmlns:a="http://schemas.openxmlformats.org/drawingml/2006/main" prst="straightConnector1">
          <a:avLst/>
        </a:prstGeom>
        <a:noFill xmlns:a="http://schemas.openxmlformats.org/drawingml/2006/main"/>
        <a:ln xmlns:a="http://schemas.openxmlformats.org/drawingml/2006/main" w="57150" cap="flat" cmpd="sng" algn="ctr">
          <a:solidFill>
            <a:schemeClr val="tx1"/>
          </a:solidFill>
          <a:prstDash val="solid"/>
          <a:miter lim="800000"/>
          <a:tailEnd type="triangle"/>
        </a:ln>
        <a:effectLst xmlns:a="http://schemas.openxmlformats.org/drawingml/2006/main"/>
      </cdr:spPr>
    </cdr:cxnSp>
  </cdr:relSizeAnchor>
  <cdr:relSizeAnchor xmlns:cdr="http://schemas.openxmlformats.org/drawingml/2006/chartDrawing">
    <cdr:from>
      <cdr:x>0.23079</cdr:x>
      <cdr:y>0.46109</cdr:y>
    </cdr:from>
    <cdr:to>
      <cdr:x>0.50962</cdr:x>
      <cdr:y>0.59461</cdr:y>
    </cdr:to>
    <cdr:sp macro="" textlink="">
      <cdr:nvSpPr>
        <cdr:cNvPr id="2" name="Oval 1"/>
        <cdr:cNvSpPr/>
      </cdr:nvSpPr>
      <cdr:spPr>
        <a:xfrm xmlns:a="http://schemas.openxmlformats.org/drawingml/2006/main" rot="19950656">
          <a:off x="2230545" y="3094829"/>
          <a:ext cx="2694763" cy="896192"/>
        </a:xfrm>
        <a:prstGeom xmlns:a="http://schemas.openxmlformats.org/drawingml/2006/main" prst="ellipse">
          <a:avLst/>
        </a:prstGeom>
        <a:ln xmlns:a="http://schemas.openxmlformats.org/drawingml/2006/main"/>
      </cdr:spPr>
      <cdr:style>
        <a:lnRef xmlns:a="http://schemas.openxmlformats.org/drawingml/2006/main" idx="3">
          <a:schemeClr val="lt1"/>
        </a:lnRef>
        <a:fillRef xmlns:a="http://schemas.openxmlformats.org/drawingml/2006/main" idx="1">
          <a:schemeClr val="dk1"/>
        </a:fillRef>
        <a:effectRef xmlns:a="http://schemas.openxmlformats.org/drawingml/2006/main" idx="1">
          <a:schemeClr val="dk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 marL="0" marR="0" algn="ctr">
            <a:buNone/>
          </a:pPr>
          <a:r>
            <a:rPr lang="en-US" sz="1400" b="1" i="1">
              <a:solidFill>
                <a:schemeClr val="bg1"/>
              </a:solidFill>
              <a:effectLst/>
              <a:latin typeface="Rockwell" panose="02060603020205020403" pitchFamily="18" charset="0"/>
              <a:ea typeface="Cambria" panose="02040503050406030204" pitchFamily="18" charset="0"/>
              <a:cs typeface="Cambria" panose="02040503050406030204" pitchFamily="18" charset="0"/>
            </a:rPr>
            <a:t>PDSA 2:</a:t>
          </a:r>
          <a:endParaRPr lang="en-US" sz="1050" b="1" i="1">
            <a:solidFill>
              <a:schemeClr val="bg1"/>
            </a:solidFill>
            <a:effectLst/>
            <a:latin typeface="Cambria" panose="02040503050406030204" pitchFamily="18" charset="0"/>
            <a:ea typeface="Cambria" panose="02040503050406030204" pitchFamily="18" charset="0"/>
            <a:cs typeface="Cambria" panose="02040503050406030204" pitchFamily="18" charset="0"/>
          </a:endParaRPr>
        </a:p>
        <a:p xmlns:a="http://schemas.openxmlformats.org/drawingml/2006/main">
          <a:pPr marL="0" marR="0" algn="ctr"/>
          <a:r>
            <a:rPr lang="en-US" sz="1400" b="1">
              <a:solidFill>
                <a:schemeClr val="bg1"/>
              </a:solidFill>
              <a:effectLst/>
              <a:latin typeface="Rockwell" panose="02060603020205020403" pitchFamily="18" charset="0"/>
              <a:ea typeface="Times New Roman" panose="02020603050405020304" pitchFamily="18" charset="0"/>
              <a:cs typeface="Segoe UI" panose="020B0502040204020203" pitchFamily="34" charset="0"/>
            </a:rPr>
            <a:t>Provide training on SSC</a:t>
          </a:r>
          <a:endParaRPr lang="en-US" sz="1200" b="1">
            <a:solidFill>
              <a:schemeClr val="bg1"/>
            </a:solidFill>
            <a:effectLst/>
            <a:latin typeface="Cambria" panose="02040503050406030204" pitchFamily="18" charset="0"/>
            <a:ea typeface="Cambria" panose="02040503050406030204" pitchFamily="18" charset="0"/>
            <a:cs typeface="Cambria" panose="02040503050406030204" pitchFamily="18" charset="0"/>
          </a:endParaRPr>
        </a:p>
      </cdr:txBody>
    </cdr:sp>
  </cdr:relSizeAnchor>
  <cdr:relSizeAnchor xmlns:cdr="http://schemas.openxmlformats.org/drawingml/2006/chartDrawing">
    <cdr:from>
      <cdr:x>0.39551</cdr:x>
      <cdr:y>0.43115</cdr:y>
    </cdr:from>
    <cdr:to>
      <cdr:x>0.71052</cdr:x>
      <cdr:y>0.58293</cdr:y>
    </cdr:to>
    <cdr:sp macro="" textlink="">
      <cdr:nvSpPr>
        <cdr:cNvPr id="7" name="Oval 6"/>
        <cdr:cNvSpPr/>
      </cdr:nvSpPr>
      <cdr:spPr>
        <a:xfrm xmlns:a="http://schemas.openxmlformats.org/drawingml/2006/main" rot="19819414">
          <a:off x="3822527" y="2893856"/>
          <a:ext cx="3044464" cy="1018758"/>
        </a:xfrm>
        <a:prstGeom xmlns:a="http://schemas.openxmlformats.org/drawingml/2006/main" prst="ellipse">
          <a:avLst/>
        </a:prstGeom>
        <a:solidFill xmlns:a="http://schemas.openxmlformats.org/drawingml/2006/main">
          <a:srgbClr val="002060"/>
        </a:solidFill>
        <a:ln xmlns:a="http://schemas.openxmlformats.org/drawingml/2006/main" w="38100" cap="flat" cmpd="sng" algn="ctr">
          <a:solidFill>
            <a:schemeClr val="tx2"/>
          </a:solidFill>
          <a:prstDash val="solid"/>
          <a:miter lim="800000"/>
        </a:ln>
        <a:effectLst xmlns:a="http://schemas.openxmlformats.org/drawingml/2006/main"/>
      </cdr:spPr>
      <cdr:txBody>
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 marL="0" marR="0" algn="ctr">
            <a:buNone/>
          </a:pPr>
          <a:r>
            <a:rPr lang="en-US" sz="1400" b="1" i="1">
              <a:solidFill>
                <a:schemeClr val="bg1"/>
              </a:solidFill>
              <a:effectLst/>
              <a:latin typeface="Rockwell" panose="02060603020205020403" pitchFamily="18" charset="0"/>
              <a:ea typeface="Cambria" panose="02040503050406030204" pitchFamily="18" charset="0"/>
              <a:cs typeface="Cambria" panose="02040503050406030204" pitchFamily="18" charset="0"/>
            </a:rPr>
            <a:t>PDSA</a:t>
          </a:r>
          <a:r>
            <a:rPr lang="en-US" sz="1600" b="1" i="1">
              <a:solidFill>
                <a:schemeClr val="bg1"/>
              </a:solidFill>
              <a:effectLst/>
              <a:latin typeface="Rockwell" panose="02060603020205020403" pitchFamily="18" charset="0"/>
              <a:ea typeface="Cambria" panose="02040503050406030204" pitchFamily="18" charset="0"/>
              <a:cs typeface="Cambria" panose="02040503050406030204" pitchFamily="18" charset="0"/>
            </a:rPr>
            <a:t> 3:</a:t>
          </a:r>
          <a:endParaRPr lang="en-US" sz="1100" i="1">
            <a:solidFill>
              <a:schemeClr val="bg1"/>
            </a:solidFill>
            <a:effectLst/>
            <a:latin typeface="Cambria" panose="02040503050406030204" pitchFamily="18" charset="0"/>
            <a:ea typeface="Cambria" panose="02040503050406030204" pitchFamily="18" charset="0"/>
            <a:cs typeface="Cambria" panose="02040503050406030204" pitchFamily="18" charset="0"/>
          </a:endParaRPr>
        </a:p>
        <a:p xmlns:a="http://schemas.openxmlformats.org/drawingml/2006/main">
          <a:pPr marL="0" marR="0" algn="ctr"/>
          <a:r>
            <a:rPr lang="en-US" sz="1400" b="0">
              <a:solidFill>
                <a:schemeClr val="bg1"/>
              </a:solidFill>
              <a:effectLst/>
              <a:latin typeface="Rockwell" panose="02060603020205020403" pitchFamily="18" charset="0"/>
              <a:ea typeface="Times New Roman" panose="02020603050405020304" pitchFamily="18" charset="0"/>
              <a:cs typeface="Segoe UI" panose="020B0502040204020203" pitchFamily="34" charset="0"/>
            </a:rPr>
            <a:t>Displaying SSC Posters in Key Area</a:t>
          </a:r>
          <a:endParaRPr lang="en-US" sz="1100" b="0">
            <a:solidFill>
              <a:schemeClr val="bg1"/>
            </a:solidFill>
            <a:effectLst/>
            <a:latin typeface="Cambria" panose="02040503050406030204" pitchFamily="18" charset="0"/>
            <a:ea typeface="Cambria" panose="02040503050406030204" pitchFamily="18" charset="0"/>
            <a:cs typeface="Cambria" panose="02040503050406030204" pitchFamily="18" charset="0"/>
          </a:endParaRPr>
        </a:p>
      </cdr:txBody>
    </cdr:sp>
  </cdr:relSizeAnchor>
  <cdr:relSizeAnchor xmlns:cdr="http://schemas.openxmlformats.org/drawingml/2006/chartDrawing">
    <cdr:from>
      <cdr:x>0.44218</cdr:x>
      <cdr:y>0.12677</cdr:y>
    </cdr:from>
    <cdr:to>
      <cdr:x>0.52692</cdr:x>
      <cdr:y>0.4411</cdr:y>
    </cdr:to>
    <cdr:cxnSp macro="">
      <cdr:nvCxnSpPr>
        <cdr:cNvPr id="10" name="Straight Arrow Connector 9"/>
        <cdr:cNvCxnSpPr>
          <a:stCxn xmlns:a="http://schemas.openxmlformats.org/drawingml/2006/main" id="7" idx="0"/>
        </cdr:cNvCxnSpPr>
      </cdr:nvCxnSpPr>
      <cdr:spPr>
        <a:xfrm xmlns:a="http://schemas.openxmlformats.org/drawingml/2006/main" flipH="1" flipV="1">
          <a:off x="4273550" y="850900"/>
          <a:ext cx="819015" cy="2109769"/>
        </a:xfrm>
        <a:prstGeom xmlns:a="http://schemas.openxmlformats.org/drawingml/2006/main" prst="straightConnector1">
          <a:avLst/>
        </a:prstGeom>
        <a:noFill xmlns:a="http://schemas.openxmlformats.org/drawingml/2006/main"/>
        <a:ln xmlns:a="http://schemas.openxmlformats.org/drawingml/2006/main" w="38100" cap="flat" cmpd="sng" algn="ctr">
          <a:solidFill>
            <a:schemeClr val="tx2"/>
          </a:solidFill>
          <a:prstDash val="solid"/>
          <a:miter lim="800000"/>
          <a:tailEnd type="triangle"/>
        </a:ln>
        <a:effectLst xmlns:a="http://schemas.openxmlformats.org/drawingml/2006/main"/>
      </cdr:spPr>
    </cdr:cxnSp>
  </cdr:relSizeAnchor>
  <cdr:relSizeAnchor xmlns:cdr="http://schemas.openxmlformats.org/drawingml/2006/chartDrawing">
    <cdr:from>
      <cdr:x>0.56042</cdr:x>
      <cdr:y>0.45761</cdr:y>
    </cdr:from>
    <cdr:to>
      <cdr:x>0.8046</cdr:x>
      <cdr:y>0.58778</cdr:y>
    </cdr:to>
    <cdr:sp macro="" textlink="">
      <cdr:nvSpPr>
        <cdr:cNvPr id="21" name="Oval 20"/>
        <cdr:cNvSpPr/>
      </cdr:nvSpPr>
      <cdr:spPr>
        <a:xfrm xmlns:a="http://schemas.openxmlformats.org/drawingml/2006/main" rot="19299526">
          <a:off x="5416331" y="3071463"/>
          <a:ext cx="2359898" cy="873695"/>
        </a:xfrm>
        <a:prstGeom xmlns:a="http://schemas.openxmlformats.org/drawingml/2006/main" prst="ellipse">
          <a:avLst/>
        </a:prstGeom>
        <a:ln xmlns:a="http://schemas.openxmlformats.org/drawingml/2006/main"/>
      </cdr:spPr>
      <cdr:style>
        <a:lnRef xmlns:a="http://schemas.openxmlformats.org/drawingml/2006/main" idx="3">
          <a:schemeClr val="lt1"/>
        </a:lnRef>
        <a:fillRef xmlns:a="http://schemas.openxmlformats.org/drawingml/2006/main" idx="1">
          <a:schemeClr val="dk1"/>
        </a:fillRef>
        <a:effectRef xmlns:a="http://schemas.openxmlformats.org/drawingml/2006/main" idx="1">
          <a:schemeClr val="dk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 marL="0" marR="0" algn="ctr">
            <a:buNone/>
          </a:pPr>
          <a:r>
            <a:rPr lang="en-US" sz="1400" b="1">
              <a:solidFill>
                <a:schemeClr val="bg1"/>
              </a:solidFill>
              <a:effectLst/>
              <a:latin typeface="Rockwell" panose="02060603020205020403" pitchFamily="18" charset="0"/>
              <a:ea typeface="Cambria" panose="02040503050406030204" pitchFamily="18" charset="0"/>
              <a:cs typeface="Cambria" panose="02040503050406030204" pitchFamily="18" charset="0"/>
            </a:rPr>
            <a:t>PDSA</a:t>
          </a:r>
          <a:r>
            <a:rPr lang="en-US" sz="1600" b="1">
              <a:solidFill>
                <a:schemeClr val="bg1"/>
              </a:solidFill>
              <a:effectLst/>
              <a:latin typeface="Rockwell" panose="02060603020205020403" pitchFamily="18" charset="0"/>
              <a:ea typeface="Cambria" panose="02040503050406030204" pitchFamily="18" charset="0"/>
              <a:cs typeface="Cambria" panose="02040503050406030204" pitchFamily="18" charset="0"/>
            </a:rPr>
            <a:t> 4:</a:t>
          </a:r>
          <a:endParaRPr lang="en-US" sz="1100">
            <a:solidFill>
              <a:schemeClr val="bg1"/>
            </a:solidFill>
            <a:effectLst/>
            <a:latin typeface="Cambria" panose="02040503050406030204" pitchFamily="18" charset="0"/>
            <a:ea typeface="Cambria" panose="02040503050406030204" pitchFamily="18" charset="0"/>
            <a:cs typeface="Cambria" panose="02040503050406030204" pitchFamily="18" charset="0"/>
          </a:endParaRPr>
        </a:p>
        <a:p xmlns:a="http://schemas.openxmlformats.org/drawingml/2006/main">
          <a:pPr marL="0" marR="0" algn="ctr"/>
          <a:r>
            <a:rPr lang="en-US" sz="1400" b="0">
              <a:solidFill>
                <a:schemeClr val="bg1"/>
              </a:solidFill>
              <a:effectLst/>
              <a:latin typeface="Rockwell" panose="02060603020205020403" pitchFamily="18" charset="0"/>
              <a:ea typeface="Times New Roman" panose="02020603050405020304" pitchFamily="18" charset="0"/>
              <a:cs typeface="Segoe UI" panose="020B0502040204020203" pitchFamily="34" charset="0"/>
            </a:rPr>
            <a:t>Assigning SSC Ambassador</a:t>
          </a:r>
          <a:endParaRPr lang="en-US" sz="1400" b="0">
            <a:solidFill>
              <a:schemeClr val="bg1"/>
            </a:solidFill>
            <a:effectLst/>
            <a:latin typeface="Cambria" panose="02040503050406030204" pitchFamily="18" charset="0"/>
            <a:ea typeface="Cambria" panose="02040503050406030204" pitchFamily="18" charset="0"/>
            <a:cs typeface="Cambria" panose="02040503050406030204" pitchFamily="18" charset="0"/>
          </a:endParaRPr>
        </a:p>
      </cdr:txBody>
    </cdr:sp>
  </cdr:relSizeAnchor>
  <cdr:relSizeAnchor xmlns:cdr="http://schemas.openxmlformats.org/drawingml/2006/chartDrawing">
    <cdr:from>
      <cdr:x>0.63206</cdr:x>
      <cdr:y>0.12677</cdr:y>
    </cdr:from>
    <cdr:to>
      <cdr:x>0.65447</cdr:x>
      <cdr:y>0.47165</cdr:y>
    </cdr:to>
    <cdr:cxnSp macro="">
      <cdr:nvCxnSpPr>
        <cdr:cNvPr id="22" name="Straight Arrow Connector 21"/>
        <cdr:cNvCxnSpPr>
          <a:stCxn xmlns:a="http://schemas.openxmlformats.org/drawingml/2006/main" id="21" idx="0"/>
        </cdr:cNvCxnSpPr>
      </cdr:nvCxnSpPr>
      <cdr:spPr>
        <a:xfrm xmlns:a="http://schemas.openxmlformats.org/drawingml/2006/main" flipH="1" flipV="1">
          <a:off x="6108700" y="850900"/>
          <a:ext cx="216584" cy="2314778"/>
        </a:xfrm>
        <a:prstGeom xmlns:a="http://schemas.openxmlformats.org/drawingml/2006/main" prst="straightConnector1">
          <a:avLst/>
        </a:prstGeom>
        <a:noFill xmlns:a="http://schemas.openxmlformats.org/drawingml/2006/main"/>
        <a:ln xmlns:a="http://schemas.openxmlformats.org/drawingml/2006/main" w="57150" cap="flat" cmpd="sng" algn="ctr">
          <a:solidFill>
            <a:schemeClr val="tx1"/>
          </a:solidFill>
          <a:prstDash val="solid"/>
          <a:miter lim="800000"/>
          <a:tailEnd type="triangle"/>
        </a:ln>
        <a:effectLst xmlns:a="http://schemas.openxmlformats.org/drawingml/2006/main"/>
      </cdr:spPr>
    </cdr:cxnSp>
  </cdr:relSizeAnchor>
  <cdr:relSizeAnchor xmlns:cdr="http://schemas.openxmlformats.org/drawingml/2006/chartDrawing">
    <cdr:from>
      <cdr:x>0.70942</cdr:x>
      <cdr:y>0.44936</cdr:y>
    </cdr:from>
    <cdr:to>
      <cdr:x>1</cdr:x>
      <cdr:y>0.58047</cdr:y>
    </cdr:to>
    <cdr:sp macro="" textlink="">
      <cdr:nvSpPr>
        <cdr:cNvPr id="32" name="Oval 31"/>
        <cdr:cNvSpPr/>
      </cdr:nvSpPr>
      <cdr:spPr>
        <a:xfrm xmlns:a="http://schemas.openxmlformats.org/drawingml/2006/main" rot="19895329">
          <a:off x="6856340" y="3016108"/>
          <a:ext cx="2808360" cy="879966"/>
        </a:xfrm>
        <a:prstGeom xmlns:a="http://schemas.openxmlformats.org/drawingml/2006/main" prst="ellipse">
          <a:avLst/>
        </a:prstGeom>
        <a:ln xmlns:a="http://schemas.openxmlformats.org/drawingml/2006/main"/>
      </cdr:spPr>
      <cdr:style>
        <a:lnRef xmlns:a="http://schemas.openxmlformats.org/drawingml/2006/main" idx="3">
          <a:schemeClr val="lt1"/>
        </a:lnRef>
        <a:fillRef xmlns:a="http://schemas.openxmlformats.org/drawingml/2006/main" idx="1">
          <a:schemeClr val="dk1"/>
        </a:fillRef>
        <a:effectRef xmlns:a="http://schemas.openxmlformats.org/drawingml/2006/main" idx="1">
          <a:schemeClr val="dk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 marL="0" marR="0" algn="ctr">
            <a:buNone/>
          </a:pPr>
          <a:r>
            <a:rPr lang="en-US" sz="1600" b="1">
              <a:solidFill>
                <a:schemeClr val="bg1"/>
              </a:solidFill>
              <a:effectLst/>
              <a:latin typeface="Rockwell" panose="02060603020205020403" pitchFamily="18" charset="0"/>
              <a:ea typeface="Cambria" panose="02040503050406030204" pitchFamily="18" charset="0"/>
              <a:cs typeface="Cambria" panose="02040503050406030204" pitchFamily="18" charset="0"/>
            </a:rPr>
            <a:t>QI PROJECT SUSTAINABILITY</a:t>
          </a:r>
          <a:endParaRPr lang="en-US" sz="2000" b="1">
            <a:solidFill>
              <a:schemeClr val="bg1"/>
            </a:solidFill>
            <a:effectLst/>
            <a:latin typeface="Cambria" panose="02040503050406030204" pitchFamily="18" charset="0"/>
            <a:ea typeface="Cambria" panose="02040503050406030204" pitchFamily="18" charset="0"/>
            <a:cs typeface="Cambria" panose="02040503050406030204" pitchFamily="18" charset="0"/>
          </a:endParaRPr>
        </a:p>
      </cdr:txBody>
    </cdr:sp>
  </cdr:relSizeAnchor>
  <cdr:relSizeAnchor xmlns:cdr="http://schemas.openxmlformats.org/drawingml/2006/chartDrawing">
    <cdr:from>
      <cdr:x>0.83313</cdr:x>
      <cdr:y>0.19216</cdr:y>
    </cdr:from>
    <cdr:to>
      <cdr:x>0.86959</cdr:x>
      <cdr:y>0.45726</cdr:y>
    </cdr:to>
    <cdr:cxnSp macro="">
      <cdr:nvCxnSpPr>
        <cdr:cNvPr id="33" name="Straight Arrow Connector 32"/>
        <cdr:cNvCxnSpPr>
          <a:stCxn xmlns:a="http://schemas.openxmlformats.org/drawingml/2006/main" id="32" idx="0"/>
        </cdr:cNvCxnSpPr>
      </cdr:nvCxnSpPr>
      <cdr:spPr>
        <a:xfrm xmlns:a="http://schemas.openxmlformats.org/drawingml/2006/main" flipV="1">
          <a:off x="8194747" y="1308100"/>
          <a:ext cx="358703" cy="1804555"/>
        </a:xfrm>
        <a:prstGeom xmlns:a="http://schemas.openxmlformats.org/drawingml/2006/main" prst="straightConnector1">
          <a:avLst/>
        </a:prstGeom>
        <a:noFill xmlns:a="http://schemas.openxmlformats.org/drawingml/2006/main"/>
        <a:ln xmlns:a="http://schemas.openxmlformats.org/drawingml/2006/main" w="57150" cap="flat" cmpd="sng" algn="ctr">
          <a:solidFill>
            <a:schemeClr val="tx1"/>
          </a:solidFill>
          <a:prstDash val="solid"/>
          <a:miter lim="800000"/>
          <a:tailEnd type="triangle"/>
        </a:ln>
        <a:effectLst xmlns:a="http://schemas.openxmlformats.org/drawingml/2006/main"/>
      </cdr:spPr>
    </cdr:cxn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</Words>
  <Characters>35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3</cp:revision>
  <dcterms:created xsi:type="dcterms:W3CDTF">2025-10-01T03:00:00Z</dcterms:created>
  <dcterms:modified xsi:type="dcterms:W3CDTF">2025-10-01T03:18:00Z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697817e0-4b59-4d5b-85fb-04fbe93e21b8</vt:lpwstr>
  </property>
</Properties>
</file>