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76"/>
        <w:ind w:left="0" w:right="0"/>
      </w:pPr>
    </w:p>
    <w:p>
      <w:pPr>
        <w:autoSpaceDN w:val="0"/>
        <w:tabs>
          <w:tab w:pos="8314" w:val="left"/>
        </w:tabs>
        <w:autoSpaceDE w:val="0"/>
        <w:widowControl/>
        <w:spacing w:line="230" w:lineRule="exact" w:before="0" w:after="172"/>
        <w:ind w:left="2140" w:right="0" w:firstLine="0"/>
        <w:jc w:val="left"/>
      </w:pPr>
      <w:r>
        <w:rPr>
          <w:rFonts w:ascii="AvantGarde" w:hAnsi="AvantGarde" w:eastAsia="AvantGarde"/>
          <w:b w:val="0"/>
          <w:i w:val="0"/>
          <w:color w:val="000000"/>
          <w:sz w:val="18"/>
        </w:rPr>
        <w:t xml:space="preserve">Federal Reserve System </w:t>
      </w:r>
      <w:r>
        <w:tab/>
      </w:r>
      <w:r>
        <w:rPr>
          <w:rFonts w:ascii="AvantGarde" w:hAnsi="AvantGarde" w:eastAsia="AvantGarde"/>
          <w:b w:val="0"/>
          <w:i w:val="0"/>
          <w:color w:val="000000"/>
          <w:sz w:val="18"/>
        </w:rPr>
        <w:t xml:space="preserve">§ 268.709 </w:t>
      </w:r>
    </w:p>
    <w:p>
      <w:pPr>
        <w:sectPr>
          <w:pgSz w:w="12240" w:h="15840"/>
          <w:pgMar w:top="1440" w:right="1440" w:bottom="184" w:left="500" w:header="720" w:footer="720" w:gutter="0"/>
          <w:cols/>
          <w:docGrid w:linePitch="360"/>
        </w:sectPr>
      </w:pPr>
    </w:p>
    <w:p>
      <w:pPr>
        <w:autoSpaceDN w:val="0"/>
        <w:tabs>
          <w:tab w:pos="3002" w:val="left"/>
        </w:tabs>
        <w:autoSpaceDE w:val="0"/>
        <w:widowControl/>
        <w:spacing w:line="198" w:lineRule="exact" w:before="0" w:after="0"/>
        <w:ind w:left="2140" w:right="0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268.705 </w:t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Employment. </w:t>
      </w:r>
    </w:p>
    <w:p>
      <w:pPr>
        <w:autoSpaceDN w:val="0"/>
        <w:autoSpaceDE w:val="0"/>
        <w:widowControl/>
        <w:spacing w:line="178" w:lineRule="exact" w:before="56" w:after="60"/>
        <w:ind w:left="2140" w:right="0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No qualified individual with a dis-</w:t>
      </w:r>
      <w:r>
        <w:rPr>
          <w:rFonts w:ascii="MIonic" w:hAnsi="MIonic" w:eastAsia="MIonic"/>
          <w:b w:val="0"/>
          <w:i w:val="0"/>
          <w:color w:val="000000"/>
          <w:sz w:val="16"/>
        </w:rPr>
        <w:t>ability shall, on the basis of a dis-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ability, be subjected to discrimination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 employment under any program or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activity conducted by the Board. The </w:t>
      </w:r>
      <w:r>
        <w:rPr>
          <w:rFonts w:ascii="MIonic" w:hAnsi="MIonic" w:eastAsia="MIonic"/>
          <w:b w:val="0"/>
          <w:i w:val="0"/>
          <w:color w:val="000000"/>
          <w:sz w:val="16"/>
        </w:rPr>
        <w:t>definitions, requirements and proce-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dures of § 268.203 of this part shall apply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to discrimination in employment in </w:t>
      </w:r>
      <w:r>
        <w:rPr>
          <w:rFonts w:ascii="MIonic" w:hAnsi="MIonic" w:eastAsia="MIonic"/>
          <w:b w:val="0"/>
          <w:i w:val="0"/>
          <w:color w:val="000000"/>
          <w:sz w:val="16"/>
        </w:rPr>
        <w:t>federally conducted programs or activi-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5150"/>
        <w:gridCol w:w="5150"/>
      </w:tblGrid>
      <w:tr>
        <w:trPr>
          <w:trHeight w:hRule="exact" w:val="44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42" w:val="left"/>
                <w:tab w:pos="2858" w:val="left"/>
              </w:tabs>
              <w:autoSpaceDE w:val="0"/>
              <w:widowControl/>
              <w:spacing w:line="198" w:lineRule="exact" w:before="60" w:after="0"/>
              <w:ind w:left="1080" w:right="0" w:firstLine="0"/>
              <w:jc w:val="left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§ 268.706 </w:t>
            </w: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Program </w:t>
            </w:r>
            <w:r>
              <w:tab/>
            </w: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accessibility: 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0" w:right="624" w:firstLine="0"/>
              <w:jc w:val="right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crimination prohibited.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>Dis-</w:t>
            </w:r>
          </w:p>
        </w:tc>
      </w:tr>
    </w:tbl>
    <w:p>
      <w:pPr>
        <w:autoSpaceDN w:val="0"/>
        <w:autoSpaceDE w:val="0"/>
        <w:widowControl/>
        <w:spacing w:line="178" w:lineRule="exact" w:before="30" w:after="0"/>
        <w:ind w:left="2140" w:right="0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Except as otherwise provided in </w:t>
      </w:r>
      <w:r>
        <w:rPr>
          <w:rFonts w:ascii="MIonic" w:hAnsi="MIonic" w:eastAsia="MIonic"/>
          <w:b w:val="0"/>
          <w:i w:val="0"/>
          <w:color w:val="000000"/>
          <w:sz w:val="16"/>
        </w:rPr>
        <w:t>§ 268.707 of this subpart, no qualified in-</w:t>
      </w:r>
      <w:r>
        <w:rPr>
          <w:rFonts w:ascii="MIonic" w:hAnsi="MIonic" w:eastAsia="MIonic"/>
          <w:b w:val="0"/>
          <w:i w:val="0"/>
          <w:color w:val="000000"/>
          <w:sz w:val="16"/>
        </w:rPr>
        <w:t>dividual with a disability shall, be-</w:t>
      </w:r>
      <w:r>
        <w:rPr>
          <w:rFonts w:ascii="MIonic" w:hAnsi="MIonic" w:eastAsia="MIonic"/>
          <w:b w:val="0"/>
          <w:i w:val="0"/>
          <w:color w:val="000000"/>
          <w:sz w:val="16"/>
        </w:rPr>
        <w:t>cause the Board’s facilities are inacces-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sible to or unusable by individuals with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 disability, be denied the benefits of,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be excluded from participation in, or </w:t>
      </w:r>
      <w:r>
        <w:rPr>
          <w:rFonts w:ascii="MIonic" w:hAnsi="MIonic" w:eastAsia="MIonic"/>
          <w:b w:val="0"/>
          <w:i w:val="0"/>
          <w:color w:val="000000"/>
          <w:sz w:val="16"/>
        </w:rPr>
        <w:t>otherwise be subjected to discrimina-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tion under any program or activity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conducted by the Board. </w:t>
      </w:r>
    </w:p>
    <w:p>
      <w:pPr>
        <w:autoSpaceDN w:val="0"/>
        <w:tabs>
          <w:tab w:pos="2460" w:val="left"/>
          <w:tab w:pos="3002" w:val="left"/>
        </w:tabs>
        <w:autoSpaceDE w:val="0"/>
        <w:widowControl/>
        <w:spacing w:line="158" w:lineRule="exact" w:before="160" w:after="0"/>
        <w:ind w:left="2140" w:right="144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268.707 </w:t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>Program accessibility: Exist-</w:t>
      </w:r>
      <w:r>
        <w:tab/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ing facilities. </w:t>
      </w:r>
    </w:p>
    <w:p>
      <w:pPr>
        <w:autoSpaceDN w:val="0"/>
        <w:autoSpaceDE w:val="0"/>
        <w:widowControl/>
        <w:spacing w:line="178" w:lineRule="exact" w:before="56" w:after="0"/>
        <w:ind w:left="2140" w:right="94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(a) 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General.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Board shall operate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each program or activity so that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program or activity, when viewed in its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entirety, is readily accessible to and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usable by individuals with a disability. </w:t>
      </w:r>
    </w:p>
    <w:p>
      <w:pPr>
        <w:autoSpaceDN w:val="0"/>
        <w:tabs>
          <w:tab w:pos="2300" w:val="left"/>
        </w:tabs>
        <w:autoSpaceDE w:val="0"/>
        <w:widowControl/>
        <w:spacing w:line="180" w:lineRule="exact" w:before="2" w:after="0"/>
        <w:ind w:left="2140" w:right="0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This paragraph (a) does not: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(1) Necessarily require the Board to </w:t>
      </w:r>
      <w:r>
        <w:rPr>
          <w:rFonts w:ascii="MIonic" w:hAnsi="MIonic" w:eastAsia="MIonic"/>
          <w:b w:val="0"/>
          <w:i w:val="0"/>
          <w:color w:val="000000"/>
          <w:sz w:val="16"/>
        </w:rPr>
        <w:t>make each of its existing facilities ac-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cessible to and usable by individuals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with a disability; or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>(2) Require the Board to take any ac-</w:t>
      </w:r>
      <w:r>
        <w:rPr>
          <w:rFonts w:ascii="MIonic" w:hAnsi="MIonic" w:eastAsia="MIonic"/>
          <w:b w:val="0"/>
          <w:i w:val="0"/>
          <w:color w:val="000000"/>
          <w:sz w:val="16"/>
        </w:rPr>
        <w:t>tion that it can demonstrate would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sult in a fundamental alteration in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nature of a program or activity or in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undue financial and administrative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burdens. In those circumstances where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Board believes that the proposed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action would fundamentally alter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program or activity or would result in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undue financial and administrative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burdens, the Board has the burden of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proving that compliance with this </w:t>
      </w:r>
      <w:r>
        <w:rPr>
          <w:rFonts w:ascii="MIonic" w:hAnsi="MIonic" w:eastAsia="MIonic"/>
          <w:b w:val="0"/>
          <w:i w:val="0"/>
          <w:color w:val="000000"/>
          <w:sz w:val="16"/>
        </w:rPr>
        <w:t>paragraph (a) would result in such al-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terations or burdens. The decision that </w:t>
      </w:r>
      <w:r>
        <w:rPr>
          <w:rFonts w:ascii="MIonic" w:hAnsi="MIonic" w:eastAsia="MIonic"/>
          <w:b w:val="0"/>
          <w:i w:val="0"/>
          <w:color w:val="000000"/>
          <w:sz w:val="16"/>
        </w:rPr>
        <w:t>compliance would result in such alter-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ations or burdens shall be made by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Board of Governors or their designee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after considering all Board resources </w:t>
      </w:r>
      <w:r>
        <w:rPr>
          <w:rFonts w:ascii="MIonic" w:hAnsi="MIonic" w:eastAsia="MIonic"/>
          <w:b w:val="0"/>
          <w:i w:val="0"/>
          <w:color w:val="000000"/>
          <w:sz w:val="16"/>
        </w:rPr>
        <w:t>available for use in the funding and op-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eration of the conducted program or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activity, and must be accompanied by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 written statement of the reasons for </w:t>
      </w:r>
    </w:p>
    <w:p>
      <w:pPr>
        <w:sectPr>
          <w:type w:val="continuous"/>
          <w:pgSz w:w="12240" w:h="15840"/>
          <w:pgMar w:top="1440" w:right="1440" w:bottom="184" w:left="500" w:header="720" w:footer="720" w:gutter="0"/>
          <w:cols w:num="2" w:equalWidth="0">
            <w:col w:w="5648" w:space="0"/>
            <w:col w:w="465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2" w:after="0"/>
        <w:ind w:left="92" w:right="1008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reaching that conclusion. If an action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would result in such an alteration or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such burdens, the Board shall take any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other action that would not result in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such an alteration or such burdens but </w:t>
      </w:r>
      <w:r>
        <w:rPr>
          <w:rFonts w:ascii="MIonic" w:hAnsi="MIonic" w:eastAsia="MIonic"/>
          <w:b w:val="0"/>
          <w:i w:val="0"/>
          <w:color w:val="000000"/>
          <w:sz w:val="16"/>
        </w:rPr>
        <w:t>would nevertheless ensure that individ-</w:t>
      </w:r>
      <w:r>
        <w:rPr>
          <w:rFonts w:ascii="MIonic" w:hAnsi="MIonic" w:eastAsia="MIonic"/>
          <w:b w:val="0"/>
          <w:i w:val="0"/>
          <w:color w:val="000000"/>
          <w:sz w:val="16"/>
        </w:rPr>
        <w:t>uals with a disability receive the bene-</w:t>
      </w:r>
      <w:r>
        <w:rPr>
          <w:rFonts w:ascii="MIonic" w:hAnsi="MIonic" w:eastAsia="MIonic"/>
          <w:b w:val="0"/>
          <w:i w:val="0"/>
          <w:color w:val="000000"/>
          <w:sz w:val="16"/>
        </w:rPr>
        <w:t>fits and services of the program or ac-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tivity. </w:t>
      </w:r>
    </w:p>
    <w:p>
      <w:pPr>
        <w:autoSpaceDN w:val="0"/>
        <w:tabs>
          <w:tab w:pos="252" w:val="left"/>
          <w:tab w:pos="1122" w:val="left"/>
          <w:tab w:pos="1220" w:val="left"/>
          <w:tab w:pos="1790" w:val="left"/>
          <w:tab w:pos="2074" w:val="left"/>
          <w:tab w:pos="2140" w:val="left"/>
          <w:tab w:pos="3130" w:val="left"/>
          <w:tab w:pos="3290" w:val="left"/>
        </w:tabs>
        <w:autoSpaceDE w:val="0"/>
        <w:widowControl/>
        <w:spacing w:line="180" w:lineRule="exact" w:before="2" w:after="0"/>
        <w:ind w:left="92" w:right="1008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(b) 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Methods.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Board may comply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with the requirements of this subpart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H through such means as redesign of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equipment, reassignment of services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of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accessible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buildings,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assignment </w:t>
      </w:r>
      <w:r>
        <w:br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aides to individuals with a disability, </w:t>
      </w:r>
      <w:r>
        <w:rPr>
          <w:rFonts w:ascii="MIonic" w:hAnsi="MIonic" w:eastAsia="MIonic"/>
          <w:b w:val="0"/>
          <w:i w:val="0"/>
          <w:color w:val="000000"/>
          <w:sz w:val="16"/>
        </w:rPr>
        <w:t>home visits, delivery of service at al-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ternate accessible sites, alteration of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existing facilities and construction of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new facilities, use of accessible rolling </w:t>
      </w:r>
      <w:r>
        <w:rPr>
          <w:rFonts w:ascii="MIonic" w:hAnsi="MIonic" w:eastAsia="MIonic"/>
          <w:b w:val="0"/>
          <w:i w:val="0"/>
          <w:color w:val="000000"/>
          <w:sz w:val="16"/>
        </w:rPr>
        <w:t>stock, or any other methods that re-</w:t>
      </w:r>
      <w:r>
        <w:rPr>
          <w:rFonts w:ascii="MIonic" w:hAnsi="MIonic" w:eastAsia="MIonic"/>
          <w:b w:val="0"/>
          <w:i w:val="0"/>
          <w:color w:val="000000"/>
          <w:sz w:val="16"/>
        </w:rPr>
        <w:t>sult in making its programs or activi-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ties readily accessible to and usable by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individuals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with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disability.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</w:t>
      </w:r>
      <w:r>
        <w:rPr>
          <w:rFonts w:ascii="MIonic" w:hAnsi="MIonic" w:eastAsia="MIonic"/>
          <w:b w:val="0"/>
          <w:i w:val="0"/>
          <w:color w:val="000000"/>
          <w:sz w:val="16"/>
        </w:rPr>
        <w:t>Board is not required to make struc-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tural changes in existing facilities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where other methods are effective in </w:t>
      </w:r>
      <w:r>
        <w:rPr>
          <w:rFonts w:ascii="MIonic" w:hAnsi="MIonic" w:eastAsia="MIonic"/>
          <w:b w:val="0"/>
          <w:i w:val="0"/>
          <w:color w:val="000000"/>
          <w:sz w:val="16"/>
        </w:rPr>
        <w:t>achieving compliance with this sec-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tion. In choosing among available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methods for meeting the requirements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of this section, the Board shall give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priority to those methods that offer </w:t>
      </w:r>
      <w:r>
        <w:rPr>
          <w:rFonts w:ascii="MIonic" w:hAnsi="MIonic" w:eastAsia="MIonic"/>
          <w:b w:val="0"/>
          <w:i w:val="0"/>
          <w:color w:val="000000"/>
          <w:sz w:val="16"/>
        </w:rPr>
        <w:t>programs and activities to qualified in-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dividuals with a disability in the most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integrated setting appropriate. </w:t>
      </w:r>
    </w:p>
    <w:p>
      <w:pPr>
        <w:autoSpaceDN w:val="0"/>
        <w:autoSpaceDE w:val="0"/>
        <w:widowControl/>
        <w:spacing w:line="180" w:lineRule="exact" w:before="2" w:after="0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(c) 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Time period for compliance.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</w:t>
      </w:r>
      <w:r>
        <w:rPr>
          <w:rFonts w:ascii="MIonic" w:hAnsi="MIonic" w:eastAsia="MIonic"/>
          <w:b w:val="0"/>
          <w:i w:val="0"/>
          <w:color w:val="000000"/>
          <w:sz w:val="16"/>
        </w:rPr>
        <w:t>Board shall comply with any obliga-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tions established under this section as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expeditiously as possible. </w:t>
      </w:r>
    </w:p>
    <w:p>
      <w:pPr>
        <w:autoSpaceDN w:val="0"/>
        <w:tabs>
          <w:tab w:pos="412" w:val="left"/>
          <w:tab w:pos="954" w:val="left"/>
        </w:tabs>
        <w:autoSpaceDE w:val="0"/>
        <w:widowControl/>
        <w:spacing w:line="160" w:lineRule="exact" w:before="158" w:after="0"/>
        <w:ind w:left="92" w:right="1152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268.708 </w:t>
      </w:r>
      <w:r>
        <w:tab/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Program accessibility: New </w:t>
      </w:r>
      <w:r>
        <w:tab/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construction and alterations. </w:t>
      </w:r>
    </w:p>
    <w:p>
      <w:pPr>
        <w:autoSpaceDN w:val="0"/>
        <w:autoSpaceDE w:val="0"/>
        <w:widowControl/>
        <w:spacing w:line="180" w:lineRule="exact" w:before="56" w:after="0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Each building or part of a building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that is constructed or altered by, on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behalf of, or for the use of the Board </w:t>
      </w:r>
      <w:r>
        <w:rPr>
          <w:rFonts w:ascii="MIonic" w:hAnsi="MIonic" w:eastAsia="MIonic"/>
          <w:b w:val="0"/>
          <w:i w:val="0"/>
          <w:color w:val="000000"/>
          <w:sz w:val="16"/>
        </w:rPr>
        <w:t>shall be designed, constructed, or al-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tered so as to be readily accessible to </w:t>
      </w:r>
      <w:r>
        <w:rPr>
          <w:rFonts w:ascii="MIonic" w:hAnsi="MIonic" w:eastAsia="MIonic"/>
          <w:b w:val="0"/>
          <w:i w:val="0"/>
          <w:color w:val="000000"/>
          <w:sz w:val="16"/>
        </w:rPr>
        <w:t>and usable by individuals with a dis-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ability. </w:t>
      </w:r>
    </w:p>
    <w:p>
      <w:pPr>
        <w:autoSpaceDN w:val="0"/>
        <w:tabs>
          <w:tab w:pos="954" w:val="left"/>
        </w:tabs>
        <w:autoSpaceDE w:val="0"/>
        <w:widowControl/>
        <w:spacing w:line="198" w:lineRule="exact" w:before="122" w:after="0"/>
        <w:ind w:left="92" w:right="0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268.709 </w:t>
      </w:r>
      <w:r>
        <w:tab/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Communications. </w:t>
      </w:r>
    </w:p>
    <w:p>
      <w:pPr>
        <w:autoSpaceDN w:val="0"/>
        <w:autoSpaceDE w:val="0"/>
        <w:widowControl/>
        <w:spacing w:line="180" w:lineRule="exact" w:before="56" w:after="0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(a) The Board shall take appropriate </w:t>
      </w:r>
      <w:r>
        <w:rPr>
          <w:rFonts w:ascii="MIonic" w:hAnsi="MIonic" w:eastAsia="MIonic"/>
          <w:b w:val="0"/>
          <w:i w:val="0"/>
          <w:color w:val="000000"/>
          <w:sz w:val="16"/>
        </w:rPr>
        <w:t>steps to ensure effective communica-</w:t>
      </w:r>
      <w:r>
        <w:rPr>
          <w:rFonts w:ascii="MIonic" w:hAnsi="MIonic" w:eastAsia="MIonic"/>
          <w:b w:val="0"/>
          <w:i w:val="0"/>
          <w:color w:val="000000"/>
          <w:sz w:val="16"/>
        </w:rPr>
        <w:t>tion with applicants, participants, per-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sonnel of other Federal entities, and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members of the public. </w:t>
      </w:r>
    </w:p>
    <w:p>
      <w:pPr>
        <w:autoSpaceDN w:val="0"/>
        <w:autoSpaceDE w:val="0"/>
        <w:widowControl/>
        <w:spacing w:line="180" w:lineRule="exact" w:before="2" w:after="182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(1) The Board shall furnish appro-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priate auxiliary aids where necessary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to afford an individual with a disability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an equal opportunity to participate in, </w:t>
      </w:r>
    </w:p>
    <w:p>
      <w:pPr>
        <w:sectPr>
          <w:type w:val="nextColumn"/>
          <w:pgSz w:w="12240" w:h="15840"/>
          <w:pgMar w:top="1440" w:right="1440" w:bottom="184" w:left="500" w:header="720" w:footer="720" w:gutter="0"/>
          <w:cols w:num="2" w:equalWidth="0">
            <w:col w:w="5648" w:space="0"/>
            <w:col w:w="4652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694"/>
        <w:ind w:left="0" w:right="4464" w:firstLine="0"/>
        <w:jc w:val="right"/>
      </w:pPr>
      <w:r>
        <w:rPr>
          <w:rFonts w:ascii="MIonic" w:hAnsi="MIonic" w:eastAsia="MIonic"/>
          <w:b w:val="0"/>
          <w:i w:val="0"/>
          <w:color w:val="000000"/>
          <w:sz w:val="20"/>
        </w:rPr>
        <w:t xml:space="preserve">893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>
        <w:trPr>
          <w:trHeight w:hRule="exact" w:val="1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 xml:space="preserve">VerDate Aug&lt;31&gt;2005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02:50 Jan 27, 2006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Jkt 208037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PO 00000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Frm 00903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Fmt 8010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Sfmt 8010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Y:\SGML\208037.XXX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208037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1440" w:right="1440" w:bottom="184" w:left="5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