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3213100</wp:posOffset>
            </wp:positionH>
            <wp:positionV relativeFrom="page">
              <wp:posOffset>-13970</wp:posOffset>
            </wp:positionV>
            <wp:extent cx="4359909" cy="222769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909" cy="22276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40" w:after="0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89100" cy="24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6" w:after="0"/>
        <w:ind w:left="14" w:right="0" w:firstLine="0"/>
        <w:jc w:val="left"/>
      </w:pPr>
      <w:r>
        <w:rPr>
          <w:rFonts w:ascii="BrandonGrotesque" w:hAnsi="BrandonGrotesque" w:eastAsia="BrandonGrotesque"/>
          <w:b/>
          <w:i w:val="0"/>
          <w:color w:val="4EB085"/>
          <w:sz w:val="28"/>
        </w:rPr>
        <w:t>THE CENTRE FOR HUMANITARIAN DATA</w:t>
      </w:r>
    </w:p>
    <w:p>
      <w:pPr>
        <w:autoSpaceDN w:val="0"/>
        <w:autoSpaceDE w:val="0"/>
        <w:widowControl/>
        <w:spacing w:line="240" w:lineRule="auto" w:before="498" w:after="0"/>
        <w:ind w:left="0" w:right="0" w:firstLine="0"/>
        <w:jc w:val="left"/>
      </w:pPr>
      <w:r>
        <w:rPr>
          <w:rFonts w:ascii="OpenSans" w:hAnsi="OpenSans" w:eastAsia="OpenSans"/>
          <w:b/>
          <w:i w:val="0"/>
          <w:color w:val="4EB085"/>
          <w:sz w:val="24"/>
        </w:rPr>
        <w:t>GUIDANCE NOTE SERIES</w:t>
      </w:r>
    </w:p>
    <w:p>
      <w:pPr>
        <w:autoSpaceDN w:val="0"/>
        <w:autoSpaceDE w:val="0"/>
        <w:widowControl/>
        <w:spacing w:line="240" w:lineRule="auto" w:before="34" w:after="0"/>
        <w:ind w:left="0" w:right="0" w:firstLine="0"/>
        <w:jc w:val="left"/>
      </w:pPr>
      <w:r>
        <w:rPr>
          <w:rFonts w:ascii="OpenSans" w:hAnsi="OpenSans" w:eastAsia="OpenSans"/>
          <w:b/>
          <w:i w:val="0"/>
          <w:color w:val="4EB085"/>
          <w:sz w:val="24"/>
        </w:rPr>
        <w:t>DATA RESPONSIBILITY IN HUMANITARIAN ACTION</w:t>
      </w:r>
    </w:p>
    <w:p>
      <w:pPr>
        <w:autoSpaceDN w:val="0"/>
        <w:autoSpaceDE w:val="0"/>
        <w:widowControl/>
        <w:spacing w:line="240" w:lineRule="auto" w:before="124" w:after="432"/>
        <w:ind w:left="0" w:right="0" w:firstLine="0"/>
        <w:jc w:val="left"/>
      </w:pPr>
      <w:r>
        <w:rPr>
          <w:rFonts w:ascii="OpenSans" w:hAnsi="OpenSans" w:eastAsia="OpenSans"/>
          <w:b/>
          <w:i w:val="0"/>
          <w:color w:val="4EB085"/>
          <w:sz w:val="38"/>
        </w:rPr>
        <w:t>STATISTICAL DISCLOSURE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802"/>
      </w:tblGrid>
      <w:tr>
        <w:trPr>
          <w:trHeight w:hRule="exact" w:val="576"/>
        </w:trPr>
        <w:tc>
          <w:tcPr>
            <w:tcW w:type="dxa" w:w="9746"/>
            <w:tcBorders/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188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4DB184"/>
                <w:sz w:val="22"/>
              </w:rPr>
              <w:t>KEY TAKEAWAYS: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9802"/>
      </w:tblGrid>
      <w:tr>
        <w:trPr>
          <w:trHeight w:hRule="exact" w:val="1188"/>
        </w:trPr>
        <w:tc>
          <w:tcPr>
            <w:tcW w:type="dxa" w:w="9380"/>
            <w:tcBorders/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2" w:after="0"/>
              <w:ind w:left="446" w:right="144" w:hanging="22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Data from household surveys, needs assessments and other forms of microdata make up an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increasingly significant volume of data in the humanitarian sector. This type of data is critical to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determining the needs and perspectives of people affected by crises but it also presents unique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risks.</w:t>
            </w:r>
          </w:p>
        </w:tc>
      </w:tr>
    </w:tbl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9802"/>
      </w:tblGrid>
      <w:tr>
        <w:trPr>
          <w:trHeight w:hRule="exact" w:val="924"/>
        </w:trPr>
        <w:tc>
          <w:tcPr>
            <w:tcW w:type="dxa" w:w="9220"/>
            <w:tcBorders/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2" w:after="0"/>
              <w:ind w:left="446" w:right="288" w:hanging="22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Even if an organization removes direct identifiers such as a person’s name or phone number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from microdata, combining key variables such as location or ethnicity can still allow for the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re-identification of individuals and vulnerable groups.</w:t>
            </w:r>
          </w:p>
        </w:tc>
      </w:tr>
    </w:tbl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9802"/>
      </w:tblGrid>
      <w:tr>
        <w:trPr>
          <w:trHeight w:hRule="exact" w:val="924"/>
        </w:trPr>
        <w:tc>
          <w:tcPr>
            <w:tcW w:type="dxa" w:w="9300"/>
            <w:tcBorders/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2" w:after="0"/>
              <w:ind w:left="446" w:right="144" w:hanging="22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Statistical disclosure control (SDC) is a technique used to assess and lower the risk of a person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or group being re-identified in the analysis of microdata. Applying SDC to microdata enables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organizations to share the data more widely without exposing affected people to harm.</w:t>
            </w:r>
          </w:p>
        </w:tc>
      </w:tr>
    </w:tbl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9802"/>
      </w:tblGrid>
      <w:tr>
        <w:trPr>
          <w:trHeight w:hRule="exact" w:val="1454"/>
        </w:trPr>
        <w:tc>
          <w:tcPr>
            <w:tcW w:type="dxa" w:w="9400"/>
            <w:tcBorders/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" w:after="0"/>
              <w:ind w:left="446" w:right="144" w:hanging="22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SDC can be used to lower the risk of re-identification to an agreed threshold that  may vary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depending on the context where the humanitarian response is happening. The overall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informational value or utility of a dataset will always be impacted when SDC is applied; striking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an appropriate balance between re-identification risk and information loss key to ensuring safe,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ethical and effective use of the data.</w:t>
            </w:r>
          </w:p>
        </w:tc>
      </w:tr>
    </w:tbl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9802"/>
      </w:tblGrid>
      <w:tr>
        <w:trPr>
          <w:trHeight w:hRule="exact" w:val="926"/>
        </w:trPr>
        <w:tc>
          <w:tcPr>
            <w:tcW w:type="dxa" w:w="9320"/>
            <w:tcBorders/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" w:after="0"/>
              <w:ind w:left="446" w:right="144" w:hanging="22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To start using SDC, organizations should invest in (1) selecting the right tool, (2) integrating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SDC into existing data management workflows and (3) improving practice through continuous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learning. </w:t>
            </w:r>
          </w:p>
        </w:tc>
      </w:tr>
    </w:tbl>
    <w:p>
      <w:pPr>
        <w:autoSpaceDN w:val="0"/>
        <w:autoSpaceDE w:val="0"/>
        <w:widowControl/>
        <w:spacing w:line="240" w:lineRule="auto" w:before="508" w:after="0"/>
        <w:ind w:left="12" w:right="0" w:firstLine="0"/>
        <w:jc w:val="left"/>
      </w:pPr>
      <w:r>
        <w:rPr>
          <w:rFonts w:ascii="OpenSans" w:hAnsi="OpenSans" w:eastAsia="OpenSans"/>
          <w:b/>
          <w:i w:val="0"/>
          <w:color w:val="4DB184"/>
          <w:sz w:val="22"/>
        </w:rPr>
        <w:t>WHAT IS HUMANITARIAN MICRODATA?</w:t>
      </w:r>
    </w:p>
    <w:p>
      <w:pPr>
        <w:autoSpaceDN w:val="0"/>
        <w:autoSpaceDE w:val="0"/>
        <w:widowControl/>
        <w:spacing w:line="264" w:lineRule="exact" w:before="168" w:after="0"/>
        <w:ind w:left="12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Data on the characteristics of units of a population (e.g. individuals, households or establishments)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collected by a census, survey or experiment is referred to in statistics as ‘microdata’.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1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In humanitarian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response, this type of data is typically gathered through exercises such as household surveys and needs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assessments. Microdata makes up an increasingly significant volume of data in the humanitarian sector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and is critical to determining the needs and perspectives of people affected by crises.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2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Humanitarian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organizations need to understand how to assess and manage the sensitivity of this type of data in order to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ensure its responsible use in different response contexts. </w:t>
      </w:r>
    </w:p>
    <w:p>
      <w:pPr>
        <w:autoSpaceDN w:val="0"/>
        <w:autoSpaceDE w:val="0"/>
        <w:widowControl/>
        <w:spacing w:line="264" w:lineRule="exact" w:before="220" w:after="0"/>
        <w:ind w:left="12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Raw microdata can contain both personal data and non-personal data on a range of topics, including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sensitive subjects such as gender-based violence, infectious disease and other issues that may be recorded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 free text fields. Most humanitarian organizations acknowledge the sensitivity of personal data such as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names, biometric data or ID numbers, and anonymize datasets accordingly as a matter of standard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practice. However, it may be possible to re-identify individuals or disclose confidential information by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combining different data points even after such anonymization is applied.</w:t>
      </w:r>
    </w:p>
    <w:p>
      <w:pPr>
        <w:autoSpaceDN w:val="0"/>
        <w:autoSpaceDE w:val="0"/>
        <w:widowControl/>
        <w:spacing w:line="235" w:lineRule="auto" w:before="206" w:after="0"/>
        <w:ind w:left="12" w:right="0" w:firstLine="0"/>
        <w:jc w:val="left"/>
      </w:pPr>
      <w:r>
        <w:rPr>
          <w:rFonts w:ascii="Stag" w:hAnsi="Stag" w:eastAsia="Stag"/>
          <w:b w:val="0"/>
          <w:i w:val="0"/>
          <w:color w:val="4AAF85"/>
          <w:sz w:val="9"/>
        </w:rPr>
        <w:t xml:space="preserve">1     </w:t>
      </w:r>
      <w:r>
        <w:rPr>
          <w:rFonts w:ascii="Stag" w:hAnsi="Stag" w:eastAsia="Stag"/>
          <w:b w:val="0"/>
          <w:i w:val="0"/>
          <w:color w:val="4EAF85"/>
          <w:sz w:val="15"/>
        </w:rPr>
        <w:t xml:space="preserve">Survey Design and Statistical Methodology Metadata, Software and Standards Management Branch, Systems Support Division, United States </w:t>
      </w:r>
    </w:p>
    <w:p>
      <w:pPr>
        <w:autoSpaceDN w:val="0"/>
        <w:autoSpaceDE w:val="0"/>
        <w:widowControl/>
        <w:spacing w:line="228" w:lineRule="auto" w:before="36" w:after="0"/>
        <w:ind w:left="94" w:right="0" w:firstLine="0"/>
        <w:jc w:val="left"/>
      </w:pPr>
      <w:r>
        <w:rPr>
          <w:rFonts w:ascii="Stag" w:hAnsi="Stag" w:eastAsia="Stag"/>
          <w:b w:val="0"/>
          <w:i w:val="0"/>
          <w:color w:val="4EAF85"/>
          <w:sz w:val="15"/>
        </w:rPr>
        <w:t xml:space="preserve"> Bureau of the Census, Washington D.C., August 1998, Section 3.4.4, page 39.</w:t>
      </w:r>
    </w:p>
    <w:p>
      <w:pPr>
        <w:autoSpaceDN w:val="0"/>
        <w:autoSpaceDE w:val="0"/>
        <w:widowControl/>
        <w:spacing w:line="235" w:lineRule="auto" w:before="86" w:after="0"/>
        <w:ind w:left="12" w:right="0" w:firstLine="0"/>
        <w:jc w:val="left"/>
      </w:pPr>
      <w:r>
        <w:rPr>
          <w:rFonts w:ascii="Stag" w:hAnsi="Stag" w:eastAsia="Stag"/>
          <w:b w:val="0"/>
          <w:i w:val="0"/>
          <w:color w:val="4AAF85"/>
          <w:sz w:val="9"/>
        </w:rPr>
        <w:t xml:space="preserve">2    </w:t>
      </w:r>
      <w:r>
        <w:rPr>
          <w:rFonts w:ascii="Stag" w:hAnsi="Stag" w:eastAsia="Stag"/>
          <w:b w:val="0"/>
          <w:i w:val="0"/>
          <w:color w:val="4EAF85"/>
          <w:sz w:val="15"/>
        </w:rPr>
        <w:t xml:space="preserve">At the time of writing, a search for the word ‘survey’ on the Humanitarian Data Exchange returned 1198 results out of the 9805 datasets on the </w:t>
      </w:r>
    </w:p>
    <w:p>
      <w:pPr>
        <w:autoSpaceDN w:val="0"/>
        <w:autoSpaceDE w:val="0"/>
        <w:widowControl/>
        <w:spacing w:line="228" w:lineRule="auto" w:before="30" w:after="174"/>
        <w:ind w:left="94" w:right="0" w:firstLine="0"/>
        <w:jc w:val="left"/>
      </w:pPr>
      <w:r>
        <w:rPr>
          <w:rFonts w:ascii="Stag" w:hAnsi="Stag" w:eastAsia="Stag"/>
          <w:b w:val="0"/>
          <w:i w:val="0"/>
          <w:color w:val="4EAF85"/>
          <w:sz w:val="15"/>
        </w:rPr>
        <w:t xml:space="preserve"> platform; a search for the word ‘assessment’ returned 1399 results.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67"/>
        <w:gridCol w:w="3267"/>
        <w:gridCol w:w="3267"/>
      </w:tblGrid>
      <w:tr>
        <w:trPr>
          <w:trHeight w:hRule="exact" w:val="288"/>
        </w:trPr>
        <w:tc>
          <w:tcPr>
            <w:tcW w:type="dxa" w:w="3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4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878787"/>
                <w:sz w:val="16"/>
              </w:rPr>
              <w:t xml:space="preserve">THE CENTRE FOR HUMANITARIAN DATA 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90" w:after="0"/>
              <w:ind w:left="90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878787"/>
                <w:sz w:val="16"/>
              </w:rPr>
              <w:t>AUGUST 2019</w:t>
            </w:r>
          </w:p>
        </w:tc>
        <w:tc>
          <w:tcPr>
            <w:tcW w:type="dxa" w:w="2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rPr>
                <w:rFonts w:ascii="OpenSans" w:hAnsi="OpenSans" w:eastAsia="OpenSans"/>
                <w:b w:val="0"/>
                <w:i w:val="0"/>
                <w:color w:val="878787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00" w:right="1038" w:bottom="396" w:left="10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OpenSans" w:hAnsi="OpenSans" w:eastAsia="OpenSans"/>
          <w:b/>
          <w:i w:val="0"/>
          <w:color w:val="4DB184"/>
          <w:sz w:val="22"/>
        </w:rPr>
        <w:t>RE-IDENTIFICATION AND DISCLOSURE RISK</w:t>
      </w:r>
    </w:p>
    <w:p>
      <w:pPr>
        <w:autoSpaceDN w:val="0"/>
        <w:autoSpaceDE w:val="0"/>
        <w:widowControl/>
        <w:spacing w:line="264" w:lineRule="exact" w:before="186" w:after="0"/>
        <w:ind w:left="18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 string of data points can allow for re-identification, either in isolation or when combined with basic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contextual understanding. Advanced data analysis techniques can also extract more sensitive insights than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may be visible through basic analysis, increasing the potential sensitivity of microdata in the humanitarian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sector. </w:t>
      </w:r>
    </w:p>
    <w:p>
      <w:pPr>
        <w:autoSpaceDN w:val="0"/>
        <w:autoSpaceDE w:val="0"/>
        <w:widowControl/>
        <w:spacing w:line="264" w:lineRule="exact" w:before="266" w:after="0"/>
        <w:ind w:left="18" w:right="1152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There are three commonly recognized forms</w:t>
      </w:r>
      <w:r>
        <w:rPr>
          <w:w w:val="98.66154010479266"/>
          <w:rFonts w:ascii="SourceSansPro" w:hAnsi="SourceSansPro" w:eastAsia="SourceSansPro"/>
          <w:b/>
          <w:i w:val="0"/>
          <w:color w:val="000000"/>
          <w:sz w:val="13"/>
        </w:rPr>
        <w:t>3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of disclosure risk, each of which could manifest in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humanitarian microdata:</w:t>
      </w:r>
    </w:p>
    <w:p>
      <w:pPr>
        <w:autoSpaceDN w:val="0"/>
        <w:autoSpaceDE w:val="0"/>
        <w:widowControl/>
        <w:spacing w:line="292" w:lineRule="exact" w:before="156" w:after="0"/>
        <w:ind w:left="246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• Identity disclosure: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when it is possible to associate a known individual with a released data record</w:t>
      </w:r>
    </w:p>
    <w:p>
      <w:pPr>
        <w:autoSpaceDN w:val="0"/>
        <w:tabs>
          <w:tab w:pos="472" w:val="left"/>
        </w:tabs>
        <w:autoSpaceDE w:val="0"/>
        <w:widowControl/>
        <w:spacing w:line="258" w:lineRule="exact" w:before="186" w:after="0"/>
        <w:ind w:left="246" w:right="144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• Attribute disclosure: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when it is possible to determine some new characteristic of an individual based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on the information available in the released data</w:t>
      </w:r>
    </w:p>
    <w:p>
      <w:pPr>
        <w:autoSpaceDN w:val="0"/>
        <w:autoSpaceDE w:val="0"/>
        <w:widowControl/>
        <w:spacing w:line="258" w:lineRule="exact" w:before="192" w:after="0"/>
        <w:ind w:left="144" w:right="864" w:firstLine="0"/>
        <w:jc w:val="center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• Inferential disclosure: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when it is possible to determine the value of some characteristic of an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individual more accurately with the released data than would otherwise have been possible </w:t>
      </w:r>
    </w:p>
    <w:p>
      <w:pPr>
        <w:autoSpaceDN w:val="0"/>
        <w:autoSpaceDE w:val="0"/>
        <w:widowControl/>
        <w:spacing w:line="240" w:lineRule="auto" w:before="328" w:after="0"/>
        <w:ind w:left="24" w:right="0" w:firstLine="0"/>
        <w:jc w:val="left"/>
      </w:pPr>
      <w:r>
        <w:rPr>
          <w:rFonts w:ascii="OpenSans" w:hAnsi="OpenSans" w:eastAsia="OpenSans"/>
          <w:b/>
          <w:i w:val="0"/>
          <w:color w:val="4DB184"/>
          <w:sz w:val="22"/>
        </w:rPr>
        <w:t>STATISTICAL DISCLOSURE CONTROL</w:t>
      </w:r>
    </w:p>
    <w:p>
      <w:pPr>
        <w:autoSpaceDN w:val="0"/>
        <w:autoSpaceDE w:val="0"/>
        <w:widowControl/>
        <w:spacing w:line="264" w:lineRule="exact" w:before="168" w:after="0"/>
        <w:ind w:left="2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Statistical Disclosure Control (SDC) is a technique used in statistics to assess and lower the risk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4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of a person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or group being re-identified from the results of an analysis of survey or administrative data, or in the release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of microdata. This technique has primarily been used by National Statistical Offices (NSOs) and other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statistical organizations in relation to census data. </w:t>
      </w:r>
    </w:p>
    <w:p>
      <w:pPr>
        <w:autoSpaceDN w:val="0"/>
        <w:autoSpaceDE w:val="0"/>
        <w:widowControl/>
        <w:spacing w:line="264" w:lineRule="exact" w:before="264" w:after="0"/>
        <w:ind w:left="24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application of SDC impacts the overall informational value or utility of a dataset and striking an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appropriate balance between re-identification risk and information is key. Determining an appropriate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risk-utility balance requires organizations to consider the various possible uses of a dataset and the context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in which the data was collected.</w:t>
      </w:r>
    </w:p>
    <w:p>
      <w:pPr>
        <w:autoSpaceDN w:val="0"/>
        <w:autoSpaceDE w:val="0"/>
        <w:widowControl/>
        <w:spacing w:line="278" w:lineRule="exact" w:before="250" w:after="0"/>
        <w:ind w:left="2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There are three distinct stages involved in applying SDC to limit the risk of disclosure in microdata: </w:t>
      </w:r>
    </w:p>
    <w:p>
      <w:pPr>
        <w:autoSpaceDN w:val="0"/>
        <w:autoSpaceDE w:val="0"/>
        <w:widowControl/>
        <w:spacing w:line="264" w:lineRule="exact" w:before="184" w:after="0"/>
        <w:ind w:left="476" w:right="0" w:hanging="226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1. Assessing the risk of re-identification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first step is to conduct a disclosure risk assessment to determine the probability that disclosure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could occur for individual respondents within a given dataset.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5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Whether this probability of disclosure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(also referred to as a risk percentage) is acceptable for a dataset will depend on the context of the data.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For example, in a conflict environment, the permissible risk percentage will typically be lower than in 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natural disaster response.</w:t>
      </w:r>
    </w:p>
    <w:p>
      <w:pPr>
        <w:autoSpaceDN w:val="0"/>
        <w:autoSpaceDE w:val="0"/>
        <w:widowControl/>
        <w:spacing w:line="264" w:lineRule="exact" w:before="184" w:after="0"/>
        <w:ind w:left="476" w:right="0" w:hanging="226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2. Reducing the risk of re-identification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next step is to put the dataset through the actual SDC process, which lowers the re-identification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risk by applying different anonymization methods. These methods fall into one of two categories: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perturbative methods, which do not suppress values in the dataset but perturb (i.e., alter) values to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limit disclosure risk by creating uncertainty around the true values, or non-perturbative methods, which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reduce the detail in the data by generalization or suppression of certain values (i.e., masking) without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distorting the data structure.</w:t>
      </w:r>
    </w:p>
    <w:p>
      <w:pPr>
        <w:autoSpaceDN w:val="0"/>
        <w:autoSpaceDE w:val="0"/>
        <w:widowControl/>
        <w:spacing w:line="262" w:lineRule="exact" w:before="186" w:after="0"/>
        <w:ind w:left="476" w:right="288" w:hanging="226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3. Quantifying information loss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final step is to measure the information loss resulting from the application of SDC to the dataset.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goal here is to compare the information value of the original dataset with the final information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value.</w:t>
      </w:r>
    </w:p>
    <w:p>
      <w:pPr>
        <w:autoSpaceDN w:val="0"/>
        <w:autoSpaceDE w:val="0"/>
        <w:widowControl/>
        <w:spacing w:line="264" w:lineRule="exact" w:before="220" w:after="0"/>
        <w:ind w:left="24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By using SDC to assess and reduce the disclosure risk in microdata, humanitarian organizations can more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responsibly share data from surveys and needs assessments to inform the overall response effort.</w:t>
      </w:r>
    </w:p>
    <w:p>
      <w:pPr>
        <w:autoSpaceDN w:val="0"/>
        <w:autoSpaceDE w:val="0"/>
        <w:widowControl/>
        <w:spacing w:line="235" w:lineRule="auto" w:before="178" w:after="0"/>
        <w:ind w:left="24" w:right="0" w:firstLine="0"/>
        <w:jc w:val="left"/>
      </w:pPr>
      <w:r>
        <w:rPr>
          <w:rFonts w:ascii="Stag" w:hAnsi="Stag" w:eastAsia="Stag"/>
          <w:b w:val="0"/>
          <w:i w:val="0"/>
          <w:color w:val="4AAF85"/>
          <w:sz w:val="9"/>
        </w:rPr>
        <w:t xml:space="preserve">3    </w:t>
      </w:r>
      <w:r>
        <w:rPr>
          <w:rFonts w:ascii="Stag" w:hAnsi="Stag" w:eastAsia="Stag"/>
          <w:b w:val="0"/>
          <w:i w:val="0"/>
          <w:color w:val="4EAF85"/>
          <w:sz w:val="15"/>
        </w:rPr>
        <w:t xml:space="preserve">For more information on disclosure risk and related technical considerations for the assessment and management of such risk through SDC, </w:t>
      </w:r>
    </w:p>
    <w:p>
      <w:pPr>
        <w:autoSpaceDN w:val="0"/>
        <w:autoSpaceDE w:val="0"/>
        <w:widowControl/>
        <w:spacing w:line="228" w:lineRule="auto" w:before="30" w:after="0"/>
        <w:ind w:left="106" w:right="0" w:firstLine="0"/>
        <w:jc w:val="left"/>
      </w:pPr>
      <w:r>
        <w:rPr>
          <w:rFonts w:ascii="Stag" w:hAnsi="Stag" w:eastAsia="Stag"/>
          <w:b w:val="0"/>
          <w:i w:val="0"/>
          <w:color w:val="4EAF85"/>
          <w:sz w:val="15"/>
        </w:rPr>
        <w:t xml:space="preserve"> see the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11" w:history="1">
          <w:r>
            <w:rPr>
              <w:rStyle w:val="Hyperlink"/>
            </w:rPr>
            <w:t>Statistical Disclosure Control for Microdata: A Practice Guide</w:t>
          </w:r>
        </w:hyperlink>
      </w:r>
      <w:r>
        <w:rPr>
          <w:rFonts w:ascii="Stag" w:hAnsi="Stag" w:eastAsia="Stag"/>
          <w:b w:val="0"/>
          <w:i w:val="0"/>
          <w:color w:val="4EAF85"/>
          <w:sz w:val="15"/>
        </w:rPr>
        <w:t>.</w:t>
      </w:r>
    </w:p>
    <w:p>
      <w:pPr>
        <w:autoSpaceDN w:val="0"/>
        <w:autoSpaceDE w:val="0"/>
        <w:widowControl/>
        <w:spacing w:line="235" w:lineRule="auto" w:before="86" w:after="0"/>
        <w:ind w:left="24" w:right="0" w:firstLine="0"/>
        <w:jc w:val="left"/>
      </w:pPr>
      <w:r>
        <w:rPr>
          <w:rFonts w:ascii="Stag" w:hAnsi="Stag" w:eastAsia="Stag"/>
          <w:b w:val="0"/>
          <w:i w:val="0"/>
          <w:color w:val="4AAF85"/>
          <w:sz w:val="9"/>
        </w:rPr>
        <w:t xml:space="preserve">4    </w:t>
      </w:r>
      <w:r>
        <w:rPr>
          <w:rFonts w:ascii="Stag" w:hAnsi="Stag" w:eastAsia="Stag"/>
          <w:b w:val="0"/>
          <w:i w:val="0"/>
          <w:color w:val="4EAF85"/>
          <w:sz w:val="15"/>
        </w:rPr>
        <w:t>Note: SDC is intended to prevent identity and attribute disclosure but is not specifically designed to prevent inferential disclosure.</w:t>
      </w:r>
    </w:p>
    <w:p>
      <w:pPr>
        <w:autoSpaceDN w:val="0"/>
        <w:autoSpaceDE w:val="0"/>
        <w:widowControl/>
        <w:spacing w:line="235" w:lineRule="auto" w:before="86" w:after="0"/>
        <w:ind w:left="24" w:right="0" w:firstLine="0"/>
        <w:jc w:val="left"/>
      </w:pPr>
      <w:r>
        <w:rPr>
          <w:rFonts w:ascii="Stag" w:hAnsi="Stag" w:eastAsia="Stag"/>
          <w:b w:val="0"/>
          <w:i w:val="0"/>
          <w:color w:val="4AAF85"/>
          <w:sz w:val="9"/>
        </w:rPr>
        <w:t xml:space="preserve">5    </w:t>
      </w:r>
      <w:r>
        <w:rPr>
          <w:rFonts w:ascii="Stag" w:hAnsi="Stag" w:eastAsia="Stag"/>
          <w:b w:val="0"/>
          <w:i w:val="0"/>
          <w:color w:val="4EAF85"/>
          <w:sz w:val="15"/>
        </w:rPr>
        <w:t xml:space="preserve">Learn how to conduct a disclosure risk assessment through the Centre’s learning path on the subject: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12" w:history="1">
          <w:r>
            <w:rPr>
              <w:rStyle w:val="Hyperlink"/>
            </w:rPr>
            <w:t>https://centre.humdata.org/learning-path/</w:t>
          </w:r>
        </w:hyperlink>
      </w:r>
    </w:p>
    <w:p>
      <w:pPr>
        <w:autoSpaceDN w:val="0"/>
        <w:autoSpaceDE w:val="0"/>
        <w:widowControl/>
        <w:spacing w:line="228" w:lineRule="auto" w:before="30" w:after="0"/>
        <w:ind w:left="112" w:right="0" w:firstLine="0"/>
        <w:jc w:val="left"/>
      </w:pPr>
      <w:r>
        <w:rPr>
          <w:rFonts w:ascii="Stag" w:hAnsi="Stag" w:eastAsia="Stag"/>
          <w:b w:val="0"/>
          <w:i w:val="0"/>
          <w:color w:val="4EAF85"/>
          <w:sz w:val="15"/>
        </w:rPr>
        <w:t xml:space="preserve"> disclosure-risk-assessment-overview/</w:t>
      </w:r>
      <w:r>
        <w:rPr>
          <w:rFonts w:ascii="Stag" w:hAnsi="Stag" w:eastAsia="Stag"/>
          <w:b w:val="0"/>
          <w:i w:val="0"/>
          <w:color w:val="4EAF85"/>
          <w:sz w:val="15"/>
        </w:rPr>
        <w:t>.</w:t>
      </w:r>
    </w:p>
    <w:p>
      <w:pPr>
        <w:sectPr>
          <w:pgSz w:w="11906" w:h="16838"/>
          <w:pgMar w:top="368" w:right="844" w:bottom="552" w:left="10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916"/>
      </w:tblGrid>
      <w:tr>
        <w:trPr>
          <w:trHeight w:hRule="exact" w:val="574"/>
        </w:trPr>
        <w:tc>
          <w:tcPr>
            <w:tcW w:type="dxa" w:w="9746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4" w:after="0"/>
              <w:ind w:left="226" w:right="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0"/>
              </w:rPr>
              <w:t>Applying SDC to data shared on HDX</w:t>
            </w:r>
            <w:r>
              <w:rPr>
                <w:w w:val="97.16666539510092"/>
                <w:rFonts w:ascii="Stag" w:hAnsi="Stag" w:eastAsia="Stag"/>
                <w:b w:val="0"/>
                <w:i w:val="0"/>
                <w:color w:val="000000"/>
                <w:sz w:val="12"/>
              </w:rPr>
              <w:t>6</w:t>
            </w:r>
          </w:p>
        </w:tc>
      </w:tr>
      <w:tr>
        <w:trPr>
          <w:trHeight w:hRule="exact" w:val="3110"/>
        </w:trPr>
        <w:tc>
          <w:tcPr>
            <w:tcW w:type="dxa" w:w="9746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34" w:after="0"/>
              <w:ind w:left="226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Since the beginning of 2018, the Centre for Humanitarian Data (‘the Centre’) has conducted a risk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assessment of 59 datasets uploaded to the Humanitarian Data Exchange (HDX) platform. The risk of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disclosure of respondents’ identities in 38 of those datasets was considered too high for publication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on HDX. The contributors of 14 of these datasets agreed to the application of SDC to their data to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lower the risk level. The HDX team applied SDC to these 14 datasets, for which the risk level was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lowered to an acceptable level (i.e. 5% or lower</w:t>
            </w:r>
            <w:r>
              <w:rPr>
                <w:w w:val="98.66154010479266"/>
                <w:rFonts w:ascii="SourceSansPro" w:hAnsi="SourceSansPro" w:eastAsia="SourceSansPro"/>
                <w:b/>
                <w:i w:val="0"/>
                <w:color w:val="000000"/>
                <w:sz w:val="13"/>
              </w:rPr>
              <w:t>7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). For 5 of these 14 datasets, this meant that they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could be made public after anonymization. The remaining 9 datasets were either removed or shared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privately on HDX, as were the 24 high-risk datasets for which the contributor did not agree to conduct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SDC. For those 24 datasets, many organizations took measures of their own to lower the risk of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re-identification, sometimes including the removal of non-essential sensitive variables altogether.</w:t>
            </w:r>
          </w:p>
        </w:tc>
      </w:tr>
    </w:tbl>
    <w:p>
      <w:pPr>
        <w:autoSpaceDN w:val="0"/>
        <w:autoSpaceDE w:val="0"/>
        <w:widowControl/>
        <w:spacing w:line="238" w:lineRule="auto" w:before="372" w:after="0"/>
        <w:ind w:left="14" w:right="0" w:firstLine="0"/>
        <w:jc w:val="left"/>
      </w:pPr>
      <w:r>
        <w:rPr>
          <w:rFonts w:ascii="OpenSans" w:hAnsi="OpenSans" w:eastAsia="OpenSans"/>
          <w:b/>
          <w:i w:val="0"/>
          <w:color w:val="4DB184"/>
          <w:sz w:val="22"/>
        </w:rPr>
        <w:t>APPLICATIONS OF SDC IN HUMANITARIAN DATA MANAGEMENT</w:t>
      </w:r>
    </w:p>
    <w:p>
      <w:pPr>
        <w:autoSpaceDN w:val="0"/>
        <w:autoSpaceDE w:val="0"/>
        <w:widowControl/>
        <w:spacing w:line="264" w:lineRule="exact" w:before="208" w:after="324"/>
        <w:ind w:left="12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 early 2019, the Centre interviewed colleagues from seven humanitarian organizations that conduct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surveys and needs assessments to understand existing practices for microdata management. Some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organizations such as UNHCR (see case study below) have relatively advanced approaches and considerable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in-house expertise for conducting SDC on different forms of microdata. However, most of the organizations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interviewed require additional support to do this 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916"/>
      </w:tblGrid>
      <w:tr>
        <w:trPr>
          <w:trHeight w:hRule="exact" w:val="822"/>
        </w:trPr>
        <w:tc>
          <w:tcPr>
            <w:tcW w:type="dxa" w:w="9746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4" w:after="0"/>
              <w:ind w:left="226" w:right="2736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2"/>
              </w:rPr>
              <w:t xml:space="preserve">Responsible Curation and Management of Microdata about Refugees </w:t>
            </w:r>
            <w:r>
              <w:rPr>
                <w:rFonts w:ascii="Stag" w:hAnsi="Stag" w:eastAsia="Stag"/>
                <w:b w:val="0"/>
                <w:i w:val="0"/>
                <w:color w:val="000000"/>
                <w:sz w:val="18"/>
              </w:rPr>
              <w:t>Experience from UNHCR</w:t>
            </w:r>
          </w:p>
        </w:tc>
      </w:tr>
      <w:tr>
        <w:trPr>
          <w:trHeight w:hRule="exact" w:val="6540"/>
        </w:trPr>
        <w:tc>
          <w:tcPr>
            <w:tcW w:type="dxa" w:w="9746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2" w:after="0"/>
              <w:ind w:left="226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UNHCR routinely collects data on refugees and other populations under its mandate. This data is used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to assess needs and vulnerabilities, inform programming and better target assistance. Although this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data has not traditionally been retained in formats and locations that would make it easily retrievable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for future use, UNHCR is now in the process of creating an internal and an external microdata library. </w:t>
            </w:r>
          </w:p>
          <w:p>
            <w:pPr>
              <w:autoSpaceDN w:val="0"/>
              <w:autoSpaceDE w:val="0"/>
              <w:widowControl/>
              <w:spacing w:line="264" w:lineRule="exact" w:before="12" w:after="0"/>
              <w:ind w:left="226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By creating these online repositories that will allow public access to microdata for internal and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external users, UNHCR aims to enable more extensive use of the data by a variety of stakeholders and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prevent duplication in data collection efforts moving forward. </w:t>
            </w:r>
          </w:p>
          <w:p>
            <w:pPr>
              <w:autoSpaceDN w:val="0"/>
              <w:autoSpaceDE w:val="0"/>
              <w:widowControl/>
              <w:spacing w:line="264" w:lineRule="exact" w:before="264" w:after="0"/>
              <w:ind w:left="226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Public dissemination of microdata has many potential benefits, but it also comes with potential risks.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Dissemination without appropriate disclosure control measures can enable intruders to identify the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entities (individuals or households) whose data is being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 shared, even if direct identifiers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like names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and addresses have been removed. In accordance with </w:t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3" w:history="1">
                <w:r>
                  <w:rPr>
                    <w:rStyle w:val="Hyperlink"/>
                  </w:rPr>
                  <w:t>UNHCR’s data protection policy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, the identity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of persons of concern must be protected and therefore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>datasets must be properly anony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mized before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they can be shared. UNHCR data is especially sensitive, as it concerns particularly vulnerable groups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of people, whose protection is of the utmost importance. </w:t>
            </w:r>
          </w:p>
          <w:p>
            <w:pPr>
              <w:autoSpaceDN w:val="0"/>
              <w:autoSpaceDE w:val="0"/>
              <w:widowControl/>
              <w:spacing w:line="264" w:lineRule="exact" w:before="264" w:after="0"/>
              <w:ind w:left="226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To ensure protection and responsible dissemination of microdata, UNHCR utilizes the sdcMicro app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in R to calculate the re-identification risks of such data before they are published. The process is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managed by UNHCR’s data curation team, which works together with the data owners to identify key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variables, assess the sensitivity of the data, and set an acceptable risk level for a particular dataset.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After anonymization, the modified data is compared to the original and assessed for information loss.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If the data owner judges that certain modified variables are essential for consumers of the data, the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disclosure control methods can be adjusted accordingly. For example, in the case of the</w:t>
            </w:r>
          </w:p>
        </w:tc>
      </w:tr>
    </w:tbl>
    <w:p>
      <w:pPr>
        <w:autoSpaceDN w:val="0"/>
        <w:autoSpaceDE w:val="0"/>
        <w:widowControl/>
        <w:spacing w:line="235" w:lineRule="auto" w:before="216" w:after="0"/>
        <w:ind w:left="14" w:right="0" w:firstLine="0"/>
        <w:jc w:val="left"/>
      </w:pPr>
      <w:r>
        <w:rPr>
          <w:rFonts w:ascii="Stag" w:hAnsi="Stag" w:eastAsia="Stag"/>
          <w:b w:val="0"/>
          <w:i w:val="0"/>
          <w:color w:val="4AAF85"/>
          <w:sz w:val="9"/>
        </w:rPr>
        <w:t xml:space="preserve">6    </w:t>
      </w:r>
      <w:r>
        <w:rPr>
          <w:rFonts w:ascii="Stag" w:hAnsi="Stag" w:eastAsia="Stag"/>
          <w:b w:val="0"/>
          <w:i w:val="0"/>
          <w:color w:val="4EAF85"/>
          <w:sz w:val="15"/>
        </w:rPr>
        <w:t xml:space="preserve">Learn more about the Centre’s use of SDC and overall Quality Assurance (QA) process for data shared on HDX here: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14" w:history="1">
          <w:r>
            <w:rPr>
              <w:rStyle w:val="Hyperlink"/>
            </w:rPr>
            <w:t>https://data.humdata.org/about/</w:t>
          </w:r>
        </w:hyperlink>
      </w:r>
    </w:p>
    <w:p>
      <w:pPr>
        <w:autoSpaceDN w:val="0"/>
        <w:autoSpaceDE w:val="0"/>
        <w:widowControl/>
        <w:spacing w:line="228" w:lineRule="auto" w:before="30" w:after="0"/>
        <w:ind w:left="98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15"/>
        </w:rPr>
        <w:hyperlink r:id="rId14" w:history="1">
          <w:r>
            <w:rPr>
              <w:rStyle w:val="Hyperlink"/>
            </w:rPr>
            <w:t xml:space="preserve"> hdx-qa-process</w:t>
          </w:r>
        </w:hyperlink>
      </w:r>
      <w:r>
        <w:rPr>
          <w:rFonts w:ascii="Stag" w:hAnsi="Stag" w:eastAsia="Stag"/>
          <w:b w:val="0"/>
          <w:i w:val="0"/>
          <w:color w:val="4EAF85"/>
          <w:sz w:val="15"/>
        </w:rPr>
        <w:t>.</w:t>
      </w:r>
    </w:p>
    <w:p>
      <w:pPr>
        <w:autoSpaceDN w:val="0"/>
        <w:autoSpaceDE w:val="0"/>
        <w:widowControl/>
        <w:spacing w:line="235" w:lineRule="auto" w:before="86" w:after="0"/>
        <w:ind w:left="14" w:right="0" w:firstLine="0"/>
        <w:jc w:val="left"/>
      </w:pPr>
      <w:r>
        <w:rPr>
          <w:rFonts w:ascii="Stag" w:hAnsi="Stag" w:eastAsia="Stag"/>
          <w:b w:val="0"/>
          <w:i w:val="0"/>
          <w:color w:val="4AAF85"/>
          <w:sz w:val="9"/>
        </w:rPr>
        <w:t xml:space="preserve">7    </w:t>
      </w:r>
      <w:r>
        <w:rPr>
          <w:rFonts w:ascii="Stag" w:hAnsi="Stag" w:eastAsia="Stag"/>
          <w:b w:val="0"/>
          <w:i w:val="0"/>
          <w:color w:val="4EAF85"/>
          <w:sz w:val="15"/>
        </w:rPr>
        <w:t xml:space="preserve">The Centre recently adjusted its default threshold of acceptable reidentification risk from 5% to 3%. The exact threshold for a particular dataset is </w:t>
      </w:r>
    </w:p>
    <w:p>
      <w:pPr>
        <w:autoSpaceDN w:val="0"/>
        <w:autoSpaceDE w:val="0"/>
        <w:widowControl/>
        <w:spacing w:line="228" w:lineRule="auto" w:before="30" w:after="0"/>
        <w:ind w:left="96" w:right="0" w:firstLine="0"/>
        <w:jc w:val="left"/>
      </w:pPr>
      <w:r>
        <w:rPr>
          <w:rFonts w:ascii="Stag" w:hAnsi="Stag" w:eastAsia="Stag"/>
          <w:b w:val="0"/>
          <w:i w:val="0"/>
          <w:color w:val="4EAF85"/>
          <w:sz w:val="15"/>
        </w:rPr>
        <w:t xml:space="preserve"> always contextual and is determined together with the organization contributing the dataset.</w:t>
      </w:r>
    </w:p>
    <w:p>
      <w:pPr>
        <w:sectPr>
          <w:pgSz w:w="11906" w:h="16838"/>
          <w:pgMar w:top="476" w:right="926" w:bottom="552" w:left="10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790"/>
      </w:tblGrid>
      <w:tr>
        <w:trPr>
          <w:trHeight w:hRule="exact" w:val="3112"/>
        </w:trPr>
        <w:tc>
          <w:tcPr>
            <w:tcW w:type="dxa" w:w="9756"/>
            <w:tcBorders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0" w:after="0"/>
              <w:ind w:left="246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Standardized Expanded Nutrition Surveys (SENS), the curation team decided not to apply aggregation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in age brackets that would normally be applied because these brackets were key to characterizing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malnutrition by age in years and months for children. The team maintained the age variable but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excluded the date of birth and the survey date. This led to an acceptable risk scenario while keeping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the data useful for nutritionists. </w:t>
            </w:r>
          </w:p>
          <w:p>
            <w:pPr>
              <w:autoSpaceDN w:val="0"/>
              <w:autoSpaceDE w:val="0"/>
              <w:widowControl/>
              <w:spacing w:line="264" w:lineRule="exact" w:before="264" w:after="0"/>
              <w:ind w:left="246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UNHCR continues to invest in this process by growing its curation team and increasing the t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echnical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expertise in anony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mization techniques within the organization. Under the current plan, the </w:t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5" w:history="1">
                <w:r>
                  <w:rPr>
                    <w:rStyle w:val="Hyperlink"/>
                  </w:rPr>
                  <w:t xml:space="preserve">UNHCR 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5" w:history="1">
                <w:r>
                  <w:rPr>
                    <w:rStyle w:val="Hyperlink"/>
                  </w:rPr>
                  <w:t>Microdata Library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will be fully operational and populated with forced displacement microd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ata at th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end of 2019.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64" w:lineRule="exact" w:before="312" w:after="240"/>
        <w:ind w:left="8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By working with data contributors like REACH (see case study below) to develop a reliable and secure SDC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service model, the Centre aims to support responsible sharing of this data and demonstrate the value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of more robust techniques for disclosure risk assessment and data anonymization. Exposure to these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techniques also helps humanitarian organizations identify tools and methods that they can incorporate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into their own data management processes, while contributing to the broader body of knowledge within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the sector on how to more responsibly manage and share microdata in humanitarian settings.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90"/>
      </w:tblGrid>
      <w:tr>
        <w:trPr>
          <w:trHeight w:hRule="exact" w:val="816"/>
        </w:trPr>
        <w:tc>
          <w:tcPr>
            <w:tcW w:type="dxa" w:w="9746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4" w:after="0"/>
              <w:ind w:left="224" w:right="144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2"/>
              </w:rPr>
              <w:t xml:space="preserve">Opportunities and challenges to incorporating SDC into an organization’s workflow </w:t>
            </w:r>
            <w:r>
              <w:rPr>
                <w:rFonts w:ascii="Stag" w:hAnsi="Stag" w:eastAsia="Stag"/>
                <w:b w:val="0"/>
                <w:i w:val="0"/>
                <w:color w:val="000000"/>
                <w:sz w:val="18"/>
              </w:rPr>
              <w:t>Experience from REACH</w:t>
            </w:r>
          </w:p>
        </w:tc>
      </w:tr>
      <w:tr>
        <w:trPr>
          <w:trHeight w:hRule="exact" w:val="8478"/>
        </w:trPr>
        <w:tc>
          <w:tcPr>
            <w:tcW w:type="dxa" w:w="9746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32" w:after="0"/>
              <w:ind w:left="224" w:right="144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6" w:history="1">
                <w:r>
                  <w:rPr>
                    <w:rStyle w:val="Hyperlink"/>
                  </w:rPr>
                  <w:t>REACH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began exploring the potential of SDC in June 2018, when the HDX team first applied the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6" w:history="1">
                <w:r>
                  <w:rPr>
                    <w:rStyle w:val="Hyperlink"/>
                  </w:rPr>
                  <w:t>sdcMic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ro R package to a dataset that REACH uploaded to the platform. The types of data for which the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HDX team have applied SDC for REACH include household surveys and key informant interviews (and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associated metadata). REACH has not yet applied SDC directly but are looking into the requirements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for doing so. </w:t>
            </w:r>
          </w:p>
          <w:p>
            <w:pPr>
              <w:autoSpaceDN w:val="0"/>
              <w:autoSpaceDE w:val="0"/>
              <w:widowControl/>
              <w:spacing w:line="264" w:lineRule="exact" w:before="264" w:after="0"/>
              <w:ind w:left="224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Based on experience to-date, REACH suggests that organizations interested in incorporating SDC into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their workflow consider the following questions:</w:t>
            </w:r>
          </w:p>
          <w:p>
            <w:pPr>
              <w:autoSpaceDN w:val="0"/>
              <w:autoSpaceDE w:val="0"/>
              <w:widowControl/>
              <w:spacing w:line="278" w:lineRule="exact" w:before="82" w:after="0"/>
              <w:ind w:left="45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• Is this the right methodology for your existing microdata management processes?</w:t>
            </w:r>
          </w:p>
          <w:p>
            <w:pPr>
              <w:autoSpaceDN w:val="0"/>
              <w:autoSpaceDE w:val="0"/>
              <w:widowControl/>
              <w:spacing w:line="278" w:lineRule="exact" w:before="82" w:after="0"/>
              <w:ind w:left="45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• To what extent does application of SDC lower the validity and utility of the data?</w:t>
            </w:r>
          </w:p>
          <w:p>
            <w:pPr>
              <w:autoSpaceDN w:val="0"/>
              <w:autoSpaceDE w:val="0"/>
              <w:widowControl/>
              <w:spacing w:line="278" w:lineRule="exact" w:before="82" w:after="0"/>
              <w:ind w:left="45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• How does the application of SDC affect transparency?</w:t>
            </w:r>
          </w:p>
          <w:p>
            <w:pPr>
              <w:autoSpaceDN w:val="0"/>
              <w:autoSpaceDE w:val="0"/>
              <w:widowControl/>
              <w:spacing w:line="264" w:lineRule="exact" w:before="94" w:after="0"/>
              <w:ind w:left="678" w:right="288" w:hanging="22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How can you ensure that personnel do not rely too much on the outcomes of an SDC disclosure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risk assessment and ensure that they keep thinking critically about potential risks of different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data types?</w:t>
            </w:r>
          </w:p>
          <w:p>
            <w:pPr>
              <w:autoSpaceDN w:val="0"/>
              <w:autoSpaceDE w:val="0"/>
              <w:widowControl/>
              <w:spacing w:line="264" w:lineRule="exact" w:before="264" w:after="0"/>
              <w:ind w:left="224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REACH has determined that it would be operationally feasible to roll out the technical aspects of SDC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relatively easily both at HQ and field level. At HQ this would mean running a script on all datasets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produced or published by REACH. At the field level, this would mean getting country teams to use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sdcMicro or a similar tool on all datasets produced in country. </w:t>
            </w:r>
          </w:p>
          <w:p>
            <w:pPr>
              <w:autoSpaceDN w:val="0"/>
              <w:autoSpaceDE w:val="0"/>
              <w:widowControl/>
              <w:spacing w:line="264" w:lineRule="exact" w:before="264" w:after="0"/>
              <w:ind w:left="224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Beyond the technical aspects of SDC, REACH sees the potential challenge or bottleneck in the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manual component of the process whereby staff must decide whether a particular disclosure control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technique is appropriate, which variables to remove or otherwise obfuscate and how to interpret and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communicate the results of the process. These decisions take time and require an understanding of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the context to which the data relates. </w:t>
            </w:r>
          </w:p>
          <w:p>
            <w:pPr>
              <w:autoSpaceDN w:val="0"/>
              <w:autoSpaceDE w:val="0"/>
              <w:widowControl/>
              <w:spacing w:line="264" w:lineRule="exact" w:before="264" w:after="0"/>
              <w:ind w:left="224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In the near-term, REACH will continue collaborating with the HDX team to conduct SDC on survey and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assessment data before publication on HDX. This experience will enable REACH to determine how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best to incorporate SDC into its own workflows at the global and country level in the future.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78" w:right="1046" w:bottom="552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OpenSans" w:hAnsi="OpenSans" w:eastAsia="OpenSans"/>
          <w:b/>
          <w:i w:val="0"/>
          <w:color w:val="4DB184"/>
          <w:sz w:val="22"/>
        </w:rPr>
        <w:t xml:space="preserve">RECOMMENDATIONS FOR INCREASING THE USE OF SDC IN HUMANITARIAN </w:t>
      </w:r>
      <w:r>
        <w:rPr>
          <w:rFonts w:ascii="OpenSans" w:hAnsi="OpenSans" w:eastAsia="OpenSans"/>
          <w:b/>
          <w:i w:val="0"/>
          <w:color w:val="4DB184"/>
          <w:sz w:val="22"/>
        </w:rPr>
        <w:t>SETTINGS</w:t>
      </w:r>
    </w:p>
    <w:p>
      <w:pPr>
        <w:autoSpaceDN w:val="0"/>
        <w:autoSpaceDE w:val="0"/>
        <w:widowControl/>
        <w:spacing w:line="264" w:lineRule="exact" w:before="152" w:after="0"/>
        <w:ind w:left="2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Centre and its collaborators on this guidance note recommend that organizations invest in the following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three areas for successful adoption of SDC:</w:t>
      </w:r>
    </w:p>
    <w:p>
      <w:pPr>
        <w:autoSpaceDN w:val="0"/>
        <w:autoSpaceDE w:val="0"/>
        <w:widowControl/>
        <w:spacing w:line="264" w:lineRule="exact" w:before="224" w:after="0"/>
        <w:ind w:left="476" w:right="0" w:hanging="226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>1.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Selecting the right tool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There are a variety of tools to conduct SDC available for free online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7" w:history="1">
          <w:r>
            <w:rPr>
              <w:rStyle w:val="Hyperlink"/>
            </w:rPr>
            <w:t>. The Cen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tre and other humanitarian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organizations consulted during the Centre’s research currently use </w:t>
      </w:r>
      <w:r>
        <w:rPr>
          <w:rFonts w:ascii="SourceSansPro" w:hAnsi="SourceSansPro" w:eastAsia="SourceSansPro"/>
          <w:b/>
          <w:i w:val="0"/>
          <w:color w:val="1BB580"/>
          <w:sz w:val="22"/>
        </w:rPr>
        <w:hyperlink r:id="rId17" w:history="1">
          <w:r>
            <w:rPr>
              <w:rStyle w:val="Hyperlink"/>
            </w:rPr>
            <w:t>sdcMicro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. The Centre chose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sdcMicr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8" w:history="1">
          <w:r>
            <w:rPr>
              <w:rStyle w:val="Hyperlink"/>
            </w:rPr>
            <w:t>o for its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scal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>abili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ty and because it is free and open source. O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7" w:history="1">
          <w:r>
            <w:rPr>
              <w:rStyle w:val="Hyperlink"/>
            </w:rPr>
            <w:t>ther free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and open source tools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include </w:t>
      </w:r>
      <w:r>
        <w:rPr>
          <w:rFonts w:ascii="SourceSansPro" w:hAnsi="SourceSansPro" w:eastAsia="SourceSansPro"/>
          <w:b/>
          <w:i w:val="0"/>
          <w:color w:val="1BB580"/>
          <w:sz w:val="22"/>
        </w:rPr>
        <w:hyperlink r:id="rId18" w:history="1">
          <w:r>
            <w:rPr>
              <w:rStyle w:val="Hyperlink"/>
            </w:rPr>
            <w:t>μArgus</w:t>
          </w:r>
        </w:hyperlink>
      </w:r>
      <w:r>
        <w:rPr>
          <w:rFonts w:ascii="SourceSansPro" w:hAnsi="SourceSansPro" w:eastAsia="SourceSansPro"/>
          <w:b/>
          <w:i w:val="0"/>
          <w:color w:val="1BB580"/>
          <w:sz w:val="22"/>
        </w:rPr>
        <w:t xml:space="preserve">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and </w:t>
      </w:r>
      <w:r>
        <w:rPr>
          <w:rFonts w:ascii="SourceSansPro" w:hAnsi="SourceSansPro" w:eastAsia="SourceSansPro"/>
          <w:b/>
          <w:i w:val="0"/>
          <w:color w:val="1BB580"/>
          <w:sz w:val="22"/>
        </w:rPr>
        <w:hyperlink r:id="rId19" w:history="1">
          <w:r>
            <w:rPr>
              <w:rStyle w:val="Hyperlink"/>
            </w:rPr>
            <w:t>ARX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. In selecting the appropriate tool for conducting SDC, organizations should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conside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8" w:history="1">
          <w:r>
            <w:rPr>
              <w:rStyle w:val="Hyperlink"/>
            </w:rPr>
            <w:t>r the fle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xibili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>ty o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f the tool in the selecting key variables, the capacity of the tool to handle large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datasets, the built in risk-utility trade off functionality and the ease with which staff would be able to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navigate the tool’s user interface.</w:t>
      </w:r>
    </w:p>
    <w:p>
      <w:pPr>
        <w:autoSpaceDN w:val="0"/>
        <w:autoSpaceDE w:val="0"/>
        <w:widowControl/>
        <w:spacing w:line="264" w:lineRule="exact" w:before="224" w:after="0"/>
        <w:ind w:left="476" w:right="0" w:hanging="226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2. Integrating SDC into existing data management workflows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Establishing a process for the application of SDC within existing data management workflows is key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to sustainable adoption of the method. SDC requires engagement of staff with different knowledge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and skills, including a technical specialist to apply the statistical methods and  a programme specialist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with an understanding of the context of the data to determine the acceptable risk-utility balance. 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well-organized workflow will help improve efficiency of the process and help prevent misinterpretation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of or overreliance on the outcomes of SDC.</w:t>
      </w:r>
    </w:p>
    <w:p>
      <w:pPr>
        <w:autoSpaceDN w:val="0"/>
        <w:autoSpaceDE w:val="0"/>
        <w:widowControl/>
        <w:spacing w:line="264" w:lineRule="exact" w:before="224" w:after="0"/>
        <w:ind w:left="476" w:right="0" w:hanging="226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3. Improving practice through continuous learning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As organizations apply SDC, they will learn about the sensitivity of different key variables, the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appropriate risk level to strive for, the acceptable level of information loss and other considerations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that must be balanced in the process. Keeping a record of each application of SDC and documenting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lessons learned will help refine the process over time. Sharing these insights internally and, as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appropriate, with the broader humanitarian community can support more consistent and responsible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management of microdata in the sector.</w:t>
      </w:r>
    </w:p>
    <w:p>
      <w:pPr>
        <w:autoSpaceDN w:val="0"/>
        <w:autoSpaceDE w:val="0"/>
        <w:widowControl/>
        <w:spacing w:line="264" w:lineRule="exact" w:before="220" w:after="0"/>
        <w:ind w:left="2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As part of its efforts to support more responsible management and sharing of sensitive humanitarian data,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the Centre is enhancing its service model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8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for conducting SDC. This work includes the introduction of an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automated risk detection process for all data shared through HDX, which — when done manually — can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take several hours for large spreadsheets. Through this process, a script will run on all data uploaded to the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platform to identify microdata and other forms of potentially sensitive data. High-risk data will be sent into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 dedicated workflow to be assessed and, if necessary, modified through SDC to reduce re-identification risk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before the data is shared more widely.</w:t>
      </w:r>
    </w:p>
    <w:p>
      <w:pPr>
        <w:autoSpaceDN w:val="0"/>
        <w:autoSpaceDE w:val="0"/>
        <w:widowControl/>
        <w:spacing w:line="284" w:lineRule="exact" w:before="202" w:after="0"/>
        <w:ind w:left="2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To learn more about the Centre’s work on SDC, contact </w:t>
      </w:r>
      <w:r>
        <w:rPr>
          <w:rFonts w:ascii="SourceSansPro" w:hAnsi="SourceSansPro" w:eastAsia="SourceSansPro"/>
          <w:b/>
          <w:i w:val="0"/>
          <w:color w:val="1BB580"/>
          <w:sz w:val="22"/>
        </w:rPr>
        <w:hyperlink r:id="rId20" w:history="1">
          <w:r>
            <w:rPr>
              <w:rStyle w:val="Hyperlink"/>
            </w:rPr>
            <w:t>centrehumdata@un.org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58" w:lineRule="exact" w:before="296" w:after="90"/>
        <w:ind w:left="2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5D5D5D"/>
          <w:sz w:val="20"/>
        </w:rPr>
        <w:t xml:space="preserve">COLLABORATORS: </w:t>
      </w:r>
      <w:r>
        <w:rPr>
          <w:rFonts w:ascii="SourceSansPro" w:hAnsi="SourceSansPro" w:eastAsia="SourceSansPro"/>
          <w:b/>
          <w:i w:val="0"/>
          <w:color w:val="5D5D5D"/>
          <w:sz w:val="20"/>
        </w:rPr>
        <w:hyperlink r:id="rId21" w:history="1">
          <w:r>
            <w:rPr>
              <w:rStyle w:val="Hyperlink"/>
            </w:rPr>
            <w:t>UNHCR</w:t>
          </w:r>
        </w:hyperlink>
      </w:r>
      <w:r>
        <w:rPr>
          <w:rFonts w:ascii="SourceSansPro" w:hAnsi="SourceSansPro" w:eastAsia="SourceSansPro"/>
          <w:b/>
          <w:i w:val="0"/>
          <w:color w:val="5D5D5D"/>
          <w:sz w:val="20"/>
        </w:rPr>
        <w:t xml:space="preserve"> </w:t>
      </w:r>
      <w:r>
        <w:rPr>
          <w:rFonts w:ascii="SourceSansPro" w:hAnsi="SourceSansPro" w:eastAsia="SourceSansPro"/>
          <w:b w:val="0"/>
          <w:i w:val="0"/>
          <w:color w:val="5D5D5D"/>
          <w:sz w:val="20"/>
        </w:rPr>
        <w:t>AND</w:t>
      </w:r>
      <w:r>
        <w:rPr>
          <w:rFonts w:ascii="SourceSansPro" w:hAnsi="SourceSansPro" w:eastAsia="SourceSansPro"/>
          <w:b/>
          <w:i w:val="0"/>
          <w:color w:val="5D5D5D"/>
          <w:sz w:val="20"/>
        </w:rPr>
        <w:t xml:space="preserve"> </w:t>
      </w:r>
      <w:r>
        <w:rPr>
          <w:rFonts w:ascii="SourceSansPro" w:hAnsi="SourceSansPro" w:eastAsia="SourceSansPro"/>
          <w:b/>
          <w:i w:val="0"/>
          <w:color w:val="5D5D5D"/>
          <w:sz w:val="20"/>
        </w:rPr>
        <w:hyperlink r:id="rId16" w:history="1">
          <w:r>
            <w:rPr>
              <w:rStyle w:val="Hyperlink"/>
            </w:rPr>
            <w:t>REACH INITIATIVE</w:t>
          </w:r>
        </w:hyperlink>
      </w:r>
      <w:r>
        <w:rPr>
          <w:rFonts w:ascii="SourceSansPro" w:hAnsi="SourceSansPro" w:eastAsia="SourceSansPro"/>
          <w:b w:val="0"/>
          <w:i w:val="0"/>
          <w:color w:val="5D5D5D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9940"/>
      </w:tblGrid>
      <w:tr>
        <w:trPr>
          <w:trHeight w:hRule="exact" w:val="1828"/>
        </w:trPr>
        <w:tc>
          <w:tcPr>
            <w:tcW w:type="dxa" w:w="9754"/>
            <w:tcBorders>
              <w:start w:sz="6.800000190734863" w:val="single" w:color="#C5C5C5"/>
              <w:top w:sz="6.800000190734863" w:val="single" w:color="#C5C5C5"/>
              <w:end w:sz="6.800000190734863" w:val="single" w:color="#C5C5C5"/>
              <w:bottom w:sz="6.800000190734863" w:val="single" w:color="#C5C5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216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>The</w:t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0"/>
              </w:rPr>
              <w:hyperlink r:id="rId22" w:history="1">
                <w:r>
                  <w:rPr>
                    <w:rStyle w:val="Hyperlink"/>
                  </w:rPr>
                  <w:t>Centre for Humanitarian Data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(‘the Centre’)together with key partners, is publishing a series of eight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>guid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hyperlink r:id="rId22" w:history="1">
                <w:r>
                  <w:rPr>
                    <w:rStyle w:val="Hyperlink"/>
                  </w:rPr>
                  <w:t>ance notes on Data Responsibi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lity in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hyperlink r:id="rId23" w:history="1">
                <w:r>
                  <w:rPr>
                    <w:rStyle w:val="Hyperlink"/>
                  </w:rPr>
                  <w:t>Humanitarian Action over the course o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f 2019 and 2020. The Guidance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Note series follows the publication of the </w:t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0"/>
              </w:rPr>
              <w:hyperlink r:id="rId23" w:history="1">
                <w:r>
                  <w:rPr>
                    <w:rStyle w:val="Hyperlink"/>
                  </w:rPr>
                  <w:t>OCHA Data Responsibility Guidelines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 in March 2019. Through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>the series, the Centre aims to provide add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hyperlink r:id="rId23" w:history="1">
                <w:r>
                  <w:rPr>
                    <w:rStyle w:val="Hyperlink"/>
                  </w:rPr>
                  <w:t>itional guidance on specific issues, pr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ocesses and tools for data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responsibility in practice. This series is made possible with the generous support of the Directorate-General for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>European Civil Protection and Humanitarian Aid Operations (DG ECHO).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70"/>
        <w:gridCol w:w="4970"/>
      </w:tblGrid>
      <w:tr>
        <w:trPr>
          <w:trHeight w:hRule="exact" w:val="122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24890" cy="68325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0" cy="6832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72" w:after="0"/>
              <w:ind w:left="12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18"/>
              </w:rPr>
              <w:t xml:space="preserve">This document covers humanitarian aid activities implemented with the financial assistance of the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18"/>
              </w:rPr>
              <w:t xml:space="preserve">European Union. The views expressed herein should not be taken, in any way, to reflect the official opinion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18"/>
              </w:rPr>
              <w:t xml:space="preserve">of the European Union, and the European Commission is not responsible for any use that may be made of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18"/>
              </w:rPr>
              <w:t>the information it contains.</w:t>
            </w:r>
          </w:p>
        </w:tc>
      </w:tr>
    </w:tbl>
    <w:p>
      <w:pPr>
        <w:autoSpaceDN w:val="0"/>
        <w:autoSpaceDE w:val="0"/>
        <w:widowControl/>
        <w:spacing w:line="184" w:lineRule="exact" w:before="62" w:after="0"/>
        <w:ind w:left="32" w:right="8208" w:firstLine="0"/>
        <w:jc w:val="left"/>
      </w:pPr>
      <w:r>
        <w:rPr>
          <w:w w:val="102.00000127156576"/>
          <w:rFonts w:ascii="SourceSansPro" w:hAnsi="SourceSansPro" w:eastAsia="SourceSansPro"/>
          <w:b w:val="0"/>
          <w:i w:val="0"/>
          <w:color w:val="5D5D5D"/>
          <w:sz w:val="15"/>
        </w:rPr>
        <w:t xml:space="preserve">This project is co-funded </w:t>
      </w:r>
      <w:r>
        <w:br/>
      </w:r>
      <w:r>
        <w:rPr>
          <w:w w:val="102.00000127156576"/>
          <w:rFonts w:ascii="SourceSansPro" w:hAnsi="SourceSansPro" w:eastAsia="SourceSansPro"/>
          <w:b w:val="0"/>
          <w:i w:val="0"/>
          <w:color w:val="5D5D5D"/>
          <w:sz w:val="15"/>
        </w:rPr>
        <w:t>by the European Union</w:t>
      </w:r>
    </w:p>
    <w:p>
      <w:pPr>
        <w:autoSpaceDN w:val="0"/>
        <w:autoSpaceDE w:val="0"/>
        <w:widowControl/>
        <w:spacing w:line="235" w:lineRule="auto" w:before="188" w:after="0"/>
        <w:ind w:left="24" w:right="0" w:firstLine="0"/>
        <w:jc w:val="left"/>
      </w:pPr>
      <w:r>
        <w:rPr>
          <w:rFonts w:ascii="Stag" w:hAnsi="Stag" w:eastAsia="Stag"/>
          <w:b w:val="0"/>
          <w:i w:val="0"/>
          <w:color w:val="4AAF85"/>
          <w:sz w:val="9"/>
        </w:rPr>
        <w:t xml:space="preserve">8    </w:t>
      </w:r>
      <w:r>
        <w:rPr>
          <w:rFonts w:ascii="Stag" w:hAnsi="Stag" w:eastAsia="Stag"/>
          <w:b w:val="0"/>
          <w:i w:val="0"/>
          <w:color w:val="4EAF85"/>
          <w:sz w:val="15"/>
        </w:rPr>
        <w:t xml:space="preserve">Learn more about the Centre’s approach to SDC here: </w:t>
      </w:r>
      <w:r>
        <w:rPr>
          <w:rFonts w:ascii="Stag" w:hAnsi="Stag" w:eastAsia="Stag"/>
          <w:b/>
          <w:i w:val="0"/>
          <w:color w:val="1BB580"/>
          <w:sz w:val="15"/>
        </w:rPr>
        <w:hyperlink r:id="rId25" w:history="1">
          <w:r>
            <w:rPr>
              <w:rStyle w:val="Hyperlink"/>
            </w:rPr>
            <w:t>https://humanitarian.atlassian.net/wiki/spaces/HDXKB/pages/1381498881/</w:t>
          </w:r>
        </w:hyperlink>
      </w:r>
      <w:r>
        <w:rPr>
          <w:rFonts w:ascii="Stag" w:hAnsi="Stag" w:eastAsia="Stag"/>
          <w:b w:val="0"/>
          <w:i w:val="0"/>
          <w:color w:val="4EAF85"/>
          <w:sz w:val="15"/>
        </w:rPr>
        <w:t>.</w:t>
      </w:r>
    </w:p>
    <w:sectPr w:rsidR="00FC693F" w:rsidRPr="0006063C" w:rsidSect="00034616">
      <w:pgSz w:w="11906" w:h="16838"/>
      <w:pgMar w:top="358" w:right="912" w:bottom="552" w:left="105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sdcpractice.readthedocs.io/en/latest/index.html" TargetMode="External"/><Relationship Id="rId12" Type="http://schemas.openxmlformats.org/officeDocument/2006/relationships/hyperlink" Target="https://centre.humdata.org/learning-path/disclosure-risk-assessment-overview/" TargetMode="External"/><Relationship Id="rId13" Type="http://schemas.openxmlformats.org/officeDocument/2006/relationships/hyperlink" Target="https://data2.unhcr.org/en/documents/details/44570" TargetMode="External"/><Relationship Id="rId14" Type="http://schemas.openxmlformats.org/officeDocument/2006/relationships/hyperlink" Target="https://data.humdata.org/about/hdx-qa-process" TargetMode="External"/><Relationship Id="rId15" Type="http://schemas.openxmlformats.org/officeDocument/2006/relationships/hyperlink" Target="https://microdata.unhcr.org/index.php/home" TargetMode="External"/><Relationship Id="rId16" Type="http://schemas.openxmlformats.org/officeDocument/2006/relationships/hyperlink" Target="https://www.reach-initiative.org/" TargetMode="External"/><Relationship Id="rId17" Type="http://schemas.openxmlformats.org/officeDocument/2006/relationships/hyperlink" Target="http://www.ihsn.org/software/disclosure-control-toolbox" TargetMode="External"/><Relationship Id="rId18" Type="http://schemas.openxmlformats.org/officeDocument/2006/relationships/hyperlink" Target="http://neon.vb.cbs.nl/casc/mu.htm" TargetMode="External"/><Relationship Id="rId19" Type="http://schemas.openxmlformats.org/officeDocument/2006/relationships/hyperlink" Target="https://arx.deidentifier.org/" TargetMode="External"/><Relationship Id="rId20" Type="http://schemas.openxmlformats.org/officeDocument/2006/relationships/hyperlink" Target="mailto:centrehumdata%40un.org?subject=" TargetMode="External"/><Relationship Id="rId21" Type="http://schemas.openxmlformats.org/officeDocument/2006/relationships/hyperlink" Target="https://www.unhcr.org/" TargetMode="External"/><Relationship Id="rId22" Type="http://schemas.openxmlformats.org/officeDocument/2006/relationships/hyperlink" Target="https://centre.humdata.org/" TargetMode="External"/><Relationship Id="rId23" Type="http://schemas.openxmlformats.org/officeDocument/2006/relationships/hyperlink" Target="https://data.humdata.org/dataset/2048a947-5714-4220-905b-e662cbcd14c8/resource/60050608-0095-4c11-86cd-0a1fc5c29fd9/download/ocha-data-responsibility-guidelines_2021.pdf?_gl=1*19dl40c*_ga*MTc3NDAxOTY2Ni4xNjU1MTU5OTM4*_ga_E60ZNX2F68*MTY2ODQzOTY1MC4zNy4xLjE2Njg0Mzk2NjEuNDkuMC4w" TargetMode="External"/><Relationship Id="rId24" Type="http://schemas.openxmlformats.org/officeDocument/2006/relationships/image" Target="media/image3.png"/><Relationship Id="rId25" Type="http://schemas.openxmlformats.org/officeDocument/2006/relationships/hyperlink" Target="https://humanitarian.atlassian.net/wiki/spaces/HDXKB/pages/13814988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