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4236.0" w:type="dxa"/>
      </w:tblPr>
      <w:tblGrid>
        <w:gridCol w:w="5561"/>
        <w:gridCol w:w="5561"/>
      </w:tblGrid>
      <w:tr>
        <w:trPr>
          <w:trHeight w:hRule="exact" w:val="340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58" w:val="left"/>
        </w:tabs>
        <w:autoSpaceDE w:val="0"/>
        <w:widowControl/>
        <w:spacing w:line="338" w:lineRule="auto" w:before="422" w:after="406"/>
        <w:ind w:left="26" w:right="720" w:firstLine="0"/>
        <w:jc w:val="left"/>
      </w:pPr>
      <w:r>
        <w:rPr>
          <w:rFonts w:ascii="BrandonGrotesque" w:hAnsi="BrandonGrotesque" w:eastAsia="BrandonGrotesque"/>
          <w:b/>
          <w:i w:val="0"/>
          <w:color w:val="1BB580"/>
          <w:sz w:val="25"/>
        </w:rPr>
        <w:hyperlink r:id="rId11" w:history="1">
          <w:r>
            <w:rPr>
              <w:rStyle w:val="Hyperlink"/>
            </w:rPr>
            <w:t xml:space="preserve">THE CENTRE FOR HUMANITARIAN DATA </w:t>
          </w:r>
        </w:hyperlink>
      </w:r>
      <w:r>
        <w:br/>
      </w:r>
      <w:r>
        <w:rPr>
          <w:rFonts w:ascii="BrandonGrotesque" w:hAnsi="BrandonGrotesque" w:eastAsia="BrandonGrotesque"/>
          <w:b/>
          <w:i w:val="0"/>
          <w:color w:val="1AB57F"/>
          <w:sz w:val="39"/>
        </w:rPr>
        <w:t>PREDICTIVE ANALYTICS IN HUMANITARIAN RESPONSE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79500" cy="12573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257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6705600</wp:posOffset>
            </wp:positionH>
            <wp:positionV relativeFrom="page">
              <wp:posOffset>0</wp:posOffset>
            </wp:positionV>
            <wp:extent cx="863600" cy="2149404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21494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3935729</wp:posOffset>
            </wp:positionH>
            <wp:positionV relativeFrom="page">
              <wp:posOffset>476250</wp:posOffset>
            </wp:positionV>
            <wp:extent cx="1004570" cy="243532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24353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3924300</wp:posOffset>
            </wp:positionH>
            <wp:positionV relativeFrom="page">
              <wp:posOffset>469900</wp:posOffset>
            </wp:positionV>
            <wp:extent cx="2260600" cy="3556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355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707"/>
        <w:gridCol w:w="3707"/>
        <w:gridCol w:w="3707"/>
      </w:tblGrid>
      <w:tr>
        <w:trPr>
          <w:trHeight w:hRule="exact" w:val="326"/>
        </w:trPr>
        <w:tc>
          <w:tcPr>
            <w:tcW w:type="dxa" w:w="5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8" w:after="0"/>
              <w:ind w:left="5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The goal of the OCHA Centre for Humanitarian </w:t>
            </w:r>
          </w:p>
        </w:tc>
        <w:tc>
          <w:tcPr>
            <w:tcW w:type="dxa" w:w="2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9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8" w:after="0"/>
              <w:ind w:left="8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• Act as a technical translator, ensuring </w:t>
            </w:r>
          </w:p>
        </w:tc>
      </w:tr>
      <w:tr>
        <w:trPr>
          <w:trHeight w:hRule="exact" w:val="269"/>
        </w:trPr>
        <w:tc>
          <w:tcPr>
            <w:tcW w:type="dxa" w:w="5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5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Data is to increase the use and impact of data in </w:t>
            </w:r>
          </w:p>
        </w:tc>
        <w:tc>
          <w:tcPr>
            <w:tcW w:type="dxa" w:w="3707"/>
            <w:vMerge/>
            <w:tcBorders/>
          </w:tcPr>
          <w:p/>
        </w:tc>
        <w:tc>
          <w:tcPr>
            <w:tcW w:type="dxa" w:w="49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36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effective communication between modelers </w:t>
            </w:r>
          </w:p>
        </w:tc>
      </w:tr>
      <w:tr>
        <w:trPr>
          <w:trHeight w:hRule="exact" w:val="266"/>
        </w:trPr>
        <w:tc>
          <w:tcPr>
            <w:tcW w:type="dxa" w:w="5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5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humanitarian response. Created in 2017 and based </w:t>
            </w:r>
          </w:p>
        </w:tc>
        <w:tc>
          <w:tcPr>
            <w:tcW w:type="dxa" w:w="3707"/>
            <w:vMerge/>
            <w:tcBorders/>
          </w:tcPr>
          <w:p/>
        </w:tc>
        <w:tc>
          <w:tcPr>
            <w:tcW w:type="dxa" w:w="49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36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and forecast producers, and humanitarian/</w:t>
            </w:r>
          </w:p>
        </w:tc>
      </w:tr>
      <w:tr>
        <w:trPr>
          <w:trHeight w:hRule="exact" w:val="257"/>
        </w:trPr>
        <w:tc>
          <w:tcPr>
            <w:tcW w:type="dxa" w:w="5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5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in The Hague, the Centre includes four workstreams: </w:t>
            </w:r>
          </w:p>
        </w:tc>
        <w:tc>
          <w:tcPr>
            <w:tcW w:type="dxa" w:w="3707"/>
            <w:vMerge/>
            <w:tcBorders/>
          </w:tcPr>
          <w:p/>
        </w:tc>
        <w:tc>
          <w:tcPr>
            <w:tcW w:type="dxa" w:w="49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36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development decision makers.</w:t>
            </w:r>
          </w:p>
        </w:tc>
      </w:tr>
      <w:tr>
        <w:trPr>
          <w:trHeight w:hRule="exact" w:val="260"/>
        </w:trPr>
        <w:tc>
          <w:tcPr>
            <w:tcW w:type="dxa" w:w="5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5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data services, including management of the </w:t>
            </w:r>
          </w:p>
        </w:tc>
        <w:tc>
          <w:tcPr>
            <w:tcW w:type="dxa" w:w="3707"/>
            <w:vMerge/>
            <w:tcBorders/>
          </w:tcPr>
          <w:p/>
        </w:tc>
        <w:tc>
          <w:tcPr>
            <w:tcW w:type="dxa" w:w="3707"/>
            <w:vMerge/>
            <w:tcBorders/>
          </w:tcPr>
          <w:p/>
        </w:tc>
      </w:tr>
      <w:tr>
        <w:trPr>
          <w:trHeight w:hRule="exact" w:val="283"/>
        </w:trPr>
        <w:tc>
          <w:tcPr>
            <w:tcW w:type="dxa" w:w="5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5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Humanitarian Data Exchange (HDX) platform, data </w:t>
            </w:r>
          </w:p>
        </w:tc>
        <w:tc>
          <w:tcPr>
            <w:tcW w:type="dxa" w:w="284"/>
            <w:tcBorders/>
            <w:shd w:fill="1ab57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22"/>
              </w:rPr>
              <w:t>2</w:t>
            </w:r>
          </w:p>
        </w:tc>
        <w:tc>
          <w:tcPr>
            <w:tcW w:type="dxa" w:w="49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8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Promote the </w:t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 xml:space="preserve">responsible use of predictive </w:t>
            </w:r>
          </w:p>
        </w:tc>
      </w:tr>
      <w:tr>
        <w:trPr>
          <w:trHeight w:hRule="exact" w:val="249"/>
        </w:trPr>
        <w:tc>
          <w:tcPr>
            <w:tcW w:type="dxa" w:w="5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5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responsibility, data literacy, and predictive analytics. </w:t>
            </w:r>
          </w:p>
        </w:tc>
        <w:tc>
          <w:tcPr>
            <w:tcW w:type="dxa" w:w="28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9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86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>analytics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 in the sector.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42"/>
        <w:ind w:left="0" w:right="0"/>
      </w:pPr>
    </w:p>
    <w:p>
      <w:pPr>
        <w:sectPr>
          <w:pgSz w:w="11906" w:h="16838"/>
          <w:pgMar w:top="0" w:right="0" w:bottom="220" w:left="7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exact" w:before="14" w:after="0"/>
        <w:ind w:left="66" w:right="72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Predictive analytics involves the analysis of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current and historical data to anticipate an event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or some characteristic of an event (its likelihood,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severity, magnitude, or duration). In the context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of humanitarian response, predictive analytics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includes several modelling methodologies aimed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at anticipating humanitarian needs arising from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different shocks, including:</w:t>
      </w:r>
    </w:p>
    <w:p>
      <w:pPr>
        <w:autoSpaceDN w:val="0"/>
        <w:autoSpaceDE w:val="0"/>
        <w:widowControl/>
        <w:spacing w:line="264" w:lineRule="exact" w:before="264" w:after="0"/>
        <w:ind w:left="378" w:right="288" w:hanging="284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Weather and climate models predicting the </w:t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occurrence and impacts of sudden and slow onset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hazards such as droughts, floods, storms;</w:t>
      </w:r>
    </w:p>
    <w:p>
      <w:pPr>
        <w:sectPr>
          <w:type w:val="continuous"/>
          <w:pgSz w:w="11906" w:h="16838"/>
          <w:pgMar w:top="0" w:right="0" w:bottom="220" w:left="784" w:header="720" w:footer="720" w:gutter="0"/>
          <w:cols w:num="2" w:equalWidth="0">
            <w:col w:w="5348" w:space="0"/>
            <w:col w:w="5773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0" w:after="0"/>
        <w:ind w:left="642" w:right="720" w:hanging="282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 xml:space="preserve">Facilitate the Centre’s </w:t>
          </w:r>
        </w:hyperlink>
      </w:r>
      <w:r>
        <w:rPr>
          <w:rFonts w:ascii="SourceSansPro" w:hAnsi="SourceSansPro" w:eastAsia="SourceSansPro"/>
          <w:b/>
          <w:i w:val="0"/>
          <w:color w:val="1BB580"/>
          <w:sz w:val="22"/>
        </w:rPr>
        <w:hyperlink r:id="rId12" w:history="1">
          <w:r>
            <w:rPr>
              <w:rStyle w:val="Hyperlink"/>
            </w:rPr>
            <w:t>Peer Review Frame</w:t>
          </w:r>
        </w:hyperlink>
      </w:r>
      <w:r>
        <w:rPr>
          <w:rFonts w:ascii="SourceSansPro" w:hAnsi="SourceSansPro" w:eastAsia="SourceSansPro"/>
          <w:b/>
          <w:i w:val="0"/>
          <w:color w:val="1BB580"/>
          <w:sz w:val="22"/>
        </w:rPr>
        <w:hyperlink r:id="rId12" w:history="1">
          <w:r>
            <w:rPr>
              <w:rStyle w:val="Hyperlink"/>
            </w:rPr>
            <w:t xml:space="preserve">work </w:t>
          </w:r>
        </w:hyperlink>
      </w:r>
      <w:r>
        <w:rPr>
          <w:rFonts w:ascii="SourceSansPro" w:hAnsi="SourceSansPro" w:eastAsia="SourceSansPro"/>
          <w:b/>
          <w:i w:val="0"/>
          <w:color w:val="1BB580"/>
          <w:sz w:val="22"/>
        </w:rPr>
        <w:hyperlink r:id="rId12" w:history="1">
          <w:r>
            <w:rPr>
              <w:rStyle w:val="Hyperlink"/>
            </w:rPr>
            <w:t>for Predic</w:t>
          </w:r>
        </w:hyperlink>
      </w:r>
      <w:r>
        <w:rPr>
          <w:rFonts w:ascii="SourceSansPro" w:hAnsi="SourceSansPro" w:eastAsia="SourceSansPro"/>
          <w:b/>
          <w:i w:val="0"/>
          <w:color w:val="1BB580"/>
          <w:sz w:val="22"/>
        </w:rPr>
        <w:hyperlink r:id="rId12" w:history="1">
          <w:r>
            <w:rPr>
              <w:rStyle w:val="Hyperlink"/>
            </w:rPr>
            <w:t>tive Analyti</w:t>
          </w:r>
        </w:hyperlink>
      </w:r>
      <w:r>
        <w:rPr>
          <w:rFonts w:ascii="SourceSansPro" w:hAnsi="SourceSansPro" w:eastAsia="SourceSansPro"/>
          <w:b/>
          <w:i w:val="0"/>
          <w:color w:val="1BB580"/>
          <w:sz w:val="22"/>
        </w:rPr>
        <w:hyperlink r:id="rId12" w:history="1">
          <w:r>
            <w:rPr>
              <w:rStyle w:val="Hyperlink"/>
            </w:rPr>
            <w:t xml:space="preserve">cs in Humanitarian </w:t>
          </w:r>
        </w:hyperlink>
      </w:r>
      <w:r>
        <w:br/>
      </w:r>
      <w:r>
        <w:rPr>
          <w:rFonts w:ascii="SourceSansPro" w:hAnsi="SourceSansPro" w:eastAsia="SourceSansPro"/>
          <w:b/>
          <w:i w:val="0"/>
          <w:color w:val="1BB580"/>
          <w:sz w:val="22"/>
        </w:rPr>
        <w:hyperlink r:id="rId12" w:history="1">
          <w:r>
            <w:rPr>
              <w:rStyle w:val="Hyperlink"/>
            </w:rPr>
            <w:t>Response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 xml:space="preserve">, which evaluates technical and </w:t>
          </w:r>
        </w:hyperlink>
      </w:r>
      <w:r>
        <w:br/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ethical co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ncerns of models; manage a Reviewer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Pool of technical and ethical experts.</w:t>
      </w:r>
    </w:p>
    <w:p>
      <w:pPr>
        <w:autoSpaceDN w:val="0"/>
        <w:autoSpaceDE w:val="0"/>
        <w:widowControl/>
        <w:spacing w:line="264" w:lineRule="exact" w:before="264" w:after="0"/>
        <w:ind w:left="642" w:right="864" w:hanging="282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Promote data responsibility with how data is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shared and used for model development and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the application of predictive analytics.</w:t>
      </w:r>
    </w:p>
    <w:p>
      <w:pPr>
        <w:autoSpaceDN w:val="0"/>
        <w:tabs>
          <w:tab w:pos="642" w:val="left"/>
        </w:tabs>
        <w:autoSpaceDE w:val="0"/>
        <w:widowControl/>
        <w:spacing w:line="264" w:lineRule="exact" w:before="264" w:after="242"/>
        <w:ind w:left="360" w:right="864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Support decision makers with understanding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uncertainty in projections.</w:t>
      </w:r>
    </w:p>
    <w:p>
      <w:pPr>
        <w:sectPr>
          <w:type w:val="nextColumn"/>
          <w:pgSz w:w="11906" w:h="16838"/>
          <w:pgMar w:top="0" w:right="0" w:bottom="220" w:left="784" w:header="720" w:footer="720" w:gutter="0"/>
          <w:cols w:num="2" w:equalWidth="0">
            <w:col w:w="5348" w:space="0"/>
            <w:col w:w="577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707"/>
        <w:gridCol w:w="3707"/>
        <w:gridCol w:w="3707"/>
      </w:tblGrid>
      <w:tr>
        <w:trPr>
          <w:trHeight w:hRule="exact" w:val="284"/>
        </w:trPr>
        <w:tc>
          <w:tcPr>
            <w:tcW w:type="dxa" w:w="5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5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• Epidemic models used to better understand the </w:t>
            </w:r>
          </w:p>
        </w:tc>
        <w:tc>
          <w:tcPr>
            <w:tcW w:type="dxa" w:w="284"/>
            <w:tcBorders/>
            <w:shd w:fill="1ab57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22"/>
              </w:rPr>
              <w:t>3</w:t>
            </w:r>
          </w:p>
        </w:tc>
        <w:tc>
          <w:tcPr>
            <w:tcW w:type="dxa" w:w="5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86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>Build capacity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 in the humanitarian sector.</w:t>
            </w:r>
          </w:p>
        </w:tc>
      </w:tr>
      <w:tr>
        <w:trPr>
          <w:trHeight w:hRule="exact" w:val="243"/>
        </w:trPr>
        <w:tc>
          <w:tcPr>
            <w:tcW w:type="dxa" w:w="5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main risk factors leading to major outbreaks or to </w:t>
            </w:r>
          </w:p>
        </w:tc>
        <w:tc>
          <w:tcPr>
            <w:tcW w:type="dxa" w:w="2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1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6" w:after="0"/>
              <w:ind w:left="8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• Provide documentation (blogs, impact stories, </w:t>
            </w:r>
          </w:p>
        </w:tc>
      </w:tr>
      <w:tr>
        <w:trPr>
          <w:trHeight w:hRule="exact" w:val="260"/>
        </w:trPr>
        <w:tc>
          <w:tcPr>
            <w:tcW w:type="dxa" w:w="5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34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project epidemic trends;</w:t>
            </w:r>
          </w:p>
        </w:tc>
        <w:tc>
          <w:tcPr>
            <w:tcW w:type="dxa" w:w="3707"/>
            <w:vMerge/>
            <w:tcBorders/>
          </w:tcPr>
          <w:p/>
        </w:tc>
        <w:tc>
          <w:tcPr>
            <w:tcW w:type="dxa" w:w="370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53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50" w:after="0"/>
              <w:ind w:left="5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• Analysis aimed at projecting the evolution </w:t>
            </w:r>
          </w:p>
        </w:tc>
        <w:tc>
          <w:tcPr>
            <w:tcW w:type="dxa" w:w="3707"/>
            <w:vMerge/>
            <w:tcBorders/>
          </w:tcPr>
          <w:p/>
        </w:tc>
        <w:tc>
          <w:tcPr>
            <w:tcW w:type="dxa" w:w="5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36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technical notes), tools and processes to </w:t>
            </w:r>
          </w:p>
        </w:tc>
      </w:tr>
      <w:tr>
        <w:trPr>
          <w:trHeight w:hRule="exact" w:val="258"/>
        </w:trPr>
        <w:tc>
          <w:tcPr>
            <w:tcW w:type="dxa" w:w="3707"/>
            <w:vMerge/>
            <w:tcBorders/>
          </w:tcPr>
          <w:p/>
        </w:tc>
        <w:tc>
          <w:tcPr>
            <w:tcW w:type="dxa" w:w="3707"/>
            <w:vMerge/>
            <w:tcBorders/>
          </w:tcPr>
          <w:p/>
        </w:tc>
        <w:tc>
          <w:tcPr>
            <w:tcW w:type="dxa" w:w="5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36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facilitate the successful adoption of predictive </w:t>
            </w:r>
          </w:p>
        </w:tc>
      </w:tr>
      <w:tr>
        <w:trPr>
          <w:trHeight w:hRule="exact" w:val="270"/>
        </w:trPr>
        <w:tc>
          <w:tcPr>
            <w:tcW w:type="dxa" w:w="5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34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of humanitarian crises based on current and </w:t>
            </w:r>
          </w:p>
        </w:tc>
        <w:tc>
          <w:tcPr>
            <w:tcW w:type="dxa" w:w="3707"/>
            <w:vMerge/>
            <w:tcBorders/>
          </w:tcPr>
          <w:p/>
        </w:tc>
        <w:tc>
          <w:tcPr>
            <w:tcW w:type="dxa" w:w="51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36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analytics.</w:t>
            </w:r>
          </w:p>
        </w:tc>
      </w:tr>
      <w:tr>
        <w:trPr>
          <w:trHeight w:hRule="exact" w:val="134"/>
        </w:trPr>
        <w:tc>
          <w:tcPr>
            <w:tcW w:type="dxa" w:w="53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34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historical data; </w:t>
            </w:r>
          </w:p>
        </w:tc>
        <w:tc>
          <w:tcPr>
            <w:tcW w:type="dxa" w:w="3707"/>
            <w:vMerge/>
            <w:tcBorders/>
          </w:tcPr>
          <w:p/>
        </w:tc>
        <w:tc>
          <w:tcPr>
            <w:tcW w:type="dxa" w:w="37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3707"/>
            <w:vMerge/>
            <w:tcBorders/>
          </w:tcPr>
          <w:p/>
        </w:tc>
        <w:tc>
          <w:tcPr>
            <w:tcW w:type="dxa" w:w="3707"/>
            <w:vMerge/>
            <w:tcBorders/>
          </w:tcPr>
          <w:p/>
        </w:tc>
        <w:tc>
          <w:tcPr>
            <w:tcW w:type="dxa" w:w="5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4" w:after="0"/>
              <w:ind w:left="8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• Create a community of technical actors to share </w:t>
            </w:r>
          </w:p>
        </w:tc>
      </w:tr>
      <w:tr>
        <w:trPr>
          <w:trHeight w:hRule="exact" w:val="266"/>
        </w:trPr>
        <w:tc>
          <w:tcPr>
            <w:tcW w:type="dxa" w:w="5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5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• Other methods that assess the risk and the socio-</w:t>
            </w:r>
          </w:p>
        </w:tc>
        <w:tc>
          <w:tcPr>
            <w:tcW w:type="dxa" w:w="3707"/>
            <w:vMerge/>
            <w:tcBorders/>
          </w:tcPr>
          <w:p/>
        </w:tc>
        <w:tc>
          <w:tcPr>
            <w:tcW w:type="dxa" w:w="5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best practices and learnings on the application </w:t>
            </w:r>
          </w:p>
        </w:tc>
      </w:tr>
      <w:tr>
        <w:trPr>
          <w:trHeight w:hRule="exact" w:val="262"/>
        </w:trPr>
        <w:tc>
          <w:tcPr>
            <w:tcW w:type="dxa" w:w="5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34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economic impacts of disasters or other shocks.</w:t>
            </w:r>
          </w:p>
        </w:tc>
        <w:tc>
          <w:tcPr>
            <w:tcW w:type="dxa" w:w="3707"/>
            <w:vMerge/>
            <w:tcBorders/>
          </w:tcPr>
          <w:p/>
        </w:tc>
        <w:tc>
          <w:tcPr>
            <w:tcW w:type="dxa" w:w="5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" w:after="0"/>
              <w:ind w:left="36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of predictive analytics in the sector.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48"/>
        <w:ind w:left="0" w:right="0"/>
      </w:pPr>
    </w:p>
    <w:p>
      <w:pPr>
        <w:sectPr>
          <w:type w:val="continuous"/>
          <w:pgSz w:w="11906" w:h="16838"/>
          <w:pgMar w:top="0" w:right="0" w:bottom="220" w:left="7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exact" w:before="14" w:after="0"/>
        <w:ind w:left="66" w:right="288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The Centre’s predictive analytics team is focused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on increasing the trust and adoption of models to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support improved decision making by humanitarian </w:t>
      </w:r>
    </w:p>
    <w:p>
      <w:pPr>
        <w:autoSpaceDN w:val="0"/>
        <w:autoSpaceDE w:val="0"/>
        <w:widowControl/>
        <w:spacing w:line="278" w:lineRule="exact" w:before="10" w:after="0"/>
        <w:ind w:left="66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actors. We do this through the following activities:</w:t>
      </w:r>
    </w:p>
    <w:p>
      <w:pPr>
        <w:sectPr>
          <w:type w:val="continuous"/>
          <w:pgSz w:w="11906" w:h="16838"/>
          <w:pgMar w:top="0" w:right="0" w:bottom="220" w:left="784" w:header="720" w:footer="720" w:gutter="0"/>
          <w:cols w:num="2" w:equalWidth="0">
            <w:col w:w="5290" w:space="0"/>
            <w:col w:w="5831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14" w:after="708"/>
        <w:ind w:left="288" w:right="864" w:firstLine="0"/>
        <w:jc w:val="center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Offer model deep dives, training modules and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events on predictive analytics in the sector.</w:t>
      </w:r>
    </w:p>
    <w:p>
      <w:pPr>
        <w:sectPr>
          <w:type w:val="nextColumn"/>
          <w:pgSz w:w="11906" w:h="16838"/>
          <w:pgMar w:top="0" w:right="0" w:bottom="220" w:left="784" w:header="720" w:footer="720" w:gutter="0"/>
          <w:cols w:num="2" w:equalWidth="0">
            <w:col w:w="5290" w:space="0"/>
            <w:col w:w="583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7"/>
        <w:gridCol w:w="3707"/>
        <w:gridCol w:w="3707"/>
      </w:tblGrid>
      <w:tr>
        <w:trPr>
          <w:trHeight w:hRule="exact" w:val="362"/>
        </w:trPr>
        <w:tc>
          <w:tcPr>
            <w:tcW w:type="dxa" w:w="2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84"/>
            </w:tblGrid>
            <w:tr>
              <w:trPr>
                <w:trHeight w:hRule="exact" w:val="262"/>
              </w:trPr>
              <w:tc>
                <w:tcPr>
                  <w:tcW w:type="dxa" w:w="284"/>
                  <w:tcBorders/>
                  <w:shd w:fill="1ab57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SourceSansPro" w:hAnsi="SourceSansPro" w:eastAsia="SourceSansPro"/>
                      <w:b/>
                      <w:i w:val="0"/>
                      <w:color w:val="FFFFFF"/>
                      <w:sz w:val="22"/>
                    </w:rPr>
                    <w:t>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70" w:after="0"/>
              <w:ind w:left="9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Provide </w:t>
            </w:r>
            <w:r>
              <w:rPr>
                <w:rFonts w:ascii="SourceSansPro" w:hAnsi="SourceSansPro" w:eastAsia="SourceSansPro"/>
                <w:b/>
                <w:i w:val="0"/>
                <w:color w:val="000000"/>
                <w:sz w:val="22"/>
              </w:rPr>
              <w:t>technical support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 to humanitarian 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40" w:right="0" w:firstLine="0"/>
              <w:jc w:val="left"/>
            </w:pPr>
            <w:r>
              <w:rPr>
                <w:rFonts w:ascii="OpenSans" w:hAnsi="OpenSans" w:eastAsia="OpenSans"/>
                <w:b/>
                <w:i w:val="0"/>
                <w:color w:val="1AB57F"/>
                <w:sz w:val="25"/>
              </w:rPr>
              <w:t>CONTACT US</w:t>
            </w:r>
          </w:p>
        </w:tc>
      </w:tr>
      <w:tr>
        <w:trPr>
          <w:trHeight w:hRule="exact" w:val="396"/>
        </w:trPr>
        <w:tc>
          <w:tcPr>
            <w:tcW w:type="dxa" w:w="2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7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9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partners.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8" w:after="0"/>
              <w:ind w:left="34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Let us know how we can support your work on </w:t>
            </w:r>
          </w:p>
        </w:tc>
      </w:tr>
      <w:tr>
        <w:trPr>
          <w:trHeight w:hRule="exact" w:val="260"/>
        </w:trPr>
        <w:tc>
          <w:tcPr>
            <w:tcW w:type="dxa" w:w="3707"/>
            <w:vMerge/>
            <w:tcBorders/>
          </w:tcPr>
          <w:p/>
        </w:tc>
        <w:tc>
          <w:tcPr>
            <w:tcW w:type="dxa" w:w="47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8" w:after="0"/>
              <w:ind w:left="9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• Conduct historical analysis, assess available 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34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predictiv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hyperlink r:id="rId13" w:history="1">
                <w:r>
                  <w:rPr>
                    <w:rStyle w:val="Hyperlink"/>
                  </w:rPr>
                  <w:t>e analytics. Send questio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ns or requests by </w:t>
            </w:r>
          </w:p>
        </w:tc>
      </w:tr>
      <w:tr>
        <w:trPr>
          <w:trHeight w:hRule="exact" w:val="136"/>
        </w:trPr>
        <w:tc>
          <w:tcPr>
            <w:tcW w:type="dxa" w:w="3707"/>
            <w:vMerge/>
            <w:tcBorders/>
          </w:tcPr>
          <w:p/>
        </w:tc>
        <w:tc>
          <w:tcPr>
            <w:tcW w:type="dxa" w:w="3707"/>
            <w:vMerge/>
            <w:tcBorders/>
          </w:tcPr>
          <w:p/>
        </w:tc>
        <w:tc>
          <w:tcPr>
            <w:tcW w:type="dxa" w:w="5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email to </w:t>
            </w:r>
            <w:r>
              <w:rPr>
                <w:rFonts w:ascii="SourceSansPro" w:hAnsi="SourceSansPro" w:eastAsia="SourceSansPro"/>
                <w:b/>
                <w:i w:val="0"/>
                <w:color w:val="1BB580"/>
                <w:sz w:val="22"/>
              </w:rPr>
              <w:hyperlink r:id="rId13" w:history="1">
                <w:r>
                  <w:rPr>
                    <w:rStyle w:val="Hyperlink"/>
                  </w:rPr>
                  <w:t>centrehu</w:t>
                </w:r>
              </w:hyperlink>
            </w:r>
            <w:r>
              <w:rPr>
                <w:rFonts w:ascii="SourceSansPro" w:hAnsi="SourceSansPro" w:eastAsia="SourceSansPro"/>
                <w:b/>
                <w:i w:val="0"/>
                <w:color w:val="1BB580"/>
                <w:sz w:val="22"/>
              </w:rPr>
              <w:hyperlink r:id="rId13" w:history="1">
                <w:r>
                  <w:rPr>
                    <w:rStyle w:val="Hyperlink"/>
                  </w:rPr>
                  <w:t>mdata@un.org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hyperlink r:id="rId14" w:history="1">
                <w:r>
                  <w:rPr>
                    <w:rStyle w:val="Hyperlink"/>
                  </w:rPr>
                  <w:t>. Submit your m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odel </w:t>
            </w:r>
          </w:p>
        </w:tc>
      </w:tr>
      <w:tr>
        <w:trPr>
          <w:trHeight w:hRule="exact" w:val="136"/>
        </w:trPr>
        <w:tc>
          <w:tcPr>
            <w:tcW w:type="dxa" w:w="3707"/>
            <w:vMerge/>
            <w:tcBorders/>
          </w:tcPr>
          <w:p/>
        </w:tc>
        <w:tc>
          <w:tcPr>
            <w:tcW w:type="dxa" w:w="47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37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models and forecasts, and design trigger </w:t>
            </w:r>
          </w:p>
        </w:tc>
        <w:tc>
          <w:tcPr>
            <w:tcW w:type="dxa" w:w="3707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707"/>
            <w:vMerge/>
            <w:tcBorders/>
          </w:tcPr>
          <w:p/>
        </w:tc>
        <w:tc>
          <w:tcPr>
            <w:tcW w:type="dxa" w:w="3707"/>
            <w:vMerge/>
            <w:tcBorders/>
          </w:tcPr>
          <w:p/>
        </w:tc>
        <w:tc>
          <w:tcPr>
            <w:tcW w:type="dxa" w:w="5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34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for peer </w:t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review at </w:t>
                </w:r>
              </w:hyperlink>
            </w:r>
            <w:r>
              <w:rPr>
                <w:rFonts w:ascii="SourceSansPro" w:hAnsi="SourceSansPro" w:eastAsia="SourceSansPro"/>
                <w:b/>
                <w:i w:val="0"/>
                <w:color w:val="1BB580"/>
                <w:sz w:val="22"/>
              </w:rPr>
              <w:hyperlink r:id="rId13" w:history="1">
                <w:r>
                  <w:rPr>
                    <w:rStyle w:val="Hyperlink"/>
                  </w:rPr>
                  <w:t>http://bit.ly/pa</w:t>
                </w:r>
              </w:hyperlink>
            </w:r>
            <w:r>
              <w:rPr>
                <w:rFonts w:ascii="SourceSansPro" w:hAnsi="SourceSansPro" w:eastAsia="SourceSansPro"/>
                <w:b/>
                <w:i w:val="0"/>
                <w:color w:val="1BB580"/>
                <w:sz w:val="22"/>
              </w:rPr>
              <w:hyperlink r:id="rId14" w:history="1">
                <w:r>
                  <w:rPr>
                    <w:rStyle w:val="Hyperlink"/>
                  </w:rPr>
                  <w:t>-model-review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 or </w:t>
            </w:r>
          </w:p>
        </w:tc>
      </w:tr>
      <w:tr>
        <w:trPr>
          <w:trHeight w:hRule="exact" w:val="138"/>
        </w:trPr>
        <w:tc>
          <w:tcPr>
            <w:tcW w:type="dxa" w:w="3707"/>
            <w:vMerge/>
            <w:tcBorders/>
          </w:tcPr>
          <w:p/>
        </w:tc>
        <w:tc>
          <w:tcPr>
            <w:tcW w:type="dxa" w:w="47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37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mechanisms for use in anticipatory action </w:t>
            </w:r>
          </w:p>
        </w:tc>
        <w:tc>
          <w:tcPr>
            <w:tcW w:type="dxa" w:w="37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707"/>
            <w:vMerge/>
            <w:tcBorders/>
          </w:tcPr>
          <w:p/>
        </w:tc>
        <w:tc>
          <w:tcPr>
            <w:tcW w:type="dxa" w:w="3707"/>
            <w:vMerge/>
            <w:tcBorders/>
          </w:tcPr>
          <w:p/>
        </w:tc>
        <w:tc>
          <w:tcPr>
            <w:tcW w:type="dxa" w:w="5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34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hyperlink r:id="rId15" w:history="1">
                <w:r>
                  <w:rPr>
                    <w:rStyle w:val="Hyperlink"/>
                  </w:rPr>
                  <w:t>get directly involv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hyperlink r:id="rId14" w:history="1">
                <w:r>
                  <w:rPr>
                    <w:rStyle w:val="Hyperlink"/>
                  </w:rPr>
                  <w:t>ed by jo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hyperlink r:id="rId14" w:history="1">
                <w:r>
                  <w:rPr>
                    <w:rStyle w:val="Hyperlink"/>
                  </w:rPr>
                  <w:t>ining our Reviewer Poo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l at </w:t>
            </w:r>
          </w:p>
        </w:tc>
      </w:tr>
      <w:tr>
        <w:trPr>
          <w:trHeight w:hRule="exact" w:val="140"/>
        </w:trPr>
        <w:tc>
          <w:tcPr>
            <w:tcW w:type="dxa" w:w="3707"/>
            <w:vMerge/>
            <w:tcBorders/>
          </w:tcPr>
          <w:p/>
        </w:tc>
        <w:tc>
          <w:tcPr>
            <w:tcW w:type="dxa" w:w="47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37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frameworks.</w:t>
            </w:r>
          </w:p>
        </w:tc>
        <w:tc>
          <w:tcPr>
            <w:tcW w:type="dxa" w:w="37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707"/>
            <w:vMerge/>
            <w:tcBorders/>
          </w:tcPr>
          <w:p/>
        </w:tc>
        <w:tc>
          <w:tcPr>
            <w:tcW w:type="dxa" w:w="3707"/>
            <w:vMerge/>
            <w:tcBorders/>
          </w:tcPr>
          <w:p/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346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BB580"/>
                <w:sz w:val="22"/>
              </w:rPr>
              <w:hyperlink r:id="rId15" w:history="1">
                <w:r>
                  <w:rPr>
                    <w:rStyle w:val="Hyperlink"/>
                  </w:rPr>
                  <w:t>http://bit.ly/pa-reviewer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. </w:t>
            </w:r>
          </w:p>
        </w:tc>
      </w:tr>
      <w:tr>
        <w:trPr>
          <w:trHeight w:hRule="exact" w:val="268"/>
        </w:trPr>
        <w:tc>
          <w:tcPr>
            <w:tcW w:type="dxa" w:w="3707"/>
            <w:vMerge/>
            <w:tcBorders/>
          </w:tcPr>
          <w:p/>
        </w:tc>
        <w:tc>
          <w:tcPr>
            <w:tcW w:type="dxa" w:w="47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9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• Define potential use cases for predictive </w:t>
            </w:r>
          </w:p>
        </w:tc>
        <w:tc>
          <w:tcPr>
            <w:tcW w:type="dxa" w:w="5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2" w:after="0"/>
              <w:ind w:left="34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For more information, visit our page on the </w:t>
            </w:r>
          </w:p>
        </w:tc>
      </w:tr>
      <w:tr>
        <w:trPr>
          <w:trHeight w:hRule="exact" w:val="252"/>
        </w:trPr>
        <w:tc>
          <w:tcPr>
            <w:tcW w:type="dxa" w:w="3707"/>
            <w:vMerge/>
            <w:tcBorders/>
          </w:tcPr>
          <w:p/>
        </w:tc>
        <w:tc>
          <w:tcPr>
            <w:tcW w:type="dxa" w:w="47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37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analytics and develop new models as </w:t>
            </w:r>
          </w:p>
        </w:tc>
        <w:tc>
          <w:tcPr>
            <w:tcW w:type="dxa" w:w="370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707"/>
            <w:vMerge/>
            <w:tcBorders/>
          </w:tcPr>
          <w:p/>
        </w:tc>
        <w:tc>
          <w:tcPr>
            <w:tcW w:type="dxa" w:w="47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 xml:space="preserve">needed to fill gaps in available forecasts and 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346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hyperlink r:id="rId16" w:history="1">
                <w:r>
                  <w:rPr>
                    <w:rStyle w:val="Hyperlink"/>
                  </w:rPr>
                  <w:t xml:space="preserve">Centre’s website at </w:t>
                </w:r>
              </w:hyperlink>
            </w:r>
            <w:r>
              <w:rPr>
                <w:rFonts w:ascii="SourceSansPro" w:hAnsi="SourceSansPro" w:eastAsia="SourceSansPro"/>
                <w:b/>
                <w:i w:val="0"/>
                <w:color w:val="1BB580"/>
                <w:sz w:val="22"/>
              </w:rPr>
              <w:hyperlink r:id="rId16" w:history="1">
                <w:r>
                  <w:rPr>
                    <w:rStyle w:val="Hyperlink"/>
                  </w:rPr>
                  <w:t>ht</w:t>
                </w:r>
              </w:hyperlink>
            </w:r>
            <w:r>
              <w:rPr>
                <w:rFonts w:ascii="SourceSansPro" w:hAnsi="SourceSansPro" w:eastAsia="SourceSansPro"/>
                <w:b/>
                <w:i w:val="0"/>
                <w:color w:val="1BB580"/>
                <w:sz w:val="22"/>
              </w:rPr>
              <w:hyperlink r:id="rId16" w:history="1">
                <w:r>
                  <w:rPr>
                    <w:rStyle w:val="Hyperlink"/>
                  </w:rPr>
                  <w:t>tps://centre.humdata.org/</w:t>
                </w:r>
              </w:hyperlink>
            </w:r>
          </w:p>
        </w:tc>
      </w:tr>
      <w:tr>
        <w:trPr>
          <w:trHeight w:hRule="exact" w:val="334"/>
        </w:trPr>
        <w:tc>
          <w:tcPr>
            <w:tcW w:type="dxa" w:w="3707"/>
            <w:vMerge/>
            <w:tcBorders/>
          </w:tcPr>
          <w:p/>
        </w:tc>
        <w:tc>
          <w:tcPr>
            <w:tcW w:type="dxa" w:w="47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378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t>projections.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346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BB580"/>
                <w:sz w:val="22"/>
              </w:rPr>
              <w:hyperlink r:id="rId16" w:history="1">
                <w:r>
                  <w:rPr>
                    <w:rStyle w:val="Hyperlink"/>
                  </w:rPr>
                  <w:t>predictive-analytic</w:t>
                </w:r>
              </w:hyperlink>
            </w:r>
            <w:r>
              <w:rPr>
                <w:rFonts w:ascii="SourceSansPro" w:hAnsi="SourceSansPro" w:eastAsia="SourceSansPro"/>
                <w:b/>
                <w:i w:val="0"/>
                <w:color w:val="1BB580"/>
                <w:sz w:val="22"/>
              </w:rPr>
              <w:hyperlink r:id="rId16" w:history="1">
                <w:r>
                  <w:rPr>
                    <w:rStyle w:val="Hyperlink"/>
                  </w:rPr>
                  <w:t>s/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22"/>
              </w:rPr>
              <w:hyperlink r:id="rId16" w:history="1">
                <w:r>
                  <w:rPr>
                    <w:rStyle w:val="Hyperlink"/>
                  </w:rPr>
                  <w:t>.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94" w:lineRule="exact" w:before="474" w:after="0"/>
        <w:ind w:left="72" w:right="0" w:firstLine="0"/>
        <w:jc w:val="left"/>
      </w:pPr>
      <w:r>
        <w:rPr>
          <w:rFonts w:ascii="OpenSans" w:hAnsi="OpenSans" w:eastAsia="OpenSans"/>
          <w:b w:val="0"/>
          <w:i w:val="0"/>
          <w:color w:val="878787"/>
          <w:sz w:val="14"/>
        </w:rPr>
        <w:t xml:space="preserve">The Centre for Humanitarian Data </w:t>
      </w:r>
      <w:r>
        <w:rPr>
          <w:rFonts w:ascii="SourceSansPro" w:hAnsi="SourceSansPro" w:eastAsia="SourceSansPro"/>
          <w:b/>
          <w:i w:val="0"/>
          <w:color w:val="878787"/>
          <w:sz w:val="14"/>
        </w:rPr>
        <w:hyperlink r:id="rId17" w:history="1">
          <w:r>
            <w:rPr>
              <w:rStyle w:val="Hyperlink"/>
            </w:rPr>
            <w:t>centre.humdata.org</w:t>
          </w:r>
        </w:hyperlink>
      </w:r>
      <w:r>
        <w:rPr>
          <w:rFonts w:ascii="OpenSans" w:hAnsi="OpenSans" w:eastAsia="OpenSans"/>
          <w:b w:val="0"/>
          <w:i w:val="0"/>
          <w:color w:val="878787"/>
          <w:sz w:val="14"/>
        </w:rPr>
        <w:t xml:space="preserve"> |</w:t>
      </w:r>
      <w:r>
        <w:rPr>
          <w:rFonts w:ascii="OpenSans" w:hAnsi="OpenSans" w:eastAsia="OpenSans"/>
          <w:b w:val="0"/>
          <w:i w:val="0"/>
          <w:color w:val="878787"/>
          <w:sz w:val="14"/>
        </w:rPr>
        <w:t xml:space="preserve">Join our mailing list: </w:t>
      </w:r>
      <w:r>
        <w:rPr>
          <w:rFonts w:ascii="SourceSansPro" w:hAnsi="SourceSansPro" w:eastAsia="SourceSansPro"/>
          <w:b/>
          <w:i w:val="0"/>
          <w:color w:val="878787"/>
          <w:sz w:val="14"/>
        </w:rPr>
        <w:hyperlink r:id="rId18" w:history="1">
          <w:r>
            <w:rPr>
              <w:rStyle w:val="Hyperlink"/>
            </w:rPr>
            <w:t>bit.ly/humdatamailing</w:t>
          </w:r>
        </w:hyperlink>
      </w:r>
      <w:r>
        <w:rPr>
          <w:rFonts w:ascii="OpenSans" w:hAnsi="OpenSans" w:eastAsia="OpenSans"/>
          <w:b w:val="0"/>
          <w:i w:val="0"/>
          <w:color w:val="878787"/>
          <w:sz w:val="14"/>
        </w:rPr>
        <w:t>|</w:t>
      </w:r>
      <w:r>
        <w:rPr>
          <w:rFonts w:ascii="OpenSans" w:hAnsi="OpenSans" w:eastAsia="OpenSans"/>
          <w:b w:val="0"/>
          <w:i w:val="0"/>
          <w:color w:val="878787"/>
          <w:sz w:val="14"/>
        </w:rPr>
        <w:t>Twitter:</w:t>
      </w:r>
      <w:r>
        <w:rPr>
          <w:rFonts w:ascii="SourceSansPro" w:hAnsi="SourceSansPro" w:eastAsia="SourceSansPro"/>
          <w:b/>
          <w:i w:val="0"/>
          <w:color w:val="878787"/>
          <w:sz w:val="14"/>
        </w:rPr>
        <w:hyperlink r:id="rId19" w:history="1">
          <w:r>
            <w:rPr>
              <w:rStyle w:val="Hyperlink"/>
            </w:rPr>
            <w:t>@humdata</w:t>
          </w:r>
        </w:hyperlink>
      </w:r>
      <w:r>
        <w:rPr>
          <w:rFonts w:ascii="OpenSans" w:hAnsi="OpenSans" w:eastAsia="OpenSans"/>
          <w:b w:val="0"/>
          <w:i w:val="0"/>
          <w:color w:val="878787"/>
          <w:sz w:val="14"/>
        </w:rPr>
        <w:t>|</w:t>
      </w:r>
      <w:r>
        <w:rPr>
          <w:rFonts w:ascii="OpenSans" w:hAnsi="OpenSans" w:eastAsia="OpenSans"/>
          <w:b w:val="0"/>
          <w:i w:val="0"/>
          <w:color w:val="878787"/>
          <w:sz w:val="14"/>
        </w:rPr>
        <w:t>Email:</w:t>
      </w:r>
      <w:r>
        <w:rPr>
          <w:rFonts w:ascii="SourceSansPro" w:hAnsi="SourceSansPro" w:eastAsia="SourceSansPro"/>
          <w:b/>
          <w:i w:val="0"/>
          <w:color w:val="878787"/>
          <w:sz w:val="14"/>
        </w:rPr>
        <w:hyperlink r:id="rId13" w:history="1">
          <w:r>
            <w:rPr>
              <w:rStyle w:val="Hyperlink"/>
            </w:rPr>
            <w:t>centrehumdata@un.org</w:t>
          </w:r>
        </w:hyperlink>
      </w:r>
    </w:p>
    <w:p>
      <w:pPr>
        <w:autoSpaceDN w:val="0"/>
        <w:autoSpaceDE w:val="0"/>
        <w:widowControl/>
        <w:spacing w:line="240" w:lineRule="auto" w:before="110" w:after="0"/>
        <w:ind w:left="0" w:right="830" w:firstLine="0"/>
        <w:jc w:val="right"/>
      </w:pPr>
      <w:r>
        <w:rPr>
          <w:rFonts w:ascii="OpenSans" w:hAnsi="OpenSans" w:eastAsia="OpenSans"/>
          <w:b w:val="0"/>
          <w:i w:val="0"/>
          <w:color w:val="878787"/>
          <w:sz w:val="14"/>
        </w:rPr>
        <w:t>November 2021</w:t>
      </w:r>
    </w:p>
    <w:sectPr w:rsidR="00FC693F" w:rsidRPr="0006063C" w:rsidSect="00034616">
      <w:type w:val="continuous"/>
      <w:pgSz w:w="11906" w:h="16838"/>
      <w:pgMar w:top="0" w:right="0" w:bottom="220" w:left="78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centre.humdata.org/" TargetMode="External"/><Relationship Id="rId12" Type="http://schemas.openxmlformats.org/officeDocument/2006/relationships/hyperlink" Target="https://data.humdata.org/dataset/2048a947-5714-4220-905b-e662cbcd14c8/resource/76e488d9-b69d-41bd-927c-116d633bac7b/download/peer-review-framework-2020.pdf" TargetMode="External"/><Relationship Id="rId13" Type="http://schemas.openxmlformats.org/officeDocument/2006/relationships/hyperlink" Target="mailto:centrehumdata%40un.org?subject=" TargetMode="External"/><Relationship Id="rId14" Type="http://schemas.openxmlformats.org/officeDocument/2006/relationships/hyperlink" Target="http://bit.ly/pa-model-review" TargetMode="External"/><Relationship Id="rId15" Type="http://schemas.openxmlformats.org/officeDocument/2006/relationships/hyperlink" Target="http://bit.ly/pa-reviewer" TargetMode="External"/><Relationship Id="rId16" Type="http://schemas.openxmlformats.org/officeDocument/2006/relationships/hyperlink" Target="https://centre.humdata.org/predictive-analytics/" TargetMode="External"/><Relationship Id="rId17" Type="http://schemas.openxmlformats.org/officeDocument/2006/relationships/hyperlink" Target="https://centre.humdata.org" TargetMode="External"/><Relationship Id="rId18" Type="http://schemas.openxmlformats.org/officeDocument/2006/relationships/hyperlink" Target="https://bit.ly/humdatamailing" TargetMode="External"/><Relationship Id="rId19" Type="http://schemas.openxmlformats.org/officeDocument/2006/relationships/hyperlink" Target="https://twitter.com/humdata" TargetMode="External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