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8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Food Service Managers, page 1 of 3</w:t>
      </w:r>
    </w:p>
    <w:p>
      <w:pPr>
        <w:autoSpaceDN w:val="0"/>
        <w:tabs>
          <w:tab w:pos="5940" w:val="left"/>
          <w:tab w:pos="6620" w:val="left"/>
        </w:tabs>
        <w:autoSpaceDE w:val="0"/>
        <w:widowControl/>
        <w:spacing w:line="296" w:lineRule="exact" w:before="598" w:after="16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 CareerZone Occupational Brief for: </w:t>
      </w:r>
      <w:r>
        <w:br/>
      </w:r>
      <w:r>
        <w:rPr>
          <w:rFonts w:ascii="Helvetica" w:hAnsi="Helvetica" w:eastAsia="Helvetica"/>
          <w:b/>
          <w:i w:val="0"/>
          <w:color w:val="000000"/>
          <w:sz w:val="32"/>
        </w:rPr>
        <w:t xml:space="preserve">Food Service Managers </w:t>
      </w:r>
      <w:r>
        <w:br/>
      </w:r>
      <w:r>
        <w:rPr>
          <w:rFonts w:ascii="Helvetica" w:hAnsi="Helvetica" w:eastAsia="Helvetica"/>
          <w:b/>
          <w:i w:val="0"/>
          <w:color w:val="000000"/>
          <w:sz w:val="18"/>
        </w:rPr>
        <w:t xml:space="preserve">An occupation in Human and Public Services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0000"/>
          <w:sz w:val="18"/>
        </w:rPr>
        <w:t xml:space="preserve">New York State Department of Labor </w:t>
      </w:r>
      <w:r>
        <w:tab/>
      </w:r>
      <w:r>
        <w:tab/>
      </w:r>
      <w:r>
        <w:rPr>
          <w:rFonts w:ascii="Helvetica" w:hAnsi="Helvetica" w:eastAsia="Helvetica"/>
          <w:b/>
          <w:i w:val="0"/>
          <w:color w:val="000000"/>
          <w:sz w:val="18"/>
        </w:rPr>
        <w:t>David A. Paterson, Governor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Job Description</w:t>
            </w:r>
          </w:p>
        </w:tc>
      </w:tr>
    </w:tbl>
    <w:p>
      <w:pPr>
        <w:autoSpaceDN w:val="0"/>
        <w:autoSpaceDE w:val="0"/>
        <w:widowControl/>
        <w:spacing w:line="248" w:lineRule="exact" w:before="254" w:after="256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Plan, direct, or coordinate activities of an organization or department that serves food and beverages.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Interests</w:t>
            </w:r>
          </w:p>
        </w:tc>
      </w:tr>
    </w:tbl>
    <w:p>
      <w:pPr>
        <w:autoSpaceDN w:val="0"/>
        <w:autoSpaceDE w:val="0"/>
        <w:widowControl/>
        <w:spacing w:line="240" w:lineRule="exact" w:before="262" w:after="256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Enterprising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Enterprising occupations frequently involve starting up and carrying out projects. These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occupations can involve leading people and making many decisions. Sometimes they require risk taking and often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deal with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Tasks</w:t>
            </w:r>
          </w:p>
        </w:tc>
      </w:tr>
    </w:tbl>
    <w:p>
      <w:pPr>
        <w:autoSpaceDN w:val="0"/>
        <w:autoSpaceDE w:val="0"/>
        <w:widowControl/>
        <w:spacing w:line="240" w:lineRule="exact" w:before="262" w:after="0"/>
        <w:ind w:left="0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. Monitor compliance with health and fire regulations regarding food preparation and serving, and building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maintenance in lodging and dining facilities.</w:t>
      </w:r>
    </w:p>
    <w:p>
      <w:pPr>
        <w:autoSpaceDN w:val="0"/>
        <w:autoSpaceDE w:val="0"/>
        <w:widowControl/>
        <w:spacing w:line="240" w:lineRule="exact" w:before="23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. Monitor food preparation methods, portion sizes, and garnishing and presentation of food to ensure that food is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prepared and presented in an acceptable manner.</w:t>
      </w:r>
    </w:p>
    <w:p>
      <w:pPr>
        <w:autoSpaceDN w:val="0"/>
        <w:autoSpaceDE w:val="0"/>
        <w:widowControl/>
        <w:spacing w:line="250" w:lineRule="exact" w:before="2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3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Count money and make bank deposits.</w:t>
      </w:r>
    </w:p>
    <w:p>
      <w:pPr>
        <w:autoSpaceDN w:val="0"/>
        <w:autoSpaceDE w:val="0"/>
        <w:widowControl/>
        <w:spacing w:line="250" w:lineRule="exact" w:before="22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4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Investigate and resolve complaints regarding food quality, service, or accommodations.</w:t>
      </w:r>
    </w:p>
    <w:p>
      <w:pPr>
        <w:autoSpaceDN w:val="0"/>
        <w:autoSpaceDE w:val="0"/>
        <w:widowControl/>
        <w:spacing w:line="248" w:lineRule="exact" w:before="2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5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Coordinate assignments of cooking personnel to ensure economical use of food and timely preparation.</w:t>
      </w:r>
    </w:p>
    <w:p>
      <w:pPr>
        <w:autoSpaceDN w:val="0"/>
        <w:autoSpaceDE w:val="0"/>
        <w:widowControl/>
        <w:spacing w:line="238" w:lineRule="exact" w:before="238" w:after="0"/>
        <w:ind w:left="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6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. Schedule and receive food and beverage deliveries, checking delivery contents to verify product quality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quantity.</w:t>
      </w:r>
    </w:p>
    <w:p>
      <w:pPr>
        <w:autoSpaceDN w:val="0"/>
        <w:autoSpaceDE w:val="0"/>
        <w:widowControl/>
        <w:spacing w:line="240" w:lineRule="exact" w:before="238" w:after="0"/>
        <w:ind w:left="0" w:right="7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7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. Monitor budgets and payroll records, and review financial transactions to ensure that expenditures are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authorized and budgeted.</w:t>
      </w:r>
    </w:p>
    <w:p>
      <w:pPr>
        <w:autoSpaceDN w:val="0"/>
        <w:autoSpaceDE w:val="0"/>
        <w:widowControl/>
        <w:spacing w:line="250" w:lineRule="exact" w:before="2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8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Maintain food and equipment inventories, and keep inventory records.</w:t>
      </w:r>
    </w:p>
    <w:p>
      <w:pPr>
        <w:autoSpaceDN w:val="0"/>
        <w:autoSpaceDE w:val="0"/>
        <w:widowControl/>
        <w:spacing w:line="250" w:lineRule="exact" w:before="22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9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Schedule staff hours and assign duties.</w:t>
      </w:r>
    </w:p>
    <w:p>
      <w:pPr>
        <w:autoSpaceDN w:val="0"/>
        <w:autoSpaceDE w:val="0"/>
        <w:widowControl/>
        <w:spacing w:line="248" w:lineRule="exact" w:before="2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10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. Establish standards for personnel performance and customer service.</w:t>
      </w:r>
    </w:p>
    <w:p>
      <w:pPr>
        <w:autoSpaceDN w:val="0"/>
        <w:autoSpaceDE w:val="0"/>
        <w:widowControl/>
        <w:spacing w:line="238" w:lineRule="exact" w:before="238" w:after="258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11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. Perform some food preparation or service tasks such as cooking, clearing tables, and serving food and drinks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when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Skills</w:t>
            </w:r>
          </w:p>
        </w:tc>
      </w:tr>
    </w:tbl>
    <w:p>
      <w:pPr>
        <w:autoSpaceDN w:val="0"/>
        <w:autoSpaceDE w:val="0"/>
        <w:widowControl/>
        <w:spacing w:line="238" w:lineRule="exact" w:before="264" w:after="0"/>
        <w:ind w:left="0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Active Listening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Giving full attention to what other people are saying, taking time to understand the points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being made, asking questions as appropriate, and not interrupting at inappropriate times.</w:t>
      </w:r>
    </w:p>
    <w:p>
      <w:pPr>
        <w:autoSpaceDN w:val="0"/>
        <w:autoSpaceDE w:val="0"/>
        <w:widowControl/>
        <w:spacing w:line="248" w:lineRule="exact" w:before="230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Persuasion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Persuading others to change their minds or behavior.</w:t>
      </w:r>
    </w:p>
    <w:p>
      <w:pPr>
        <w:autoSpaceDN w:val="0"/>
        <w:autoSpaceDE w:val="0"/>
        <w:widowControl/>
        <w:spacing w:line="248" w:lineRule="exact" w:before="2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Social Perceptiveness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Being aware of others' reactions and understanding why they react as they do.</w:t>
      </w:r>
    </w:p>
    <w:p>
      <w:pPr>
        <w:autoSpaceDN w:val="0"/>
        <w:autoSpaceDE w:val="0"/>
        <w:widowControl/>
        <w:spacing w:line="240" w:lineRule="exact" w:before="236" w:after="0"/>
        <w:ind w:left="0" w:right="8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Monitoring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Monitoring/Assessing performance of yourself, other individuals, or organizations to make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improvements or take corrective action.</w:t>
      </w:r>
    </w:p>
    <w:p>
      <w:pPr>
        <w:sectPr>
          <w:pgSz w:w="11900" w:h="16840"/>
          <w:pgMar w:top="418" w:right="1392" w:bottom="43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8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Food Service Managers, page 2 of 3</w:t>
      </w:r>
    </w:p>
    <w:p>
      <w:pPr>
        <w:autoSpaceDN w:val="0"/>
        <w:autoSpaceDE w:val="0"/>
        <w:widowControl/>
        <w:spacing w:line="238" w:lineRule="exact" w:before="604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Management of Personnel Resources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Motivating, developing, and directing people as they work, identifying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the best people for the job.</w:t>
      </w:r>
    </w:p>
    <w:p>
      <w:pPr>
        <w:autoSpaceDN w:val="0"/>
        <w:autoSpaceDE w:val="0"/>
        <w:widowControl/>
        <w:spacing w:line="250" w:lineRule="exact" w:before="24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Speaking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Talking to others to convey information effectively.</w:t>
      </w:r>
    </w:p>
    <w:p>
      <w:pPr>
        <w:autoSpaceDN w:val="0"/>
        <w:autoSpaceDE w:val="0"/>
        <w:widowControl/>
        <w:spacing w:line="238" w:lineRule="exact" w:before="252" w:after="272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Critical Thinking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Using logic and reasoning to identify the strengths and weaknesses of alternative solutions,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conclusions or approaches to problems.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Knowledge</w:t>
            </w:r>
          </w:p>
        </w:tc>
      </w:tr>
    </w:tbl>
    <w:p>
      <w:pPr>
        <w:autoSpaceDN w:val="0"/>
        <w:autoSpaceDE w:val="0"/>
        <w:widowControl/>
        <w:spacing w:line="238" w:lineRule="exact" w:before="282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Customer and Personal Service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principles and processes for providing customer and personal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services. This includes customer needs assessment, meeting quality standards for services, and evaluation of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customer satisfaction.</w:t>
      </w:r>
    </w:p>
    <w:p>
      <w:pPr>
        <w:autoSpaceDN w:val="0"/>
        <w:autoSpaceDE w:val="0"/>
        <w:widowControl/>
        <w:spacing w:line="240" w:lineRule="exact" w:before="252" w:after="0"/>
        <w:ind w:left="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Administration and Management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business and management principles involved in strategic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planning, resource allocation, human resources modeling, leadership technique, production methods,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coordination of people and resources.</w:t>
      </w:r>
    </w:p>
    <w:p>
      <w:pPr>
        <w:autoSpaceDN w:val="0"/>
        <w:autoSpaceDE w:val="0"/>
        <w:widowControl/>
        <w:spacing w:line="238" w:lineRule="exact" w:before="254" w:after="0"/>
        <w:ind w:left="0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Production and Processing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raw materials, production processes, quality control, costs,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other techniques for maximizing the effective manufacture and distribution of goods.</w:t>
      </w:r>
    </w:p>
    <w:p>
      <w:pPr>
        <w:autoSpaceDN w:val="0"/>
        <w:autoSpaceDE w:val="0"/>
        <w:widowControl/>
        <w:spacing w:line="240" w:lineRule="exact" w:before="25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Education and Training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principles and methods for curriculum and training design, teaching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instruction for individuals and groups, and the measurement of training effects.</w:t>
      </w:r>
    </w:p>
    <w:p>
      <w:pPr>
        <w:autoSpaceDN w:val="0"/>
        <w:autoSpaceDE w:val="0"/>
        <w:widowControl/>
        <w:spacing w:line="238" w:lineRule="exact" w:before="254" w:after="0"/>
        <w:ind w:left="0" w:right="746" w:firstLine="0"/>
        <w:jc w:val="both"/>
      </w:pPr>
      <w:r>
        <w:rPr>
          <w:rFonts w:ascii="Helvetica" w:hAnsi="Helvetica" w:eastAsia="Helvetica"/>
          <w:b/>
          <w:i w:val="0"/>
          <w:color w:val="000000"/>
          <w:sz w:val="18"/>
        </w:rPr>
        <w:t>Personnel and Human Resources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principles and procedures for personnel recruitment,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selection, training, compensation and benefits, labor relations and negotiation, and personnel information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systems.</w:t>
      </w:r>
    </w:p>
    <w:p>
      <w:pPr>
        <w:autoSpaceDN w:val="0"/>
        <w:autoSpaceDE w:val="0"/>
        <w:widowControl/>
        <w:spacing w:line="240" w:lineRule="exact" w:before="25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Sales and Marketing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principles and methods for showing, promoting, and selling products or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services. This includes marketing strategy and tactics, product demonstration, sales techniques, and sales control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systems.</w:t>
      </w:r>
    </w:p>
    <w:p>
      <w:pPr>
        <w:autoSpaceDN w:val="0"/>
        <w:autoSpaceDE w:val="0"/>
        <w:widowControl/>
        <w:spacing w:line="238" w:lineRule="exact" w:before="254" w:after="272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English Language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Knowledge of the structure and content of the English language including the meaning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spelling of words, rules of composition, and grammar.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48" w:lineRule="exact" w:before="272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Job Zone Three: Medium Preparation Needed</w:t>
      </w:r>
    </w:p>
    <w:p>
      <w:pPr>
        <w:autoSpaceDN w:val="0"/>
        <w:autoSpaceDE w:val="0"/>
        <w:widowControl/>
        <w:spacing w:line="240" w:lineRule="exact" w:before="17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Education: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Most occupations in this zone require training in vocational schools, related on-the-job experience, or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an associate's degree. Some may require a bachelor's degree.</w:t>
      </w:r>
    </w:p>
    <w:p>
      <w:pPr>
        <w:autoSpaceDN w:val="0"/>
        <w:autoSpaceDE w:val="0"/>
        <w:widowControl/>
        <w:spacing w:line="238" w:lineRule="exact" w:before="182" w:after="272"/>
        <w:ind w:left="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Training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: Employees in these occupations usually need one or two years of training involving both on-the-job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experience and informal training with experienced workers.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School Programs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Restaurant, Culinary, and Catering Management/Manager.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A program that prepares individuals to plan,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supervise, and manage food and beverage preparation and service operations, restaurant facilities,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catering services. Includes instruction in food/beverage industry operations, cost control, purchasing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storage, business administration, logistics, personnel management, culinary arts, restaurant and menu planning,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executive chef functions, event planning and management, health and safety, insurance, and applicable law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regulations.</w:t>
      </w:r>
    </w:p>
    <w:p>
      <w:pPr>
        <w:autoSpaceDN w:val="0"/>
        <w:autoSpaceDE w:val="0"/>
        <w:widowControl/>
        <w:spacing w:line="240" w:lineRule="exact" w:before="252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Hospitality Administration/Management, General.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A program that prepares individuals to serve as general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managers and directors of hospitality operations on a system-wide basis, including both travel arrangements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and promotion and the provision of traveler facilities. Includes instruction in principles of operations in the travel</w:t>
      </w:r>
    </w:p>
    <w:p>
      <w:pPr>
        <w:sectPr>
          <w:pgSz w:w="11900" w:h="16840"/>
          <w:pgMar w:top="418" w:right="1392" w:bottom="43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8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0" w:right="20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Food Service Managers, page 3 of 3</w:t>
      </w:r>
    </w:p>
    <w:p>
      <w:pPr>
        <w:autoSpaceDN w:val="0"/>
        <w:autoSpaceDE w:val="0"/>
        <w:widowControl/>
        <w:spacing w:line="240" w:lineRule="exact" w:before="60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and tourism, hotel and lodging facilities, food services, and recreation facilities industries; hospitality marketing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strategies; hospitality planning; management and coordination of franchise and unit operations; business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management; accounting and financial management; hospitality transportation and logistics; and hospitality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industry policies and regulations.</w:t>
      </w:r>
    </w:p>
    <w:p>
      <w:pPr>
        <w:autoSpaceDN w:val="0"/>
        <w:autoSpaceDE w:val="0"/>
        <w:widowControl/>
        <w:spacing w:line="240" w:lineRule="exact" w:before="248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Hotel/Motel Administration/Management.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A program that prepares individuals to manage operations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facilities that provide lodging services to the traveling public. Includes instruction in hospitality industry principles;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supplies purchasing, storage and control; hotel facilities design and planning; hospitality industry law; personnel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management and labor relations; financial management; marketing and sales promotion; convention and event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management; front desk operations; and applications to specific types of hotels and motel operations.</w:t>
      </w:r>
    </w:p>
    <w:p>
      <w:pPr>
        <w:autoSpaceDN w:val="0"/>
        <w:autoSpaceDE w:val="0"/>
        <w:widowControl/>
        <w:spacing w:line="240" w:lineRule="exact" w:before="246" w:after="266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Restaurant/Food Services Management.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A program that prepares individuals to plan, manage, and market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restaurants, food services in hospitality establishments, food service chains and franchise networks,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restaurant supply operations. Includes instruction in hospitality administration, food services management,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wholesale logistics and distribution, franchise operations, business networking, personnel management, culinary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arts, business planning and capitalization, food industry operations, marketing and retailing, business law and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regulations, finance, and professional standards and ethics.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Wages</w:t>
            </w:r>
          </w:p>
        </w:tc>
      </w:tr>
    </w:tbl>
    <w:p>
      <w:pPr>
        <w:autoSpaceDN w:val="0"/>
        <w:autoSpaceDE w:val="0"/>
        <w:widowControl/>
        <w:spacing w:line="248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In NY the average wage for this occupation was:</w:t>
      </w:r>
    </w:p>
    <w:p>
      <w:pPr>
        <w:autoSpaceDN w:val="0"/>
        <w:autoSpaceDE w:val="0"/>
        <w:widowControl/>
        <w:spacing w:line="246" w:lineRule="exact" w:before="168" w:after="196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$34,390 (per year) for entry level workers, and $64,710 (per year) for experienced workers.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Job Outlook</w:t>
            </w:r>
          </w:p>
        </w:tc>
      </w:tr>
    </w:tbl>
    <w:p>
      <w:pPr>
        <w:autoSpaceDN w:val="0"/>
        <w:autoSpaceDE w:val="0"/>
        <w:widowControl/>
        <w:spacing w:line="240" w:lineRule="exact" w:before="27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Based on the total number of annual openings and its growth rate, the employment prospects for this occupation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are described as Favorable.</w:t>
      </w:r>
    </w:p>
    <w:p>
      <w:pPr>
        <w:autoSpaceDN w:val="0"/>
        <w:autoSpaceDE w:val="0"/>
        <w:widowControl/>
        <w:spacing w:line="246" w:lineRule="exact" w:before="1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>In 2006, employment for Food Service Managers in NY was: 15,750.</w:t>
      </w:r>
    </w:p>
    <w:p>
      <w:pPr>
        <w:autoSpaceDN w:val="0"/>
        <w:autoSpaceDE w:val="0"/>
        <w:widowControl/>
        <w:spacing w:line="240" w:lineRule="exact" w:before="176" w:after="266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It is anticipated that in the year 2016, employment in this area will number 16,370. There will be an increase of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60 new positions annually (0.0%). In addition, 370 jobs per year (0.02%) will become available due to employee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turnover.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90"/>
      </w:tblGrid>
      <w:tr>
        <w:trPr>
          <w:trHeight w:hRule="exact" w:val="380"/>
        </w:trPr>
        <w:tc>
          <w:tcPr>
            <w:tcW w:type="dxa" w:w="9070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Similar Jobs</w:t>
            </w:r>
          </w:p>
        </w:tc>
      </w:tr>
    </w:tbl>
    <w:p>
      <w:pPr>
        <w:autoSpaceDN w:val="0"/>
        <w:autoSpaceDE w:val="0"/>
        <w:widowControl/>
        <w:spacing w:line="238" w:lineRule="exact" w:before="274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Lodging Managers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Plan, direct, or coordinate activities of an organization or department that provides lodging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and other accommodations.</w:t>
      </w:r>
    </w:p>
    <w:p>
      <w:pPr>
        <w:autoSpaceDN w:val="0"/>
        <w:autoSpaceDE w:val="0"/>
        <w:widowControl/>
        <w:spacing w:line="238" w:lineRule="exact" w:before="250" w:after="0"/>
        <w:ind w:left="0" w:right="1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Medical and Health Services Managers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Plan, direct, or coordinate medicine and health services in hospitals,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clinics, managed care organizations, public health agencies, or similar organizations.</w:t>
      </w:r>
    </w:p>
    <w:p>
      <w:pPr>
        <w:autoSpaceDN w:val="0"/>
        <w:autoSpaceDE w:val="0"/>
        <w:widowControl/>
        <w:spacing w:line="240" w:lineRule="exact" w:before="246" w:after="0"/>
        <w:ind w:left="0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Social and Community Service Managers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Plan, organize, or coordinate the activities of a social service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program or community outreach organization. Oversee the program or organization's budget and policies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regarding participant involvement, program requirements, and benefits. Work may involve directing social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workers, counselors, or probation officers.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First-Line Supervisors/Managers of Food Preparation and Serving Workers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Supervise workers engaged in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preparing and serving food.</w:t>
      </w:r>
    </w:p>
    <w:p>
      <w:pPr>
        <w:autoSpaceDN w:val="0"/>
        <w:autoSpaceDE w:val="0"/>
        <w:widowControl/>
        <w:spacing w:line="240" w:lineRule="exact" w:before="246" w:after="0"/>
        <w:ind w:left="0" w:right="2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Recreation Workers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Conduct recreation activities with groups in public, private, or volunteer agencies or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recreation facilities. Organize and promote activities, such as arts and crafts, sports, games, music, dramatics,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social recreation, camping, and hobbies, taking into account the needs and interests of individual members.</w:t>
      </w:r>
    </w:p>
    <w:p>
      <w:pPr>
        <w:autoSpaceDN w:val="0"/>
        <w:autoSpaceDE w:val="0"/>
        <w:widowControl/>
        <w:spacing w:line="238" w:lineRule="exact" w:before="24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First-Line Supervisors/Managers of Office and Administrative Support Workers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 - Supervise and coordinate </w:t>
      </w:r>
      <w:r>
        <w:rPr>
          <w:rFonts w:ascii="Helvetica" w:hAnsi="Helvetica" w:eastAsia="Helvetica"/>
          <w:b w:val="0"/>
          <w:i w:val="0"/>
          <w:color w:val="000000"/>
          <w:sz w:val="18"/>
        </w:rPr>
        <w:t>the activities of clerical and administrative support workers.</w:t>
      </w:r>
    </w:p>
    <w:sectPr w:rsidR="00FC693F" w:rsidRPr="0006063C" w:rsidSect="00034616">
      <w:pgSz w:w="11900" w:h="16840"/>
      <w:pgMar w:top="418" w:right="1392" w:bottom="558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