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476"/>
        <w:ind w:left="0" w:right="0"/>
      </w:pPr>
    </w:p>
    <w:p>
      <w:pPr>
        <w:autoSpaceDN w:val="0"/>
        <w:tabs>
          <w:tab w:pos="8662" w:val="left"/>
        </w:tabs>
        <w:autoSpaceDE w:val="0"/>
        <w:widowControl/>
        <w:spacing w:line="230" w:lineRule="exact" w:before="0" w:after="166"/>
        <w:ind w:left="2294" w:right="0" w:firstLine="0"/>
        <w:jc w:val="left"/>
      </w:pPr>
      <w:r>
        <w:rPr>
          <w:rFonts w:ascii="AvantGarde" w:hAnsi="AvantGarde" w:eastAsia="AvantGarde"/>
          <w:b w:val="0"/>
          <w:i w:val="0"/>
          <w:color w:val="000000"/>
          <w:sz w:val="18"/>
        </w:rPr>
        <w:t xml:space="preserve">Department of Justice </w:t>
      </w:r>
      <w:r>
        <w:tab/>
      </w:r>
      <w:r>
        <w:rPr>
          <w:rFonts w:ascii="AvantGarde" w:hAnsi="AvantGarde" w:eastAsia="AvantGarde"/>
          <w:b w:val="0"/>
          <w:i w:val="0"/>
          <w:color w:val="000000"/>
          <w:sz w:val="18"/>
        </w:rPr>
        <w:t xml:space="preserve">§ 0.29h </w:t>
      </w:r>
    </w:p>
    <w:p>
      <w:pPr>
        <w:sectPr>
          <w:pgSz w:w="12240" w:h="15840"/>
          <w:pgMar w:top="1440" w:right="1440" w:bottom="180" w:left="3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2294" w:right="0" w:firstLine="160"/>
        <w:jc w:val="left"/>
      </w:pPr>
      <w:r>
        <w:rPr>
          <w:rFonts w:ascii="MIonic" w:hAnsi="MIonic" w:eastAsia="MIonic"/>
          <w:b w:val="0"/>
          <w:i w:val="0"/>
          <w:color w:val="000000"/>
          <w:sz w:val="16"/>
        </w:rPr>
        <w:t>(3) DOJ-OPR refers to the OIG allega-</w:t>
      </w:r>
      <w:r>
        <w:rPr>
          <w:rFonts w:ascii="MIonic" w:hAnsi="MIonic" w:eastAsia="MIonic"/>
          <w:b w:val="0"/>
          <w:i w:val="0"/>
          <w:color w:val="000000"/>
          <w:sz w:val="16"/>
        </w:rPr>
        <w:t>tions involving misconduct by Depart-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ment attorneys or investigators that </w:t>
      </w:r>
      <w:r>
        <w:rPr>
          <w:rFonts w:ascii="MIonic" w:hAnsi="MIonic" w:eastAsia="MIonic"/>
          <w:b w:val="0"/>
          <w:i w:val="0"/>
          <w:color w:val="000000"/>
          <w:sz w:val="16"/>
        </w:rPr>
        <w:t>do not relate to the exercise of an at-</w:t>
      </w:r>
      <w:r>
        <w:rPr>
          <w:rFonts w:ascii="MIonic" w:hAnsi="MIonic" w:eastAsia="MIonic"/>
          <w:b w:val="0"/>
          <w:i w:val="0"/>
          <w:color w:val="000000"/>
          <w:sz w:val="16"/>
        </w:rPr>
        <w:t>torney’s authority to investigate, liti-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gate, or provide legal advice. </w:t>
      </w:r>
    </w:p>
    <w:p>
      <w:pPr>
        <w:autoSpaceDN w:val="0"/>
        <w:tabs>
          <w:tab w:pos="2454" w:val="left"/>
        </w:tabs>
        <w:autoSpaceDE w:val="0"/>
        <w:widowControl/>
        <w:spacing w:line="188" w:lineRule="exact" w:before="8" w:after="0"/>
        <w:ind w:left="2294" w:right="0" w:firstLine="0"/>
        <w:jc w:val="left"/>
      </w:pPr>
      <w:r>
        <w:tab/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(4) The OIG and the FBI notify each </w:t>
      </w:r>
      <w:r>
        <w:rPr>
          <w:rFonts w:ascii="MIonic" w:hAnsi="MIonic" w:eastAsia="MIonic"/>
          <w:b w:val="0"/>
          <w:i w:val="0"/>
          <w:color w:val="000000"/>
          <w:sz w:val="16"/>
        </w:rPr>
        <w:t>other of the existence of criminal in-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vestigations that fall within their joint </w:t>
      </w:r>
      <w:r>
        <w:rPr>
          <w:rFonts w:ascii="MIonic" w:hAnsi="MIonic" w:eastAsia="MIonic"/>
          <w:b w:val="0"/>
          <w:i w:val="0"/>
          <w:color w:val="000000"/>
          <w:sz w:val="16"/>
        </w:rPr>
        <w:t>jurisdiction to investigate crimes in-</w:t>
      </w:r>
      <w:r>
        <w:rPr>
          <w:rFonts w:ascii="MIonic" w:hAnsi="MIonic" w:eastAsia="MIonic"/>
          <w:b w:val="0"/>
          <w:i w:val="0"/>
          <w:color w:val="000000"/>
          <w:sz w:val="16"/>
        </w:rPr>
        <w:t>volving the operations of the Depart-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ment, except where such notification 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could compromise the integrity of an 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investigation; </w:t>
      </w:r>
      <w:r>
        <w:br/>
      </w:r>
      <w:r>
        <w:tab/>
      </w:r>
      <w:r>
        <w:rPr>
          <w:rFonts w:ascii="MIonic" w:hAnsi="MIonic" w:eastAsia="MIonic"/>
          <w:b w:val="0"/>
          <w:i w:val="0"/>
          <w:color w:val="000000"/>
          <w:sz w:val="16"/>
        </w:rPr>
        <w:t>(5) All Department components re-</w:t>
      </w:r>
      <w:r>
        <w:rPr>
          <w:rFonts w:ascii="MIonic" w:hAnsi="MIonic" w:eastAsia="MIonic"/>
          <w:b w:val="0"/>
          <w:i w:val="0"/>
          <w:color w:val="000000"/>
          <w:sz w:val="16"/>
        </w:rPr>
        <w:t>port to the OIG all non-frivolous alle-</w:t>
      </w:r>
      <w:r>
        <w:rPr>
          <w:rFonts w:ascii="MIonic" w:hAnsi="MIonic" w:eastAsia="MIonic"/>
          <w:b w:val="0"/>
          <w:i w:val="0"/>
          <w:color w:val="000000"/>
          <w:sz w:val="16"/>
        </w:rPr>
        <w:t>gations of criminal wrongdoing and se-</w:t>
      </w:r>
      <w:r>
        <w:rPr>
          <w:rFonts w:ascii="MIonic" w:hAnsi="MIonic" w:eastAsia="MIonic"/>
          <w:b w:val="0"/>
          <w:i w:val="0"/>
          <w:color w:val="000000"/>
          <w:sz w:val="16"/>
        </w:rPr>
        <w:t>rious administrative misconduct in-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volving any of their employees except </w:t>
      </w:r>
      <w:r>
        <w:rPr>
          <w:rFonts w:ascii="MIonic" w:hAnsi="MIonic" w:eastAsia="MIonic"/>
          <w:b w:val="0"/>
          <w:i w:val="0"/>
          <w:color w:val="000000"/>
          <w:sz w:val="16"/>
        </w:rPr>
        <w:t>allegations involving Department at-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torneys and investigators that relate 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to an attorney’s authority to litigate, 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investigate, or provide legal advice. </w:t>
      </w:r>
    </w:p>
    <w:p>
      <w:pPr>
        <w:autoSpaceDN w:val="0"/>
        <w:tabs>
          <w:tab w:pos="2454" w:val="left"/>
        </w:tabs>
        <w:autoSpaceDE w:val="0"/>
        <w:widowControl/>
        <w:spacing w:line="190" w:lineRule="exact" w:before="6" w:after="0"/>
        <w:ind w:left="2294" w:right="0" w:firstLine="0"/>
        <w:jc w:val="left"/>
      </w:pPr>
      <w:r>
        <w:tab/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(6) At the request of the Inspector 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General, the Deputy Attorney General 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may assign to the OIG a matter within 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the investigative jurisdiction of DOJ- 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OPR. In such instances, the OIG shall 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either: </w:t>
      </w:r>
      <w:r>
        <w:br/>
      </w:r>
      <w:r>
        <w:tab/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(i) Notify DOJ-OPR of its request to </w:t>
      </w:r>
    </w:p>
    <w:p>
      <w:pPr>
        <w:sectPr>
          <w:type w:val="continuous"/>
          <w:pgSz w:w="12240" w:h="15840"/>
          <w:pgMar w:top="1440" w:right="1440" w:bottom="180" w:left="346" w:header="720" w:footer="720" w:gutter="0"/>
          <w:cols w:num="2" w:equalWidth="0">
            <w:col w:w="5801" w:space="0"/>
            <w:col w:w="4652" w:space="0"/>
          </w:cols>
          <w:docGrid w:linePitch="360"/>
        </w:sectPr>
      </w:pPr>
    </w:p>
    <w:p>
      <w:pPr>
        <w:autoSpaceDN w:val="0"/>
        <w:autoSpaceDE w:val="0"/>
        <w:widowControl/>
        <w:spacing w:line="184" w:lineRule="exact" w:before="0" w:after="0"/>
        <w:ind w:left="92" w:right="1152" w:firstLine="0"/>
        <w:jc w:val="left"/>
      </w:pPr>
      <w:r>
        <w:rPr>
          <w:rFonts w:ascii="MIonic" w:hAnsi="MIonic" w:eastAsia="MIonic"/>
          <w:b w:val="0"/>
          <w:i w:val="0"/>
          <w:color w:val="000000"/>
          <w:sz w:val="16"/>
        </w:rPr>
        <w:t>are reported to management for appro-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priate disposition. </w:t>
      </w:r>
    </w:p>
    <w:p>
      <w:pPr>
        <w:autoSpaceDN w:val="0"/>
        <w:autoSpaceDE w:val="0"/>
        <w:widowControl/>
        <w:spacing w:line="164" w:lineRule="exact" w:before="108" w:after="0"/>
        <w:ind w:left="92" w:right="1150" w:firstLine="0"/>
        <w:jc w:val="both"/>
      </w:pPr>
      <w:r>
        <w:rPr>
          <w:rFonts w:ascii="MIonic" w:hAnsi="MIonic" w:eastAsia="MIonic"/>
          <w:b w:val="0"/>
          <w:i w:val="0"/>
          <w:color w:val="000000"/>
          <w:sz w:val="14"/>
        </w:rPr>
        <w:t xml:space="preserve">[Order No. 2167–98, 63 FR 36847, July 8, 1998; 63 </w:t>
      </w:r>
      <w:r>
        <w:rPr>
          <w:rFonts w:ascii="MIonic" w:hAnsi="MIonic" w:eastAsia="MIonic"/>
          <w:b w:val="0"/>
          <w:i w:val="0"/>
          <w:color w:val="000000"/>
          <w:sz w:val="14"/>
        </w:rPr>
        <w:t xml:space="preserve">FR 40788, July 30, 1998, as amended by Order </w:t>
      </w:r>
      <w:r>
        <w:rPr>
          <w:rFonts w:ascii="MIonic" w:hAnsi="MIonic" w:eastAsia="MIonic"/>
          <w:b w:val="0"/>
          <w:i w:val="0"/>
          <w:color w:val="000000"/>
          <w:sz w:val="14"/>
        </w:rPr>
        <w:t xml:space="preserve">No. 2492–2001, 66 FR 37903, July 20, 2001] </w:t>
      </w:r>
    </w:p>
    <w:p>
      <w:pPr>
        <w:autoSpaceDN w:val="0"/>
        <w:tabs>
          <w:tab w:pos="740" w:val="left"/>
        </w:tabs>
        <w:autoSpaceDE w:val="0"/>
        <w:widowControl/>
        <w:spacing w:line="198" w:lineRule="exact" w:before="144" w:after="0"/>
        <w:ind w:left="92" w:right="0" w:firstLine="0"/>
        <w:jc w:val="left"/>
      </w:pPr>
      <w:r>
        <w:rPr>
          <w:rFonts w:ascii="NewCenturySchlbk" w:hAnsi="NewCenturySchlbk" w:eastAsia="NewCenturySchlbk"/>
          <w:b/>
          <w:i w:val="0"/>
          <w:color w:val="000000"/>
          <w:sz w:val="16"/>
        </w:rPr>
        <w:t xml:space="preserve">§ 0.29f </w:t>
      </w:r>
      <w:r>
        <w:rPr>
          <w:rFonts w:ascii="NewCenturySchlbk" w:hAnsi="NewCenturySchlbk" w:eastAsia="NewCenturySchlbk"/>
          <w:b/>
          <w:i w:val="0"/>
          <w:color w:val="000000"/>
          <w:sz w:val="16"/>
        </w:rPr>
        <w:t xml:space="preserve">Confidentiality. </w:t>
      </w:r>
    </w:p>
    <w:p>
      <w:pPr>
        <w:autoSpaceDN w:val="0"/>
        <w:autoSpaceDE w:val="0"/>
        <w:widowControl/>
        <w:spacing w:line="184" w:lineRule="exact" w:before="70" w:after="0"/>
        <w:ind w:left="92" w:right="1008" w:firstLine="160"/>
        <w:jc w:val="left"/>
      </w:pPr>
      <w:r>
        <w:rPr>
          <w:rFonts w:ascii="MIonic" w:hAnsi="MIonic" w:eastAsia="MIonic"/>
          <w:b w:val="0"/>
          <w:i w:val="0"/>
          <w:color w:val="000000"/>
          <w:sz w:val="16"/>
        </w:rPr>
        <w:t>The Inspector General shall not, dur-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ing the pendency of an investigation, 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disclose the identity of an employee 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who submits a complaint to the OIG 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without the employee’s consent, unless 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the Inspector General determines that 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such disclosure is unavoidable in the 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course of the investigation. </w:t>
      </w:r>
    </w:p>
    <w:p>
      <w:pPr>
        <w:autoSpaceDN w:val="0"/>
        <w:tabs>
          <w:tab w:pos="776" w:val="left"/>
        </w:tabs>
        <w:autoSpaceDE w:val="0"/>
        <w:widowControl/>
        <w:spacing w:line="198" w:lineRule="exact" w:before="140" w:after="0"/>
        <w:ind w:left="92" w:right="0" w:firstLine="0"/>
        <w:jc w:val="left"/>
      </w:pPr>
      <w:r>
        <w:rPr>
          <w:rFonts w:ascii="NewCenturySchlbk" w:hAnsi="NewCenturySchlbk" w:eastAsia="NewCenturySchlbk"/>
          <w:b/>
          <w:i w:val="0"/>
          <w:color w:val="000000"/>
          <w:sz w:val="16"/>
        </w:rPr>
        <w:t xml:space="preserve">§ 0.29g </w:t>
      </w:r>
      <w:r>
        <w:rPr>
          <w:rFonts w:ascii="NewCenturySchlbk" w:hAnsi="NewCenturySchlbk" w:eastAsia="NewCenturySchlbk"/>
          <w:b/>
          <w:i w:val="0"/>
          <w:color w:val="000000"/>
          <w:sz w:val="16"/>
        </w:rPr>
        <w:t xml:space="preserve">Reprisals. </w:t>
      </w:r>
    </w:p>
    <w:p>
      <w:pPr>
        <w:autoSpaceDN w:val="0"/>
        <w:autoSpaceDE w:val="0"/>
        <w:widowControl/>
        <w:spacing w:line="182" w:lineRule="exact" w:before="72" w:after="2"/>
        <w:ind w:left="252" w:right="0" w:firstLine="0"/>
        <w:jc w:val="left"/>
      </w:pPr>
      <w:r>
        <w:rPr>
          <w:rFonts w:ascii="MIonic" w:hAnsi="MIonic" w:eastAsia="MIonic"/>
          <w:b w:val="0"/>
          <w:i w:val="0"/>
          <w:color w:val="000000"/>
          <w:sz w:val="16"/>
        </w:rPr>
        <w:t xml:space="preserve">Any employee who has authority to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2.000000000000455" w:type="dxa"/>
      </w:tblPr>
      <w:tblGrid>
        <w:gridCol w:w="1742"/>
        <w:gridCol w:w="1742"/>
        <w:gridCol w:w="1742"/>
        <w:gridCol w:w="1742"/>
        <w:gridCol w:w="1742"/>
        <w:gridCol w:w="1742"/>
      </w:tblGrid>
      <w:tr>
        <w:trPr>
          <w:trHeight w:hRule="exact" w:val="182"/>
        </w:trPr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0" w:after="0"/>
              <w:ind w:left="0" w:right="0" w:firstLine="0"/>
              <w:jc w:val="center"/>
            </w:pP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 xml:space="preserve">take,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0" w:after="0"/>
              <w:ind w:left="0" w:right="0" w:firstLine="0"/>
              <w:jc w:val="center"/>
            </w:pP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 xml:space="preserve">direct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0" w:after="0"/>
              <w:ind w:left="0" w:right="0" w:firstLine="0"/>
              <w:jc w:val="center"/>
            </w:pP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 xml:space="preserve">others 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0" w:after="0"/>
              <w:ind w:left="0" w:right="0" w:firstLine="0"/>
              <w:jc w:val="center"/>
            </w:pP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 xml:space="preserve">to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0" w:after="0"/>
              <w:ind w:left="0" w:right="0" w:firstLine="0"/>
              <w:jc w:val="center"/>
            </w:pP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 xml:space="preserve">take,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0" w:after="0"/>
              <w:ind w:left="76" w:right="0" w:firstLine="0"/>
              <w:jc w:val="left"/>
            </w:pP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>rec-</w:t>
            </w:r>
          </w:p>
        </w:tc>
      </w:tr>
    </w:tbl>
    <w:p>
      <w:pPr>
        <w:autoSpaceDN w:val="0"/>
        <w:autoSpaceDE w:val="0"/>
        <w:widowControl/>
        <w:spacing w:line="184" w:lineRule="exact" w:before="2" w:after="32"/>
        <w:ind w:left="92" w:right="1008" w:firstLine="0"/>
        <w:jc w:val="left"/>
      </w:pPr>
      <w:r>
        <w:rPr>
          <w:rFonts w:ascii="MIonic" w:hAnsi="MIonic" w:eastAsia="MIonic"/>
          <w:b w:val="0"/>
          <w:i w:val="0"/>
          <w:color w:val="000000"/>
          <w:sz w:val="16"/>
        </w:rPr>
        <w:t>ommend, or approve any personnel ac-</w:t>
      </w:r>
      <w:r>
        <w:rPr>
          <w:rFonts w:ascii="MIonic" w:hAnsi="MIonic" w:eastAsia="MIonic"/>
          <w:b w:val="0"/>
          <w:i w:val="0"/>
          <w:color w:val="000000"/>
          <w:sz w:val="16"/>
        </w:rPr>
        <w:t>tion shall not, with respect to such au-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thority, take or threaten to take any </w:t>
      </w:r>
      <w:r>
        <w:rPr>
          <w:rFonts w:ascii="MIonic" w:hAnsi="MIonic" w:eastAsia="MIonic"/>
          <w:b w:val="0"/>
          <w:i w:val="0"/>
          <w:color w:val="000000"/>
          <w:sz w:val="16"/>
        </w:rPr>
        <w:t>action against any employee as a re-</w:t>
      </w:r>
      <w:r>
        <w:rPr>
          <w:rFonts w:ascii="MIonic" w:hAnsi="MIonic" w:eastAsia="MIonic"/>
          <w:b w:val="0"/>
          <w:i w:val="0"/>
          <w:color w:val="000000"/>
          <w:sz w:val="16"/>
        </w:rPr>
        <w:t>prisal for the employee making a com-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plaint or disclosing information to the 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OIG unless the complaint was made or 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the information was disclosed with 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knowledge that it was false or with </w:t>
      </w:r>
      <w:r>
        <w:rPr>
          <w:rFonts w:ascii="MIonic" w:hAnsi="MIonic" w:eastAsia="MIonic"/>
          <w:b w:val="0"/>
          <w:i w:val="0"/>
          <w:color w:val="000000"/>
          <w:sz w:val="16"/>
        </w:rPr>
        <w:t>willful disregard for its truth or fal-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sity. </w:t>
      </w:r>
    </w:p>
    <w:p>
      <w:pPr>
        <w:sectPr>
          <w:type w:val="nextColumn"/>
          <w:pgSz w:w="12240" w:h="15840"/>
          <w:pgMar w:top="1440" w:right="1440" w:bottom="180" w:left="346" w:header="720" w:footer="720" w:gutter="0"/>
          <w:cols w:num="2" w:equalWidth="0">
            <w:col w:w="5801" w:space="0"/>
            <w:col w:w="465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45"/>
        <w:gridCol w:w="1045"/>
        <w:gridCol w:w="1045"/>
        <w:gridCol w:w="1045"/>
        <w:gridCol w:w="1045"/>
        <w:gridCol w:w="1045"/>
        <w:gridCol w:w="1045"/>
        <w:gridCol w:w="1045"/>
        <w:gridCol w:w="1045"/>
        <w:gridCol w:w="1045"/>
      </w:tblGrid>
      <w:tr>
        <w:trPr>
          <w:trHeight w:hRule="exact" w:val="5036"/>
        </w:trPr>
        <w:tc>
          <w:tcPr>
            <w:tcW w:type="dxa" w:w="134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0"/>
              </w:rPr>
              <w:t>rfrederick on PROD1PC67 with CFR</w:t>
            </w:r>
          </w:p>
        </w:tc>
        <w:tc>
          <w:tcPr>
            <w:tcW w:type="dxa" w:w="1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2" w:lineRule="exact" w:before="611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3"/>
              </w:rPr>
              <w:t xml:space="preserve">VerDate Aug&lt;31&gt;2005 </w:t>
            </w:r>
          </w:p>
        </w:tc>
        <w:tc>
          <w:tcPr>
            <w:tcW w:type="dxa" w:w="42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80" w:val="left"/>
              </w:tabs>
              <w:autoSpaceDE w:val="0"/>
              <w:widowControl/>
              <w:spacing w:line="188" w:lineRule="exact" w:before="0" w:after="0"/>
              <w:ind w:left="720" w:right="0" w:firstLine="0"/>
              <w:jc w:val="left"/>
            </w:pP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 xml:space="preserve">the Deputy Attorney General or </w:t>
            </w:r>
            <w:r>
              <w:br/>
            </w:r>
            <w:r>
              <w:tab/>
            </w: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>(ii) Request that the Deputy Attor-</w:t>
            </w: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>ney General determine that such noti-</w:t>
            </w: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 xml:space="preserve">fication would undermine the integrity </w:t>
            </w: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 xml:space="preserve">of the investigation nor jeopardize the </w:t>
            </w: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 xml:space="preserve">interests of the complainant. </w:t>
            </w:r>
          </w:p>
          <w:p>
            <w:pPr>
              <w:autoSpaceDN w:val="0"/>
              <w:autoSpaceDE w:val="0"/>
              <w:widowControl/>
              <w:spacing w:line="188" w:lineRule="exact" w:before="8" w:after="0"/>
              <w:ind w:left="720" w:right="0" w:firstLine="160"/>
              <w:jc w:val="left"/>
            </w:pP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>(7) While an issue of investigative ju-</w:t>
            </w: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>risdiction or assignment is pending be-</w:t>
            </w: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>fore the Deputy Attorney General, nei-</w:t>
            </w: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 xml:space="preserve">ther the OIG DOJ-OPR shall undertake </w:t>
            </w: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>any investigative activity without au-</w:t>
            </w: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 xml:space="preserve">thorization from the Deputy Attorney </w:t>
            </w: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 xml:space="preserve">General. </w:t>
            </w:r>
          </w:p>
          <w:p>
            <w:pPr>
              <w:autoSpaceDN w:val="0"/>
              <w:autoSpaceDE w:val="0"/>
              <w:widowControl/>
              <w:spacing w:line="188" w:lineRule="exact" w:before="8" w:after="0"/>
              <w:ind w:left="720" w:right="0" w:firstLine="160"/>
              <w:jc w:val="left"/>
            </w:pP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 xml:space="preserve">(b) OIG investigations that result in </w:t>
            </w: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>findings of potential criminal mis-</w:t>
            </w: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 xml:space="preserve">conduct or civil liability are referred </w:t>
            </w: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 xml:space="preserve">to the appropriate prosecutorial or </w:t>
            </w: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 xml:space="preserve">litigative office. </w:t>
            </w:r>
          </w:p>
          <w:p>
            <w:pPr>
              <w:autoSpaceDN w:val="0"/>
              <w:autoSpaceDE w:val="0"/>
              <w:widowControl/>
              <w:spacing w:line="188" w:lineRule="exact" w:before="8" w:after="0"/>
              <w:ind w:left="720" w:right="0" w:firstLine="160"/>
              <w:jc w:val="left"/>
            </w:pP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 xml:space="preserve">(c) The OIG advises DOJ-OPR of the </w:t>
            </w: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>existence and results of any investiga-</w:t>
            </w: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>tion that reflects upon the ethics, com-</w:t>
            </w: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 xml:space="preserve">petence, or integrity of a Department </w:t>
            </w: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 xml:space="preserve">attorney for appropriate action by </w:t>
            </w: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 xml:space="preserve">DOJ-OPR. </w:t>
            </w:r>
          </w:p>
          <w:p>
            <w:pPr>
              <w:autoSpaceDN w:val="0"/>
              <w:autoSpaceDE w:val="0"/>
              <w:widowControl/>
              <w:spacing w:line="188" w:lineRule="exact" w:before="8" w:after="0"/>
              <w:ind w:left="720" w:right="0" w:firstLine="160"/>
              <w:jc w:val="left"/>
            </w:pP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 xml:space="preserve">(d) OIG investigations that result in </w:t>
            </w: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 xml:space="preserve">findings of administrative misconduct </w:t>
            </w:r>
          </w:p>
        </w:tc>
        <w:tc>
          <w:tcPr>
            <w:tcW w:type="dxa" w:w="4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00" w:val="left"/>
                <w:tab w:pos="776" w:val="left"/>
              </w:tabs>
              <w:autoSpaceDE w:val="0"/>
              <w:widowControl/>
              <w:spacing w:line="162" w:lineRule="exact" w:before="144" w:after="0"/>
              <w:ind w:left="80" w:right="576" w:firstLine="0"/>
              <w:jc w:val="left"/>
            </w:pPr>
            <w:r>
              <w:rPr>
                <w:rFonts w:ascii="NewCenturySchlbk" w:hAnsi="NewCenturySchlbk" w:eastAsia="NewCenturySchlbk"/>
                <w:b/>
                <w:i w:val="0"/>
                <w:color w:val="000000"/>
                <w:sz w:val="16"/>
              </w:rPr>
              <w:t xml:space="preserve">§ 0.29h </w:t>
            </w:r>
            <w:r>
              <w:tab/>
            </w:r>
            <w:r>
              <w:rPr>
                <w:rFonts w:ascii="NewCenturySchlbk" w:hAnsi="NewCenturySchlbk" w:eastAsia="NewCenturySchlbk"/>
                <w:b/>
                <w:i w:val="0"/>
                <w:color w:val="000000"/>
                <w:sz w:val="16"/>
              </w:rPr>
              <w:t>Specific authorities of the In-</w:t>
            </w:r>
            <w:r>
              <w:tab/>
            </w:r>
            <w:r>
              <w:rPr>
                <w:rFonts w:ascii="NewCenturySchlbk" w:hAnsi="NewCenturySchlbk" w:eastAsia="NewCenturySchlbk"/>
                <w:b/>
                <w:i w:val="0"/>
                <w:color w:val="000000"/>
                <w:sz w:val="16"/>
              </w:rPr>
              <w:t xml:space="preserve">spector General. </w:t>
            </w:r>
          </w:p>
          <w:p>
            <w:pPr>
              <w:autoSpaceDN w:val="0"/>
              <w:tabs>
                <w:tab w:pos="240" w:val="left"/>
              </w:tabs>
              <w:autoSpaceDE w:val="0"/>
              <w:widowControl/>
              <w:spacing w:line="184" w:lineRule="exact" w:before="70" w:after="0"/>
              <w:ind w:left="80" w:right="432" w:firstLine="0"/>
              <w:jc w:val="left"/>
            </w:pPr>
            <w:r>
              <w:tab/>
            </w: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 xml:space="preserve">The Inspector General is authorized </w:t>
            </w: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 xml:space="preserve">to: </w:t>
            </w:r>
            <w:r>
              <w:br/>
            </w:r>
            <w:r>
              <w:tab/>
            </w: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 xml:space="preserve">(a) Conduct investigations and issue </w:t>
            </w: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>reports relating to criminal wrong-</w:t>
            </w: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 xml:space="preserve">doing and administrative misconduct </w:t>
            </w: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>of Department employees and adminis-</w:t>
            </w: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 xml:space="preserve">tration of the programs and operations </w:t>
            </w: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>of the Department as are, in the judg-</w:t>
            </w: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>ment of the Inspector General, nec-</w:t>
            </w: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 xml:space="preserve">essary or desirable; </w:t>
            </w:r>
            <w:r>
              <w:br/>
            </w:r>
            <w:r>
              <w:tab/>
            </w: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>(b) Receive and investigate com-</w:t>
            </w: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>plaints or information from an em-</w:t>
            </w: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 xml:space="preserve">ployee of the Department concerning </w:t>
            </w: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 xml:space="preserve">the possible existence of an activity </w:t>
            </w: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 xml:space="preserve">constituting a violation of law, rules, </w:t>
            </w: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 xml:space="preserve">or regulations, or mismanagement, </w:t>
            </w: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>gross waste of funds, an abuse of au-</w:t>
            </w: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 xml:space="preserve">thority, or a substantial and specific </w:t>
            </w: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 xml:space="preserve">danger to the public health and safety; </w:t>
            </w:r>
            <w:r>
              <w:tab/>
            </w: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 xml:space="preserve">(c) Have direct and prompt access to </w:t>
            </w: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 xml:space="preserve">the Attorney General when necessary </w:t>
            </w: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>for any purpose pertaining to the per-</w:t>
            </w: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>formance of the functions and respon-</w:t>
            </w: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 xml:space="preserve">sibilities of the OIG; </w:t>
            </w:r>
          </w:p>
        </w:tc>
      </w:tr>
      <w:tr>
        <w:trPr>
          <w:trHeight w:hRule="exact" w:val="700"/>
        </w:trPr>
        <w:tc>
          <w:tcPr>
            <w:tcW w:type="dxa" w:w="1045"/>
            <w:vMerge/>
            <w:tcBorders/>
          </w:tcPr>
          <w:p/>
        </w:tc>
        <w:tc>
          <w:tcPr>
            <w:tcW w:type="dxa" w:w="1045"/>
            <w:vMerge/>
            <w:tcBorders/>
          </w:tcPr>
          <w:p/>
        </w:tc>
        <w:tc>
          <w:tcPr>
            <w:tcW w:type="dxa" w:w="830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96" w:after="0"/>
              <w:ind w:left="0" w:right="3934" w:firstLine="0"/>
              <w:jc w:val="right"/>
            </w:pPr>
            <w:r>
              <w:rPr>
                <w:rFonts w:ascii="MIonic" w:hAnsi="MIonic" w:eastAsia="MIonic"/>
                <w:b w:val="0"/>
                <w:i w:val="0"/>
                <w:color w:val="000000"/>
                <w:sz w:val="20"/>
              </w:rPr>
              <w:t xml:space="preserve">21 </w:t>
            </w:r>
          </w:p>
        </w:tc>
      </w:tr>
      <w:tr>
        <w:trPr>
          <w:trHeight w:hRule="exact" w:val="520"/>
        </w:trPr>
        <w:tc>
          <w:tcPr>
            <w:tcW w:type="dxa" w:w="1045"/>
            <w:vMerge/>
            <w:tcBorders/>
          </w:tcPr>
          <w:p/>
        </w:tc>
        <w:tc>
          <w:tcPr>
            <w:tcW w:type="dxa" w:w="1045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2" w:lineRule="exact" w:before="37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3"/>
              </w:rPr>
              <w:t>10:11 Aug 04, 2008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2" w:lineRule="exact" w:before="37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3"/>
              </w:rPr>
              <w:t>Jkt 214106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2" w:lineRule="exact" w:before="37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3"/>
              </w:rPr>
              <w:t>PO 00000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2" w:lineRule="exact" w:before="37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3"/>
              </w:rPr>
              <w:t>Frm 00031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2" w:lineRule="exact" w:before="37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3"/>
              </w:rPr>
              <w:t>Fmt 8010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2" w:lineRule="exact" w:before="37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3"/>
              </w:rPr>
              <w:t>Sfmt 8010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2" w:lineRule="exact" w:before="37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3"/>
              </w:rPr>
              <w:t>Y:\SGML\214106.XXX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2" w:lineRule="exact" w:before="378" w:after="0"/>
              <w:ind w:left="8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3"/>
              </w:rPr>
              <w:t>214106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2240" w:h="15840"/>
          <w:pgMar w:top="1440" w:right="1440" w:bottom="180" w:left="3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</w:tblGrid>
      <w:tr>
        <w:trPr>
          <w:trHeight w:hRule="exact" w:val="304"/>
        </w:trPr>
        <w:tc>
          <w:tcPr>
            <w:tcW w:type="dxa" w:w="134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0"/>
              </w:rPr>
              <w:t>rfrederick on PROD1PC67 with CFR</w:t>
            </w:r>
          </w:p>
        </w:tc>
        <w:tc>
          <w:tcPr>
            <w:tcW w:type="dxa" w:w="1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2" w:lineRule="exact" w:before="1218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3"/>
              </w:rPr>
              <w:t xml:space="preserve">VerDate Aug&lt;31&gt;2005 </w:t>
            </w:r>
          </w:p>
        </w:tc>
        <w:tc>
          <w:tcPr>
            <w:tcW w:type="dxa" w:w="4240"/>
            <w:gridSpan w:val="1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720" w:right="0" w:firstLine="0"/>
              <w:jc w:val="left"/>
            </w:pPr>
            <w:r>
              <w:rPr>
                <w:rFonts w:ascii="AvantGarde" w:hAnsi="AvantGarde" w:eastAsia="AvantGarde"/>
                <w:b w:val="0"/>
                <w:i w:val="0"/>
                <w:color w:val="000000"/>
                <w:sz w:val="18"/>
              </w:rPr>
              <w:t xml:space="preserve">§ 0.29i </w:t>
            </w:r>
          </w:p>
        </w:tc>
        <w:tc>
          <w:tcPr>
            <w:tcW w:type="dxa" w:w="40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966" w:right="0" w:firstLine="0"/>
              <w:jc w:val="left"/>
            </w:pPr>
            <w:r>
              <w:rPr>
                <w:rFonts w:ascii="AvantGarde" w:hAnsi="AvantGarde" w:eastAsia="AvantGarde"/>
                <w:b w:val="0"/>
                <w:i w:val="0"/>
                <w:color w:val="000000"/>
                <w:sz w:val="18"/>
              </w:rPr>
              <w:t xml:space="preserve">28 CFR Ch. I (7–1–08 Edition) </w:t>
            </w:r>
          </w:p>
        </w:tc>
      </w:tr>
      <w:tr>
        <w:trPr>
          <w:trHeight w:hRule="exact" w:val="260"/>
        </w:trPr>
        <w:tc>
          <w:tcPr>
            <w:tcW w:type="dxa" w:w="498"/>
            <w:vMerge/>
            <w:tcBorders/>
          </w:tcPr>
          <w:p/>
        </w:tc>
        <w:tc>
          <w:tcPr>
            <w:tcW w:type="dxa" w:w="498"/>
            <w:vMerge/>
            <w:tcBorders/>
          </w:tcPr>
          <w:p/>
        </w:tc>
        <w:tc>
          <w:tcPr>
            <w:tcW w:type="dxa" w:w="4240"/>
            <w:gridSpan w:val="1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78" w:after="0"/>
              <w:ind w:left="880" w:right="0" w:firstLine="0"/>
              <w:jc w:val="left"/>
            </w:pP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>(d) Have access to all records, re-</w:t>
            </w:r>
          </w:p>
        </w:tc>
        <w:tc>
          <w:tcPr>
            <w:tcW w:type="dxa" w:w="40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78" w:after="0"/>
              <w:ind w:left="80" w:right="0" w:firstLine="0"/>
              <w:jc w:val="left"/>
            </w:pP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>essary in the performance of the func-</w:t>
            </w:r>
          </w:p>
        </w:tc>
      </w:tr>
      <w:tr>
        <w:trPr>
          <w:trHeight w:hRule="exact" w:val="180"/>
        </w:trPr>
        <w:tc>
          <w:tcPr>
            <w:tcW w:type="dxa" w:w="498"/>
            <w:vMerge/>
            <w:tcBorders/>
          </w:tcPr>
          <w:p/>
        </w:tc>
        <w:tc>
          <w:tcPr>
            <w:tcW w:type="dxa" w:w="498"/>
            <w:vMerge/>
            <w:tcBorders/>
          </w:tcPr>
          <w:p/>
        </w:tc>
        <w:tc>
          <w:tcPr>
            <w:tcW w:type="dxa" w:w="4240"/>
            <w:gridSpan w:val="1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0" w:after="0"/>
              <w:ind w:left="720" w:right="0" w:firstLine="0"/>
              <w:jc w:val="left"/>
            </w:pP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>ports, audits, reviews, documents, pa-</w:t>
            </w:r>
          </w:p>
        </w:tc>
        <w:tc>
          <w:tcPr>
            <w:tcW w:type="dxa" w:w="40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0" w:after="0"/>
              <w:ind w:left="80" w:right="0" w:firstLine="0"/>
              <w:jc w:val="left"/>
            </w:pP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 xml:space="preserve">tions of the OIG. </w:t>
            </w:r>
          </w:p>
        </w:tc>
      </w:tr>
      <w:tr>
        <w:trPr>
          <w:trHeight w:hRule="exact" w:val="1080"/>
        </w:trPr>
        <w:tc>
          <w:tcPr>
            <w:tcW w:type="dxa" w:w="498"/>
            <w:vMerge/>
            <w:tcBorders/>
          </w:tcPr>
          <w:p/>
        </w:tc>
        <w:tc>
          <w:tcPr>
            <w:tcW w:type="dxa" w:w="498"/>
            <w:vMerge/>
            <w:tcBorders/>
          </w:tcPr>
          <w:p/>
        </w:tc>
        <w:tc>
          <w:tcPr>
            <w:tcW w:type="dxa" w:w="4240"/>
            <w:gridSpan w:val="1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" w:after="0"/>
              <w:ind w:left="720" w:right="0" w:firstLine="0"/>
              <w:jc w:val="center"/>
            </w:pP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>pers, recommendations, or other mate-</w:t>
            </w: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 xml:space="preserve">rial available to the Department and </w:t>
            </w: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 xml:space="preserve">its components that relate to programs </w:t>
            </w: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 xml:space="preserve">and operations with respect to which </w:t>
            </w: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 xml:space="preserve">the OIG has responsibilities unless the </w:t>
            </w: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>Attorney General notifies the Inspec-</w:t>
            </w:r>
          </w:p>
        </w:tc>
        <w:tc>
          <w:tcPr>
            <w:tcW w:type="dxa" w:w="40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08" w:after="0"/>
              <w:ind w:left="80" w:right="570" w:firstLine="0"/>
              <w:jc w:val="both"/>
            </w:pPr>
            <w:r>
              <w:rPr>
                <w:rFonts w:ascii="MIonic" w:hAnsi="MIonic" w:eastAsia="MIonic"/>
                <w:b w:val="0"/>
                <w:i w:val="0"/>
                <w:color w:val="000000"/>
                <w:sz w:val="14"/>
              </w:rPr>
              <w:t xml:space="preserve">[Order No. 2167–98, 63 FR 36847, July 8, 1998, </w:t>
            </w:r>
            <w:r>
              <w:rPr>
                <w:rFonts w:ascii="MIonic" w:hAnsi="MIonic" w:eastAsia="MIonic"/>
                <w:b w:val="0"/>
                <w:i w:val="0"/>
                <w:color w:val="000000"/>
                <w:sz w:val="14"/>
              </w:rPr>
              <w:t xml:space="preserve">as amended by Order No. 2492–2001, 66 FR </w:t>
            </w:r>
            <w:r>
              <w:rPr>
                <w:rFonts w:ascii="MIonic" w:hAnsi="MIonic" w:eastAsia="MIonic"/>
                <w:b w:val="0"/>
                <w:i w:val="0"/>
                <w:color w:val="000000"/>
                <w:sz w:val="14"/>
              </w:rPr>
              <w:t xml:space="preserve">37903, July 20, 2001] </w:t>
            </w:r>
          </w:p>
          <w:p>
            <w:pPr>
              <w:autoSpaceDN w:val="0"/>
              <w:tabs>
                <w:tab w:pos="400" w:val="left"/>
                <w:tab w:pos="726" w:val="left"/>
              </w:tabs>
              <w:autoSpaceDE w:val="0"/>
              <w:widowControl/>
              <w:spacing w:line="160" w:lineRule="exact" w:before="164" w:after="0"/>
              <w:ind w:left="80" w:right="432" w:firstLine="0"/>
              <w:jc w:val="left"/>
            </w:pPr>
            <w:r>
              <w:rPr>
                <w:rFonts w:ascii="NewCenturySchlbk" w:hAnsi="NewCenturySchlbk" w:eastAsia="NewCenturySchlbk"/>
                <w:b/>
                <w:i w:val="0"/>
                <w:color w:val="000000"/>
                <w:sz w:val="16"/>
              </w:rPr>
              <w:t xml:space="preserve">§ 0.29i </w:t>
            </w:r>
            <w:r>
              <w:tab/>
            </w:r>
            <w:r>
              <w:rPr>
                <w:rFonts w:ascii="NewCenturySchlbk" w:hAnsi="NewCenturySchlbk" w:eastAsia="NewCenturySchlbk"/>
                <w:b/>
                <w:i w:val="0"/>
                <w:color w:val="000000"/>
                <w:sz w:val="16"/>
              </w:rPr>
              <w:t xml:space="preserve">Audit, inspection, and review </w:t>
            </w:r>
            <w:r>
              <w:tab/>
            </w:r>
            <w:r>
              <w:rPr>
                <w:rFonts w:ascii="NewCenturySchlbk" w:hAnsi="NewCenturySchlbk" w:eastAsia="NewCenturySchlbk"/>
                <w:b/>
                <w:i w:val="0"/>
                <w:color w:val="000000"/>
                <w:sz w:val="16"/>
              </w:rPr>
              <w:t xml:space="preserve">authority. </w:t>
            </w:r>
          </w:p>
        </w:tc>
      </w:tr>
      <w:tr>
        <w:trPr>
          <w:trHeight w:hRule="exact" w:val="1260"/>
        </w:trPr>
        <w:tc>
          <w:tcPr>
            <w:tcW w:type="dxa" w:w="498"/>
            <w:vMerge/>
            <w:tcBorders/>
          </w:tcPr>
          <w:p/>
        </w:tc>
        <w:tc>
          <w:tcPr>
            <w:tcW w:type="dxa" w:w="498"/>
            <w:vMerge/>
            <w:tcBorders/>
          </w:tcPr>
          <w:p/>
        </w:tc>
        <w:tc>
          <w:tcPr>
            <w:tcW w:type="dxa" w:w="4240"/>
            <w:gridSpan w:val="1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80" w:val="left"/>
              </w:tabs>
              <w:autoSpaceDE w:val="0"/>
              <w:widowControl/>
              <w:spacing w:line="180" w:lineRule="exact" w:before="2" w:after="0"/>
              <w:ind w:left="720" w:right="0" w:firstLine="0"/>
              <w:jc w:val="left"/>
            </w:pP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>tor General, in writing, that such ac-</w:t>
            </w: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 xml:space="preserve">cess shall not be available because it is </w:t>
            </w: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 xml:space="preserve">necessary to prevent the disclosure of </w:t>
            </w:r>
            <w:r>
              <w:tab/>
            </w: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 xml:space="preserve">(1) Sensitive information concerning </w:t>
            </w: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>ongoing civil or criminal investiga-</w:t>
            </w: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 xml:space="preserve">tions or proceedings; </w:t>
            </w:r>
            <w:r>
              <w:br/>
            </w:r>
            <w:r>
              <w:tab/>
            </w: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 xml:space="preserve">(2) Undercover operations; </w:t>
            </w:r>
          </w:p>
        </w:tc>
        <w:tc>
          <w:tcPr>
            <w:tcW w:type="dxa" w:w="40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8" w:after="0"/>
              <w:ind w:left="80" w:right="432" w:firstLine="160"/>
              <w:jc w:val="left"/>
            </w:pP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>The OIG is authorized to perform au-</w:t>
            </w: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 xml:space="preserve">dits, inspections, and reviews of the </w:t>
            </w: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>programs and operations of the Depart-</w:t>
            </w: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>ment of Justice and of entities con-</w:t>
            </w: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 xml:space="preserve">tracting with or obtaining benefits </w:t>
            </w: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 xml:space="preserve">from the Department. </w:t>
            </w:r>
          </w:p>
        </w:tc>
      </w:tr>
      <w:tr>
        <w:trPr>
          <w:trHeight w:hRule="exact" w:val="180"/>
        </w:trPr>
        <w:tc>
          <w:tcPr>
            <w:tcW w:type="dxa" w:w="498"/>
            <w:vMerge/>
            <w:tcBorders/>
          </w:tcPr>
          <w:p/>
        </w:tc>
        <w:tc>
          <w:tcPr>
            <w:tcW w:type="dxa" w:w="498"/>
            <w:vMerge/>
            <w:tcBorders/>
          </w:tcPr>
          <w:p/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0" w:after="0"/>
              <w:ind w:left="0" w:right="80" w:firstLine="0"/>
              <w:jc w:val="right"/>
            </w:pP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 xml:space="preserve">(3) </w:t>
            </w:r>
          </w:p>
        </w:tc>
        <w:tc>
          <w:tcPr>
            <w:tcW w:type="dxa" w:w="51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0" w:after="0"/>
              <w:ind w:left="0" w:right="0" w:firstLine="0"/>
              <w:jc w:val="center"/>
            </w:pP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 xml:space="preserve">The </w:t>
            </w:r>
          </w:p>
        </w:tc>
        <w:tc>
          <w:tcPr>
            <w:tcW w:type="dxa" w:w="88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0" w:after="0"/>
              <w:ind w:left="0" w:right="0" w:firstLine="0"/>
              <w:jc w:val="center"/>
            </w:pP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 xml:space="preserve">identity </w:t>
            </w:r>
          </w:p>
        </w:tc>
        <w:tc>
          <w:tcPr>
            <w:tcW w:type="dxa" w:w="36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0" w:after="0"/>
              <w:ind w:left="0" w:right="0" w:firstLine="0"/>
              <w:jc w:val="center"/>
            </w:pP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 xml:space="preserve">of </w:t>
            </w:r>
          </w:p>
        </w:tc>
        <w:tc>
          <w:tcPr>
            <w:tcW w:type="dxa" w:w="125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0" w:after="0"/>
              <w:ind w:left="0" w:right="0" w:firstLine="0"/>
              <w:jc w:val="center"/>
            </w:pP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 xml:space="preserve">confidential </w:t>
            </w:r>
          </w:p>
        </w:tc>
        <w:tc>
          <w:tcPr>
            <w:tcW w:type="dxa" w:w="64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0" w:right="0" w:firstLine="0"/>
              <w:jc w:val="center"/>
            </w:pPr>
            <w:r>
              <w:rPr>
                <w:rFonts w:ascii="NewCenturySchlbk" w:hAnsi="NewCenturySchlbk" w:eastAsia="NewCenturySchlbk"/>
                <w:b/>
                <w:i w:val="0"/>
                <w:color w:val="000000"/>
                <w:sz w:val="16"/>
              </w:rPr>
              <w:t>§ 0.29j</w:t>
            </w:r>
          </w:p>
        </w:tc>
        <w:tc>
          <w:tcPr>
            <w:tcW w:type="dxa" w:w="341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80" w:right="0" w:firstLine="0"/>
              <w:jc w:val="left"/>
            </w:pPr>
            <w:r>
              <w:rPr>
                <w:rFonts w:ascii="NewCenturySchlbk" w:hAnsi="NewCenturySchlbk" w:eastAsia="NewCenturySchlbk"/>
                <w:b/>
                <w:i w:val="0"/>
                <w:color w:val="000000"/>
                <w:sz w:val="16"/>
              </w:rPr>
              <w:t xml:space="preserve">Law enforcement authority. </w:t>
            </w:r>
          </w:p>
        </w:tc>
      </w:tr>
      <w:tr>
        <w:trPr>
          <w:trHeight w:hRule="exact" w:val="180"/>
        </w:trPr>
        <w:tc>
          <w:tcPr>
            <w:tcW w:type="dxa" w:w="498"/>
            <w:vMerge/>
            <w:tcBorders/>
          </w:tcPr>
          <w:p/>
        </w:tc>
        <w:tc>
          <w:tcPr>
            <w:tcW w:type="dxa" w:w="498"/>
            <w:vMerge/>
            <w:tcBorders/>
          </w:tcPr>
          <w:p/>
        </w:tc>
        <w:tc>
          <w:tcPr>
            <w:tcW w:type="dxa" w:w="4240"/>
            <w:gridSpan w:val="1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0" w:after="0"/>
              <w:ind w:left="720" w:right="0" w:firstLine="0"/>
              <w:jc w:val="left"/>
            </w:pP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 xml:space="preserve">sources, including protected witnesses; </w:t>
            </w:r>
          </w:p>
        </w:tc>
        <w:tc>
          <w:tcPr>
            <w:tcW w:type="dxa" w:w="406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40" w:val="left"/>
              </w:tabs>
              <w:autoSpaceDE w:val="0"/>
              <w:widowControl/>
              <w:spacing w:line="180" w:lineRule="exact" w:before="64" w:after="0"/>
              <w:ind w:left="80" w:right="432" w:firstLine="0"/>
              <w:jc w:val="left"/>
            </w:pPr>
            <w:r>
              <w:tab/>
            </w: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 xml:space="preserve">Subject to guidelines promulgated by </w:t>
            </w: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 xml:space="preserve">the Attorney General, Special Agents </w:t>
            </w: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 xml:space="preserve">of the Office of the Inspector General </w:t>
            </w: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 xml:space="preserve">are authorized to: </w:t>
            </w:r>
            <w:r>
              <w:br/>
            </w:r>
            <w:r>
              <w:tab/>
            </w: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>(a) Detect and assist in the prosecu-</w:t>
            </w: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 xml:space="preserve">tion of crimes in violation of the laws </w:t>
            </w: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 xml:space="preserve">of the United States and to conduct </w:t>
            </w: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 xml:space="preserve">such other investigations regarding </w:t>
            </w: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>matters that are within the jurisdic-</w:t>
            </w: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 xml:space="preserve">tion of the Inspector General; </w:t>
            </w:r>
            <w:r>
              <w:br/>
            </w:r>
            <w:r>
              <w:tab/>
            </w: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>(b) Serve legal writs, summons, com-</w:t>
            </w: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 xml:space="preserve">plaints, and subpoenas issued by the </w:t>
            </w: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 xml:space="preserve">Inspector General or by a Federal </w:t>
            </w: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 xml:space="preserve">grand jury; </w:t>
            </w:r>
            <w:r>
              <w:br/>
            </w:r>
            <w:r>
              <w:tab/>
            </w: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 xml:space="preserve">(c) Receive, transport, and provide </w:t>
            </w: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>safekeeping of arrestees and other per-</w:t>
            </w: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 xml:space="preserve">sons in the custody of the Attorney </w:t>
            </w: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 xml:space="preserve">General or detained aliens; </w:t>
            </w:r>
            <w:r>
              <w:br/>
            </w:r>
            <w:r>
              <w:tab/>
            </w: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>(d) Arrest without warrant any per-</w:t>
            </w: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 xml:space="preserve">son for an offense against the United </w:t>
            </w: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 xml:space="preserve">States committed in the presence of </w:t>
            </w: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 xml:space="preserve">the Special Agent or whom the Special </w:t>
            </w: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>Agent has reasonable grounds to be-</w:t>
            </w: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 xml:space="preserve">lieve has committed or is committing a </w:t>
            </w: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 xml:space="preserve">felony cognizable under the laws of the </w:t>
            </w: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 xml:space="preserve">United States; </w:t>
            </w:r>
            <w:r>
              <w:br/>
            </w:r>
            <w:r>
              <w:tab/>
            </w: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>(e) Seek and execute search and ar-</w:t>
            </w: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 xml:space="preserve">rest warrants; </w:t>
            </w:r>
            <w:r>
              <w:br/>
            </w:r>
            <w:r>
              <w:tab/>
            </w: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 xml:space="preserve">(f) Carry firearms while on-duty; and </w:t>
            </w:r>
            <w:r>
              <w:tab/>
            </w: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 xml:space="preserve">(g) Carry firearms while off-duty as </w:t>
            </w: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 xml:space="preserve">authorized by the Inspector General. </w:t>
            </w:r>
          </w:p>
          <w:p>
            <w:pPr>
              <w:autoSpaceDN w:val="0"/>
              <w:autoSpaceDE w:val="0"/>
              <w:widowControl/>
              <w:spacing w:line="160" w:lineRule="exact" w:before="96" w:after="0"/>
              <w:ind w:left="80" w:right="432" w:firstLine="0"/>
              <w:jc w:val="left"/>
            </w:pPr>
            <w:r>
              <w:rPr>
                <w:rFonts w:ascii="MIonic" w:hAnsi="MIonic" w:eastAsia="MIonic"/>
                <w:b w:val="0"/>
                <w:i w:val="0"/>
                <w:color w:val="000000"/>
                <w:sz w:val="14"/>
              </w:rPr>
              <w:t xml:space="preserve">[Order No. 2835–2006, 71 FR 54413, Sept. 15, </w:t>
            </w:r>
            <w:r>
              <w:rPr>
                <w:rFonts w:ascii="MIonic" w:hAnsi="MIonic" w:eastAsia="MIonic"/>
                <w:b w:val="0"/>
                <w:i w:val="0"/>
                <w:color w:val="000000"/>
                <w:sz w:val="14"/>
              </w:rPr>
              <w:t xml:space="preserve">2006] </w:t>
            </w:r>
          </w:p>
        </w:tc>
      </w:tr>
      <w:tr>
        <w:trPr>
          <w:trHeight w:hRule="exact" w:val="180"/>
        </w:trPr>
        <w:tc>
          <w:tcPr>
            <w:tcW w:type="dxa" w:w="498"/>
            <w:vMerge/>
            <w:tcBorders/>
          </w:tcPr>
          <w:p/>
        </w:tc>
        <w:tc>
          <w:tcPr>
            <w:tcW w:type="dxa" w:w="498"/>
            <w:vMerge/>
            <w:tcBorders/>
          </w:tcPr>
          <w:p/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0" w:after="0"/>
              <w:ind w:left="0" w:right="80" w:firstLine="0"/>
              <w:jc w:val="right"/>
            </w:pP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 xml:space="preserve">(4) </w:t>
            </w:r>
          </w:p>
        </w:tc>
        <w:tc>
          <w:tcPr>
            <w:tcW w:type="dxa" w:w="1248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0" w:after="0"/>
              <w:ind w:left="0" w:right="0" w:firstLine="0"/>
              <w:jc w:val="center"/>
            </w:pP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 xml:space="preserve">Intelligence </w:t>
            </w:r>
          </w:p>
        </w:tc>
        <w:tc>
          <w:tcPr>
            <w:tcW w:type="dxa" w:w="40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0" w:after="0"/>
              <w:ind w:left="0" w:right="0" w:firstLine="0"/>
              <w:jc w:val="center"/>
            </w:pP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 xml:space="preserve">or </w:t>
            </w:r>
          </w:p>
        </w:tc>
        <w:tc>
          <w:tcPr>
            <w:tcW w:type="dxa" w:w="1364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0" w:after="0"/>
              <w:ind w:left="0" w:right="0" w:firstLine="0"/>
              <w:jc w:val="center"/>
            </w:pP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>counterintel-</w:t>
            </w:r>
          </w:p>
        </w:tc>
        <w:tc>
          <w:tcPr>
            <w:tcW w:type="dxa" w:w="2490"/>
            <w:gridSpan w:val="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498"/>
            <w:vMerge/>
            <w:tcBorders/>
          </w:tcPr>
          <w:p/>
        </w:tc>
        <w:tc>
          <w:tcPr>
            <w:tcW w:type="dxa" w:w="498"/>
            <w:vMerge/>
            <w:tcBorders/>
          </w:tcPr>
          <w:p/>
        </w:tc>
        <w:tc>
          <w:tcPr>
            <w:tcW w:type="dxa" w:w="4240"/>
            <w:gridSpan w:val="1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80" w:val="left"/>
              </w:tabs>
              <w:autoSpaceDE w:val="0"/>
              <w:widowControl/>
              <w:spacing w:line="180" w:lineRule="exact" w:before="2" w:after="0"/>
              <w:ind w:left="720" w:right="0" w:firstLine="0"/>
              <w:jc w:val="left"/>
            </w:pP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 xml:space="preserve">ligence matters; or </w:t>
            </w:r>
            <w:r>
              <w:br/>
            </w:r>
            <w:r>
              <w:tab/>
            </w: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 xml:space="preserve">(5) Other matters the disclosure of </w:t>
            </w:r>
          </w:p>
        </w:tc>
        <w:tc>
          <w:tcPr>
            <w:tcW w:type="dxa" w:w="2490"/>
            <w:gridSpan w:val="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498"/>
            <w:vMerge/>
            <w:tcBorders/>
          </w:tcPr>
          <w:p/>
        </w:tc>
        <w:tc>
          <w:tcPr>
            <w:tcW w:type="dxa" w:w="498"/>
            <w:vMerge/>
            <w:tcBorders/>
          </w:tcPr>
          <w:p/>
        </w:tc>
        <w:tc>
          <w:tcPr>
            <w:tcW w:type="dxa" w:w="134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0" w:after="0"/>
              <w:ind w:left="0" w:right="72" w:firstLine="0"/>
              <w:jc w:val="right"/>
            </w:pP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 xml:space="preserve">which </w:t>
            </w:r>
          </w:p>
        </w:tc>
        <w:tc>
          <w:tcPr>
            <w:tcW w:type="dxa" w:w="70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0" w:after="0"/>
              <w:ind w:left="0" w:right="0" w:firstLine="0"/>
              <w:jc w:val="center"/>
            </w:pP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 xml:space="preserve">would </w:t>
            </w:r>
          </w:p>
        </w:tc>
        <w:tc>
          <w:tcPr>
            <w:tcW w:type="dxa" w:w="10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0" w:after="0"/>
              <w:ind w:left="0" w:right="0" w:firstLine="0"/>
              <w:jc w:val="center"/>
            </w:pP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 xml:space="preserve">constitute </w:t>
            </w:r>
          </w:p>
        </w:tc>
        <w:tc>
          <w:tcPr>
            <w:tcW w:type="dxa" w:w="29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0" w:after="0"/>
              <w:ind w:left="0" w:right="0" w:firstLine="0"/>
              <w:jc w:val="center"/>
            </w:pP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 xml:space="preserve">a </w:t>
            </w:r>
          </w:p>
        </w:tc>
        <w:tc>
          <w:tcPr>
            <w:tcW w:type="dxa" w:w="83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0" w:after="0"/>
              <w:ind w:left="0" w:right="0" w:firstLine="0"/>
              <w:jc w:val="center"/>
            </w:pP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 xml:space="preserve">serious </w:t>
            </w:r>
          </w:p>
        </w:tc>
        <w:tc>
          <w:tcPr>
            <w:tcW w:type="dxa" w:w="2490"/>
            <w:gridSpan w:val="5"/>
            <w:vMerge/>
            <w:tcBorders/>
          </w:tcPr>
          <w:p/>
        </w:tc>
      </w:tr>
      <w:tr>
        <w:trPr>
          <w:trHeight w:hRule="exact" w:val="5220"/>
        </w:trPr>
        <w:tc>
          <w:tcPr>
            <w:tcW w:type="dxa" w:w="498"/>
            <w:vMerge/>
            <w:tcBorders/>
          </w:tcPr>
          <w:p/>
        </w:tc>
        <w:tc>
          <w:tcPr>
            <w:tcW w:type="dxa" w:w="498"/>
            <w:vMerge/>
            <w:tcBorders/>
          </w:tcPr>
          <w:p/>
        </w:tc>
        <w:tc>
          <w:tcPr>
            <w:tcW w:type="dxa" w:w="4240"/>
            <w:gridSpan w:val="1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80" w:val="left"/>
              </w:tabs>
              <w:autoSpaceDE w:val="0"/>
              <w:widowControl/>
              <w:spacing w:line="180" w:lineRule="exact" w:before="2" w:after="0"/>
              <w:ind w:left="720" w:right="0" w:firstLine="0"/>
              <w:jc w:val="left"/>
            </w:pP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>threat to national security or signifi-</w:t>
            </w: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 xml:space="preserve">cantly impair the national interests of </w:t>
            </w: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 xml:space="preserve">the United States; </w:t>
            </w:r>
            <w:r>
              <w:br/>
            </w:r>
            <w:r>
              <w:tab/>
            </w: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>(e) Request such information or as-</w:t>
            </w: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>sistance as may be necessary for car-</w:t>
            </w: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>rying out the duties and responsibil-</w:t>
            </w: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 xml:space="preserve">ities of the OIG from any office, board, </w:t>
            </w: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>division, or component of the Depart-</w:t>
            </w: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 xml:space="preserve">ment, and any Federal, State, or local </w:t>
            </w: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 xml:space="preserve">governmental agency or unit thereof; </w:t>
            </w:r>
            <w:r>
              <w:tab/>
            </w: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 xml:space="preserve">(f) Issue subpoenas to individuals, </w:t>
            </w: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>and entities, other than Federal gov-</w:t>
            </w: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 xml:space="preserve">ernment agencies, for the production of </w:t>
            </w: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 xml:space="preserve">information, records, data, and other </w:t>
            </w: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 xml:space="preserve">documentary evidence necessary to </w:t>
            </w: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 xml:space="preserve">carry out the functions of the OIG; </w:t>
            </w:r>
            <w:r>
              <w:br/>
            </w:r>
            <w:r>
              <w:tab/>
            </w: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 xml:space="preserve">(g) Obtain information from Federal </w:t>
            </w: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 xml:space="preserve">government agencies by means other </w:t>
            </w: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 xml:space="preserve">than subpoena and advise the head of </w:t>
            </w: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 xml:space="preserve">such agency whenever information is </w:t>
            </w: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 xml:space="preserve">unreasonably refused or not provided; </w:t>
            </w:r>
            <w:r>
              <w:tab/>
            </w: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 xml:space="preserve">(h) Select, appoint, and employ such </w:t>
            </w: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>officers and employees as may be nec-</w:t>
            </w: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 xml:space="preserve">essary for carrying out the functions, </w:t>
            </w: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 xml:space="preserve">powers, and duties of the OIG; </w:t>
            </w:r>
            <w:r>
              <w:br/>
            </w:r>
            <w:r>
              <w:tab/>
            </w: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 xml:space="preserve">(i) Employ on a temporary basis such </w:t>
            </w: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>experts and consultants as may be nec-</w:t>
            </w: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 xml:space="preserve">essary to carry out the duties of the </w:t>
            </w: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 xml:space="preserve">OIG; </w:t>
            </w:r>
          </w:p>
        </w:tc>
        <w:tc>
          <w:tcPr>
            <w:tcW w:type="dxa" w:w="2490"/>
            <w:gridSpan w:val="5"/>
            <w:vMerge/>
            <w:tcBorders/>
          </w:tcPr>
          <w:p/>
        </w:tc>
      </w:tr>
      <w:tr>
        <w:trPr>
          <w:trHeight w:hRule="exact" w:val="540"/>
        </w:trPr>
        <w:tc>
          <w:tcPr>
            <w:tcW w:type="dxa" w:w="498"/>
            <w:vMerge/>
            <w:tcBorders/>
          </w:tcPr>
          <w:p/>
        </w:tc>
        <w:tc>
          <w:tcPr>
            <w:tcW w:type="dxa" w:w="498"/>
            <w:vMerge/>
            <w:tcBorders/>
          </w:tcPr>
          <w:p/>
        </w:tc>
        <w:tc>
          <w:tcPr>
            <w:tcW w:type="dxa" w:w="4240"/>
            <w:gridSpan w:val="1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" w:after="0"/>
              <w:ind w:left="720" w:right="106" w:firstLine="160"/>
              <w:jc w:val="both"/>
            </w:pP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>(j) Enter into contracts and other ar-</w:t>
            </w: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>rangements for audits, studies, anal-</w:t>
            </w: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 xml:space="preserve">yses, and other services with public </w:t>
            </w:r>
          </w:p>
        </w:tc>
        <w:tc>
          <w:tcPr>
            <w:tcW w:type="dxa" w:w="40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40" w:after="0"/>
              <w:ind w:left="144" w:right="576" w:firstLine="0"/>
              <w:jc w:val="center"/>
            </w:pPr>
            <w:r>
              <w:rPr>
                <w:rFonts w:ascii="AvantGarde" w:hAnsi="AvantGarde" w:eastAsia="AvantGarde"/>
                <w:b w:val="0"/>
                <w:i w:val="0"/>
                <w:color w:val="000000"/>
                <w:sz w:val="20"/>
              </w:rPr>
              <w:t xml:space="preserve">Subpart F—Community Relations </w:t>
            </w:r>
            <w:r>
              <w:rPr>
                <w:rFonts w:ascii="AvantGarde" w:hAnsi="AvantGarde" w:eastAsia="AvantGarde"/>
                <w:b w:val="0"/>
                <w:i w:val="0"/>
                <w:color w:val="000000"/>
                <w:sz w:val="20"/>
              </w:rPr>
              <w:t xml:space="preserve">Service </w:t>
            </w:r>
          </w:p>
        </w:tc>
      </w:tr>
      <w:tr>
        <w:trPr>
          <w:trHeight w:hRule="exact" w:val="180"/>
        </w:trPr>
        <w:tc>
          <w:tcPr>
            <w:tcW w:type="dxa" w:w="498"/>
            <w:vMerge/>
            <w:tcBorders/>
          </w:tcPr>
          <w:p/>
        </w:tc>
        <w:tc>
          <w:tcPr>
            <w:tcW w:type="dxa" w:w="498"/>
            <w:vMerge/>
            <w:tcBorders/>
          </w:tcPr>
          <w:p/>
        </w:tc>
        <w:tc>
          <w:tcPr>
            <w:tcW w:type="dxa" w:w="4240"/>
            <w:gridSpan w:val="1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0" w:after="0"/>
              <w:ind w:left="720" w:right="0" w:firstLine="0"/>
              <w:jc w:val="left"/>
            </w:pP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 xml:space="preserve">agencies and with private persons, and </w:t>
            </w:r>
          </w:p>
        </w:tc>
        <w:tc>
          <w:tcPr>
            <w:tcW w:type="dxa" w:w="58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18" w:after="0"/>
              <w:ind w:left="0" w:right="0" w:firstLine="0"/>
              <w:jc w:val="center"/>
            </w:pPr>
            <w:r>
              <w:rPr>
                <w:rFonts w:ascii="NewCenturySchlbk" w:hAnsi="NewCenturySchlbk" w:eastAsia="NewCenturySchlbk"/>
                <w:b/>
                <w:i w:val="0"/>
                <w:color w:val="000000"/>
                <w:sz w:val="16"/>
              </w:rPr>
              <w:t>§ 0.30</w:t>
            </w:r>
          </w:p>
        </w:tc>
        <w:tc>
          <w:tcPr>
            <w:tcW w:type="dxa" w:w="3474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18" w:after="0"/>
              <w:ind w:left="80" w:right="0" w:firstLine="0"/>
              <w:jc w:val="left"/>
            </w:pPr>
            <w:r>
              <w:rPr>
                <w:rFonts w:ascii="NewCenturySchlbk" w:hAnsi="NewCenturySchlbk" w:eastAsia="NewCenturySchlbk"/>
                <w:b/>
                <w:i w:val="0"/>
                <w:color w:val="000000"/>
                <w:sz w:val="16"/>
              </w:rPr>
              <w:t xml:space="preserve">General functions. </w:t>
            </w:r>
          </w:p>
        </w:tc>
      </w:tr>
      <w:tr>
        <w:trPr>
          <w:trHeight w:hRule="exact" w:val="180"/>
        </w:trPr>
        <w:tc>
          <w:tcPr>
            <w:tcW w:type="dxa" w:w="498"/>
            <w:vMerge/>
            <w:tcBorders/>
          </w:tcPr>
          <w:p/>
        </w:tc>
        <w:tc>
          <w:tcPr>
            <w:tcW w:type="dxa" w:w="498"/>
            <w:vMerge/>
            <w:tcBorders/>
          </w:tcPr>
          <w:p/>
        </w:tc>
        <w:tc>
          <w:tcPr>
            <w:tcW w:type="dxa" w:w="4240"/>
            <w:gridSpan w:val="1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0" w:after="0"/>
              <w:ind w:left="720" w:right="0" w:firstLine="0"/>
              <w:jc w:val="left"/>
            </w:pP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>to make such payments as may be nec-</w:t>
            </w:r>
          </w:p>
        </w:tc>
        <w:tc>
          <w:tcPr>
            <w:tcW w:type="dxa" w:w="498"/>
            <w:vMerge/>
            <w:tcBorders/>
          </w:tcPr>
          <w:p/>
        </w:tc>
        <w:tc>
          <w:tcPr>
            <w:tcW w:type="dxa" w:w="1992"/>
            <w:gridSpan w:val="4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498"/>
            <w:vMerge/>
            <w:tcBorders/>
          </w:tcPr>
          <w:p/>
        </w:tc>
        <w:tc>
          <w:tcPr>
            <w:tcW w:type="dxa" w:w="498"/>
            <w:vMerge/>
            <w:tcBorders/>
          </w:tcPr>
          <w:p/>
        </w:tc>
        <w:tc>
          <w:tcPr>
            <w:tcW w:type="dxa" w:w="4240"/>
            <w:gridSpan w:val="1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0" w:after="0"/>
              <w:ind w:left="720" w:right="0" w:firstLine="0"/>
              <w:jc w:val="left"/>
            </w:pP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 xml:space="preserve">essary to carry out the duties of the </w:t>
            </w:r>
          </w:p>
        </w:tc>
        <w:tc>
          <w:tcPr>
            <w:tcW w:type="dxa" w:w="40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0" w:after="0"/>
              <w:ind w:left="240" w:right="0" w:firstLine="0"/>
              <w:jc w:val="left"/>
            </w:pP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 xml:space="preserve">The following-described matters are </w:t>
            </w:r>
          </w:p>
        </w:tc>
      </w:tr>
      <w:tr>
        <w:trPr>
          <w:trHeight w:hRule="exact" w:val="180"/>
        </w:trPr>
        <w:tc>
          <w:tcPr>
            <w:tcW w:type="dxa" w:w="498"/>
            <w:vMerge/>
            <w:tcBorders/>
          </w:tcPr>
          <w:p/>
        </w:tc>
        <w:tc>
          <w:tcPr>
            <w:tcW w:type="dxa" w:w="498"/>
            <w:vMerge/>
            <w:tcBorders/>
          </w:tcPr>
          <w:p/>
        </w:tc>
        <w:tc>
          <w:tcPr>
            <w:tcW w:type="dxa" w:w="4240"/>
            <w:gridSpan w:val="1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0" w:after="0"/>
              <w:ind w:left="720" w:right="0" w:firstLine="0"/>
              <w:jc w:val="left"/>
            </w:pP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 xml:space="preserve">OIG; </w:t>
            </w:r>
          </w:p>
        </w:tc>
        <w:tc>
          <w:tcPr>
            <w:tcW w:type="dxa" w:w="40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0" w:after="0"/>
              <w:ind w:left="80" w:right="0" w:firstLine="0"/>
              <w:jc w:val="left"/>
            </w:pP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 xml:space="preserve">assigned to, and shall be conducted, </w:t>
            </w:r>
          </w:p>
        </w:tc>
      </w:tr>
      <w:tr>
        <w:trPr>
          <w:trHeight w:hRule="exact" w:val="180"/>
        </w:trPr>
        <w:tc>
          <w:tcPr>
            <w:tcW w:type="dxa" w:w="498"/>
            <w:vMerge/>
            <w:tcBorders/>
          </w:tcPr>
          <w:p/>
        </w:tc>
        <w:tc>
          <w:tcPr>
            <w:tcW w:type="dxa" w:w="498"/>
            <w:vMerge/>
            <w:tcBorders/>
          </w:tcPr>
          <w:p/>
        </w:tc>
        <w:tc>
          <w:tcPr>
            <w:tcW w:type="dxa" w:w="4240"/>
            <w:gridSpan w:val="1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0" w:after="0"/>
              <w:ind w:left="880" w:right="0" w:firstLine="0"/>
              <w:jc w:val="left"/>
            </w:pP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>(k) Take from any person an oath, af-</w:t>
            </w:r>
          </w:p>
        </w:tc>
        <w:tc>
          <w:tcPr>
            <w:tcW w:type="dxa" w:w="40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0" w:after="0"/>
              <w:ind w:left="80" w:right="0" w:firstLine="0"/>
              <w:jc w:val="left"/>
            </w:pP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 xml:space="preserve">handled, or supervised by, the Director </w:t>
            </w:r>
          </w:p>
        </w:tc>
      </w:tr>
      <w:tr>
        <w:trPr>
          <w:trHeight w:hRule="exact" w:val="280"/>
        </w:trPr>
        <w:tc>
          <w:tcPr>
            <w:tcW w:type="dxa" w:w="498"/>
            <w:vMerge/>
            <w:tcBorders/>
          </w:tcPr>
          <w:p/>
        </w:tc>
        <w:tc>
          <w:tcPr>
            <w:tcW w:type="dxa" w:w="498"/>
            <w:vMerge/>
            <w:tcBorders/>
          </w:tcPr>
          <w:p/>
        </w:tc>
        <w:tc>
          <w:tcPr>
            <w:tcW w:type="dxa" w:w="4240"/>
            <w:gridSpan w:val="1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2" w:after="0"/>
              <w:ind w:left="720" w:right="0" w:firstLine="0"/>
              <w:jc w:val="left"/>
            </w:pP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>firmation, or affidavit whenever nec-</w:t>
            </w:r>
          </w:p>
        </w:tc>
        <w:tc>
          <w:tcPr>
            <w:tcW w:type="dxa" w:w="40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2" w:after="0"/>
              <w:ind w:left="80" w:right="0" w:firstLine="0"/>
              <w:jc w:val="left"/>
            </w:pPr>
            <w:r>
              <w:rPr>
                <w:rFonts w:ascii="MIonic" w:hAnsi="MIonic" w:eastAsia="MIonic"/>
                <w:b w:val="0"/>
                <w:i w:val="0"/>
                <w:color w:val="000000"/>
                <w:sz w:val="16"/>
              </w:rPr>
              <w:t xml:space="preserve">of the Community Relations Service: </w:t>
            </w:r>
          </w:p>
        </w:tc>
      </w:tr>
      <w:tr>
        <w:trPr>
          <w:trHeight w:hRule="exact" w:val="700"/>
        </w:trPr>
        <w:tc>
          <w:tcPr>
            <w:tcW w:type="dxa" w:w="498"/>
            <w:vMerge/>
            <w:tcBorders/>
          </w:tcPr>
          <w:p/>
        </w:tc>
        <w:tc>
          <w:tcPr>
            <w:tcW w:type="dxa" w:w="498"/>
            <w:vMerge/>
            <w:tcBorders/>
          </w:tcPr>
          <w:p/>
        </w:tc>
        <w:tc>
          <w:tcPr>
            <w:tcW w:type="dxa" w:w="8300"/>
            <w:gridSpan w:val="1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96" w:after="0"/>
              <w:ind w:left="0" w:right="3934" w:firstLine="0"/>
              <w:jc w:val="right"/>
            </w:pPr>
            <w:r>
              <w:rPr>
                <w:rFonts w:ascii="MIonic" w:hAnsi="MIonic" w:eastAsia="MIonic"/>
                <w:b w:val="0"/>
                <w:i w:val="0"/>
                <w:color w:val="000000"/>
                <w:sz w:val="20"/>
              </w:rPr>
              <w:t xml:space="preserve">22 </w:t>
            </w:r>
          </w:p>
        </w:tc>
      </w:tr>
      <w:tr>
        <w:trPr>
          <w:trHeight w:hRule="exact" w:val="520"/>
        </w:trPr>
        <w:tc>
          <w:tcPr>
            <w:tcW w:type="dxa" w:w="498"/>
            <w:vMerge/>
            <w:tcBorders/>
          </w:tcPr>
          <w:p/>
        </w:tc>
        <w:tc>
          <w:tcPr>
            <w:tcW w:type="dxa" w:w="498"/>
            <w:vMerge/>
            <w:tcBorders/>
          </w:tcPr>
          <w:p/>
        </w:tc>
        <w:tc>
          <w:tcPr>
            <w:tcW w:type="dxa" w:w="129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2" w:lineRule="exact" w:before="37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3"/>
              </w:rPr>
              <w:t>10:11 Aug 04, 2008</w:t>
            </w:r>
          </w:p>
        </w:tc>
        <w:tc>
          <w:tcPr>
            <w:tcW w:type="dxa" w:w="76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2" w:lineRule="exact" w:before="37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3"/>
              </w:rPr>
              <w:t>Jkt 214106</w:t>
            </w:r>
          </w:p>
        </w:tc>
        <w:tc>
          <w:tcPr>
            <w:tcW w:type="dxa" w:w="73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2" w:lineRule="exact" w:before="37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3"/>
              </w:rPr>
              <w:t>PO 00000</w:t>
            </w:r>
          </w:p>
        </w:tc>
        <w:tc>
          <w:tcPr>
            <w:tcW w:type="dxa" w:w="768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2" w:lineRule="exact" w:before="37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3"/>
              </w:rPr>
              <w:t>Frm 00032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2" w:lineRule="exact" w:before="37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3"/>
              </w:rPr>
              <w:t>Fmt 8010</w:t>
            </w:r>
          </w:p>
        </w:tc>
        <w:tc>
          <w:tcPr>
            <w:tcW w:type="dxa" w:w="74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2" w:lineRule="exact" w:before="37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3"/>
              </w:rPr>
              <w:t>Sfmt 8010</w:t>
            </w:r>
          </w:p>
        </w:tc>
        <w:tc>
          <w:tcPr>
            <w:tcW w:type="dxa" w:w="14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2" w:lineRule="exact" w:before="37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3"/>
              </w:rPr>
              <w:t>Y:\SGML\214106.XXX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2" w:lineRule="exact" w:before="378" w:after="0"/>
              <w:ind w:left="8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3"/>
              </w:rPr>
              <w:t>214106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1440" w:right="1440" w:bottom="180" w:left="34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