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5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6120" w:right="100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AGENDA ITEM #10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March 11, 2005 </w:t>
      </w:r>
    </w:p>
    <w:p>
      <w:pPr>
        <w:autoSpaceDN w:val="0"/>
        <w:tabs>
          <w:tab w:pos="1800" w:val="left"/>
        </w:tabs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To: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Delta Protection Commission </w:t>
      </w:r>
    </w:p>
    <w:p>
      <w:pPr>
        <w:autoSpaceDN w:val="0"/>
        <w:tabs>
          <w:tab w:pos="1800" w:val="left"/>
        </w:tabs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From: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Margit Aramburu, Executive Director </w:t>
      </w:r>
    </w:p>
    <w:p>
      <w:pPr>
        <w:autoSpaceDN w:val="0"/>
        <w:tabs>
          <w:tab w:pos="1800" w:val="left"/>
          <w:tab w:pos="1802" w:val="left"/>
        </w:tabs>
        <w:autoSpaceDE w:val="0"/>
        <w:widowControl/>
        <w:spacing w:line="245" w:lineRule="auto" w:before="286" w:after="282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Subject: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Discussion of Possible of Joint Adoption of Joint Resolution with the City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of Elk Grove Regarding Inclusion of Lands in the Delta Primary Zone in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"Planning Area" within the City 's General Plan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For Commission Discussion and Possible Action)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360"/>
      </w:tblGrid>
      <w:tr>
        <w:trPr>
          <w:trHeight w:hRule="exact" w:val="1430"/>
        </w:trPr>
        <w:tc>
          <w:tcPr>
            <w:tcW w:type="dxa" w:w="8868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110" w:right="144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4"/>
              </w:rPr>
              <w:t xml:space="preserve">RECOMMENDATION: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Review and discuss the attached draft Joint Resolution, and determine if the draft Joint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Resolution addressees the concerns of the Commission raised at the May 2004 meeting.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If yes, vote to direct the Chairman to sign on behalf of the Commission.  If not, direct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 xml:space="preserve">staff to respond with alternative language or actions. </w:t>
            </w:r>
          </w:p>
        </w:tc>
      </w:tr>
    </w:tbl>
    <w:p>
      <w:pPr>
        <w:autoSpaceDN w:val="0"/>
        <w:autoSpaceDE w:val="0"/>
        <w:widowControl/>
        <w:spacing w:line="245" w:lineRule="auto" w:before="284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BACKGROUND: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At its meeting in May 2004, the Commission discussed the City of Elk Grove's newly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adopted General Plan.  The City's General Plan includes lands in the Primary Zone of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Delta that are labeled "Planning Area". The General Plan notes that the City has no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jurisdiction over lands outside the City Limits and that any discussion of such lands are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purely advisory. </w:t>
      </w:r>
    </w:p>
    <w:p>
      <w:pPr>
        <w:autoSpaceDN w:val="0"/>
        <w:autoSpaceDE w:val="0"/>
        <w:widowControl/>
        <w:spacing w:line="245" w:lineRule="auto" w:before="286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At the May meeting, there was considerable discussion of the role of cities in the Primary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Zone, and the role of the City of Elk Grove in the Primary Zone (see attached minutes).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Chairman directed staff to send a letter to the City requesting a meeting to discuss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issues raised at the Commission meeting. </w:t>
      </w:r>
    </w:p>
    <w:p>
      <w:pPr>
        <w:autoSpaceDN w:val="0"/>
        <w:tabs>
          <w:tab w:pos="420" w:val="left"/>
          <w:tab w:pos="780" w:val="left"/>
        </w:tabs>
        <w:autoSpaceDE w:val="0"/>
        <w:widowControl/>
        <w:spacing w:line="284" w:lineRule="exact" w:before="266" w:after="0"/>
        <w:ind w:left="36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Highlights from the minutes include: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Concerns that the City's Planning Area overlaps the boundaries of the Cosumnes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Preserve. </w:t>
      </w:r>
    </w:p>
    <w:p>
      <w:pPr>
        <w:autoSpaceDN w:val="0"/>
        <w:tabs>
          <w:tab w:pos="780" w:val="left"/>
        </w:tabs>
        <w:autoSpaceDE w:val="0"/>
        <w:widowControl/>
        <w:spacing w:line="274" w:lineRule="exact" w:before="20" w:after="0"/>
        <w:ind w:left="420" w:right="576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Concerns that the City's Planning Area overlaps the boundaries of the Stone Lakes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National Wildlife Refuge. </w:t>
      </w:r>
    </w:p>
    <w:p>
      <w:pPr>
        <w:autoSpaceDN w:val="0"/>
        <w:autoSpaceDE w:val="0"/>
        <w:widowControl/>
        <w:spacing w:line="276" w:lineRule="exact" w:before="20" w:after="0"/>
        <w:ind w:left="780" w:right="288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Suggestion that the City delete from the General Plan any lands in the Primary Zone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of the Delta, and that I-5 serve as the western boundary of the City and the City's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General Plan. </w:t>
      </w:r>
    </w:p>
    <w:p>
      <w:pPr>
        <w:autoSpaceDN w:val="0"/>
        <w:tabs>
          <w:tab w:pos="780" w:val="left"/>
        </w:tabs>
        <w:autoSpaceDE w:val="0"/>
        <w:widowControl/>
        <w:spacing w:line="282" w:lineRule="exact" w:before="12" w:after="0"/>
        <w:ind w:left="420" w:right="288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Suggestions that the City clarify to the Commission the issues/concerns/possible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future land uses for the lands in the Planning Area in the Primary Zone of the Delta. </w:t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Concerns that other cities would designate portions of the Primary Zone as Planning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Areas within General Plans. </w:t>
      </w:r>
    </w:p>
    <w:p>
      <w:pPr>
        <w:autoSpaceDN w:val="0"/>
        <w:autoSpaceDE w:val="0"/>
        <w:widowControl/>
        <w:spacing w:line="230" w:lineRule="auto" w:before="57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1</w:t>
      </w:r>
    </w:p>
    <w:p>
      <w:pPr>
        <w:sectPr>
          <w:pgSz w:w="12240" w:h="15840"/>
          <w:pgMar w:top="1276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76" w:lineRule="exact" w:before="18" w:after="0"/>
        <w:ind w:left="780" w:right="432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From the public, concerns that the City's designation could lead to inflated property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values and expectations of landowners to the detriment of agriculture, wildlife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habitat, and recreation. </w:t>
      </w:r>
    </w:p>
    <w:p>
      <w:pPr>
        <w:autoSpaceDN w:val="0"/>
        <w:autoSpaceDE w:val="0"/>
        <w:widowControl/>
        <w:spacing w:line="245" w:lineRule="auto" w:before="286" w:after="0"/>
        <w:ind w:left="36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Commissioner McGowan and Ms Aramburu met with the Mayor, the City Counsel, and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Planning Director.  At the end of that meeting, Anthony Manzanetti, the City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Counsel, agreed to respond to the issues raised by the Commission.  Mr. Manzanetti has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prepared a Joint Resolution for consideration for adoption by the Commission and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City to address issues of concern. </w:t>
      </w:r>
    </w:p>
    <w:p>
      <w:pPr>
        <w:autoSpaceDN w:val="0"/>
        <w:autoSpaceDE w:val="0"/>
        <w:widowControl/>
        <w:spacing w:line="230" w:lineRule="auto" w:before="1091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2</w:t>
      </w:r>
    </w:p>
    <w:p>
      <w:pPr>
        <w:sectPr>
          <w:pgSz w:w="12240" w:h="15840"/>
          <w:pgMar w:top="720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736" w:right="2736" w:firstLine="0"/>
        <w:jc w:val="center"/>
      </w:pP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JOINT RESOLUTION </w:t>
      </w:r>
      <w:r>
        <w:br/>
      </w: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OF THE </w:t>
      </w:r>
      <w:r>
        <w:br/>
      </w: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DELTA PROTECTION COMMISSOIN </w:t>
      </w:r>
      <w:r>
        <w:br/>
      </w: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AND THE </w:t>
      </w:r>
      <w:r>
        <w:br/>
      </w: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CITY OF ELK GROVE </w:t>
      </w:r>
    </w:p>
    <w:p>
      <w:pPr>
        <w:autoSpaceDN w:val="0"/>
        <w:autoSpaceDE w:val="0"/>
        <w:widowControl/>
        <w:spacing w:line="245" w:lineRule="auto" w:before="558" w:after="0"/>
        <w:ind w:left="360" w:right="432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WHEREAS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>, The California State Legislature has declared that the Sacramento-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San Joaquin Delta is a natural resource of statewide, national, and </w:t>
      </w:r>
      <w:r>
        <w:br/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international significance, containing irreplaceable resources, and it is the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policy of the state to recognize, preserve, and protect those resources of the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delta for the use and enjoyment of current and future generations, and </w:t>
      </w:r>
    </w:p>
    <w:p>
      <w:pPr>
        <w:autoSpaceDN w:val="0"/>
        <w:autoSpaceDE w:val="0"/>
        <w:widowControl/>
        <w:spacing w:line="240" w:lineRule="auto" w:before="280" w:after="0"/>
        <w:ind w:left="360" w:right="0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WHEREAS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The Legislature has created the Delta Protection Commission, and </w:t>
      </w:r>
    </w:p>
    <w:p>
      <w:pPr>
        <w:autoSpaceDN w:val="0"/>
        <w:autoSpaceDE w:val="0"/>
        <w:widowControl/>
        <w:spacing w:line="245" w:lineRule="auto" w:before="278" w:after="0"/>
        <w:ind w:left="360" w:right="432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WHEREAS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The mission of the Delta Protection Commission (Commission) is to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guide the protection of the Delta's unique natural quality, cultural viability,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economic vitality, and recreational opportunity through the protection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maintenance, and enhancement and restoration of the overall quality of the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Delta environment including agriculture, wildlife habitat, and recreational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activities; to assure the orderly, balanced conservation and development of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Delta land resources; and to guide the improvement of flood protection to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ensure an increased level of public health and safety, and </w:t>
      </w:r>
    </w:p>
    <w:p>
      <w:pPr>
        <w:autoSpaceDN w:val="0"/>
        <w:autoSpaceDE w:val="0"/>
        <w:widowControl/>
        <w:spacing w:line="245" w:lineRule="auto" w:before="278" w:after="0"/>
        <w:ind w:left="360" w:right="432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WHEREAS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the Commission and the City of Elk Grove share a common goal to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implement a comprehensive strategy for the preservation of open space,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habitat and agriculture, both inside and outside the City's existing city limits. </w:t>
      </w:r>
    </w:p>
    <w:p>
      <w:pPr>
        <w:autoSpaceDN w:val="0"/>
        <w:autoSpaceDE w:val="0"/>
        <w:widowControl/>
        <w:spacing w:line="245" w:lineRule="auto" w:before="278" w:after="0"/>
        <w:ind w:left="360" w:right="288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WHEREAS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although not within the current incorporated boundaries of the City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of Elk Grove, a portion of the Delta Primary Zone is inside the larger Planning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Area of the City’s General Plan, and </w:t>
      </w:r>
    </w:p>
    <w:p>
      <w:pPr>
        <w:autoSpaceDN w:val="0"/>
        <w:autoSpaceDE w:val="0"/>
        <w:widowControl/>
        <w:spacing w:line="245" w:lineRule="auto" w:before="278" w:after="0"/>
        <w:ind w:left="360" w:right="288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WHEREAS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the City Council of the City of Elk Grove has stated that an </w:t>
      </w:r>
      <w:r>
        <w:br/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important component of the community's vision for the future of Elk Grove is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the retention of significant amounts of open space in the Planning Area and has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established a policy calling for the creation of a trails system to link the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development portions of Elk Grove with these areas, the City, and </w:t>
      </w:r>
    </w:p>
    <w:p>
      <w:pPr>
        <w:autoSpaceDN w:val="0"/>
        <w:autoSpaceDE w:val="0"/>
        <w:widowControl/>
        <w:spacing w:line="245" w:lineRule="auto" w:before="280" w:after="0"/>
        <w:ind w:left="288" w:right="864" w:firstLine="0"/>
        <w:jc w:val="center"/>
      </w:pPr>
      <w:r>
        <w:rPr>
          <w:rFonts w:ascii="TrebuchetMS" w:hAnsi="TrebuchetMS" w:eastAsia="TrebuchetMS"/>
          <w:b/>
          <w:i w:val="0"/>
          <w:color w:val="000000"/>
          <w:sz w:val="24"/>
        </w:rPr>
        <w:t>WHEREAS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the City recognizes that there are many important open space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resources in the Planning Area, including the Delta and agricultural areas. </w:t>
      </w:r>
    </w:p>
    <w:p>
      <w:pPr>
        <w:autoSpaceDN w:val="0"/>
        <w:autoSpaceDE w:val="0"/>
        <w:widowControl/>
        <w:spacing w:line="245" w:lineRule="auto" w:before="278" w:after="0"/>
        <w:ind w:left="360" w:right="288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WHEREAS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The City views open space lands of all types as important resources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which should be preserved in the region, and supports the establishment of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multi-purpose open space areas to address a variety of needs, including, but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not limited to: Maintenance of agricultural uses, Wildlife habitat, Recreational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open space, Aesthetic benefits, and Flood control, </w:t>
      </w:r>
    </w:p>
    <w:p>
      <w:pPr>
        <w:autoSpaceDN w:val="0"/>
        <w:autoSpaceDE w:val="0"/>
        <w:widowControl/>
        <w:spacing w:line="230" w:lineRule="auto" w:before="60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3</w:t>
      </w:r>
    </w:p>
    <w:p>
      <w:pPr>
        <w:sectPr>
          <w:pgSz w:w="12240" w:h="15840"/>
          <w:pgMar w:top="71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432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WHEREAS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the City’s general Plan prohibits urbanization within the 100-year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Flood Zone and prohibits alteration of the 100-year Flood Zone boundary, and </w:t>
      </w:r>
    </w:p>
    <w:p>
      <w:pPr>
        <w:autoSpaceDN w:val="0"/>
        <w:autoSpaceDE w:val="0"/>
        <w:widowControl/>
        <w:spacing w:line="245" w:lineRule="auto" w:before="280" w:after="0"/>
        <w:ind w:left="360" w:right="576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THEREFORE IT IS RESOLVED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that the City's long-term land use policies will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require coordination with the Delta Protection Commission if these lands are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ever included within the corporate boundary of Elk Grove. </w:t>
      </w:r>
    </w:p>
    <w:p>
      <w:pPr>
        <w:autoSpaceDN w:val="0"/>
        <w:autoSpaceDE w:val="0"/>
        <w:widowControl/>
        <w:spacing w:line="245" w:lineRule="auto" w:before="280" w:after="0"/>
        <w:ind w:left="360" w:right="288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IT IS FURTHER RESOLVED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that the City of Elk Grove will coordinate with the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Delta Protection Commission by providing updates on the status of any requests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by the City to include any lands in the Primary Zone in the City's sphere of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influence or incorporated boundaries. </w:t>
      </w:r>
    </w:p>
    <w:p>
      <w:pPr>
        <w:autoSpaceDN w:val="0"/>
        <w:autoSpaceDE w:val="0"/>
        <w:widowControl/>
        <w:spacing w:line="245" w:lineRule="auto" w:before="280" w:after="0"/>
        <w:ind w:left="360" w:right="288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IT IS FURTHER RESOLVED,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that prior to the annexation of any land in the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Primary Zone of the Legal Delta, the City will ensure that its General Plan is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consistent with the Delta Protection Commission's Act and Plan as it affects the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area within the Primary Zone. </w:t>
      </w:r>
    </w:p>
    <w:p>
      <w:pPr>
        <w:autoSpaceDN w:val="0"/>
        <w:autoSpaceDE w:val="0"/>
        <w:widowControl/>
        <w:spacing w:line="245" w:lineRule="auto" w:before="278" w:after="0"/>
        <w:ind w:left="360" w:right="432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IT IS FURTHER RESOLVED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that for land within the Primary Zone of the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territory of Delta Protection Commission, the City's land use and other policies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shall conform with the "Land Use and Resource Management Plan for the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Primary Zone of the Delta" developed by the Delta Protection Commission. </w:t>
      </w:r>
    </w:p>
    <w:p>
      <w:pPr>
        <w:autoSpaceDN w:val="0"/>
        <w:autoSpaceDE w:val="0"/>
        <w:widowControl/>
        <w:spacing w:line="245" w:lineRule="auto" w:before="278" w:after="0"/>
        <w:ind w:left="360" w:right="288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>IT IS FURTHER RESOLVED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, that the City and the Commission shall work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together with other agencies to develop a regional open space plan which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provides for multiple uses of open space, </w:t>
      </w:r>
      <w:r>
        <w:rPr>
          <w:rFonts w:ascii="TrebuchetMS" w:hAnsi="TrebuchetMS" w:eastAsia="TrebuchetMS"/>
          <w:b w:val="0"/>
          <w:i/>
          <w:color w:val="000000"/>
          <w:sz w:val="24"/>
        </w:rPr>
        <w:t>e.g.,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 agriculture and wildlife foraging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for those areas within the larger Planning Area of the City’s General Plan Area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and the Primary Zones of the territory of the Commission. </w:t>
      </w:r>
    </w:p>
    <w:p>
      <w:pPr>
        <w:autoSpaceDN w:val="0"/>
        <w:autoSpaceDE w:val="0"/>
        <w:widowControl/>
        <w:spacing w:line="240" w:lineRule="auto" w:before="280" w:after="0"/>
        <w:ind w:left="360" w:right="0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PASSED AND ADOPTED BY: </w:t>
      </w:r>
    </w:p>
    <w:p>
      <w:pPr>
        <w:autoSpaceDN w:val="0"/>
        <w:tabs>
          <w:tab w:pos="5398" w:val="left"/>
        </w:tabs>
        <w:autoSpaceDE w:val="0"/>
        <w:widowControl/>
        <w:spacing w:line="240" w:lineRule="auto" w:before="280" w:after="0"/>
        <w:ind w:left="360" w:right="0" w:firstLine="0"/>
        <w:jc w:val="left"/>
      </w:pP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Date: _________, 2005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Date: _________, 2005 </w:t>
      </w:r>
    </w:p>
    <w:p>
      <w:pPr>
        <w:autoSpaceDN w:val="0"/>
        <w:tabs>
          <w:tab w:pos="4680" w:val="left"/>
        </w:tabs>
        <w:autoSpaceDE w:val="0"/>
        <w:widowControl/>
        <w:spacing w:line="240" w:lineRule="auto" w:before="278" w:after="2"/>
        <w:ind w:left="360" w:right="0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The City Council of </w:t>
      </w:r>
      <w:r>
        <w:tab/>
      </w: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The Delta </w:t>
      </w:r>
    </w:p>
    <w:p>
      <w:pPr>
        <w:sectPr>
          <w:pgSz w:w="12240" w:h="15840"/>
          <w:pgMar w:top="852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60" w:right="0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The City of Elk Grove </w:t>
      </w:r>
    </w:p>
    <w:p>
      <w:pPr>
        <w:autoSpaceDN w:val="0"/>
        <w:autoSpaceDE w:val="0"/>
        <w:widowControl/>
        <w:spacing w:line="245" w:lineRule="auto" w:before="278" w:after="0"/>
        <w:ind w:left="360" w:right="288" w:firstLine="0"/>
        <w:jc w:val="left"/>
      </w:pP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_________________________ </w:t>
      </w: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Daniel Briggs </w:t>
      </w:r>
      <w:r>
        <w:br/>
      </w: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Mayor of the City of Elk Grove </w:t>
      </w:r>
    </w:p>
    <w:p>
      <w:pPr>
        <w:autoSpaceDN w:val="0"/>
        <w:autoSpaceDE w:val="0"/>
        <w:widowControl/>
        <w:spacing w:line="245" w:lineRule="auto" w:before="280" w:after="0"/>
        <w:ind w:left="360" w:right="1152" w:firstLine="0"/>
        <w:jc w:val="left"/>
      </w:pP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Approved as to form: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____________________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Anthony Manzanetti, </w:t>
      </w:r>
      <w:r>
        <w:br/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City Attorney </w:t>
      </w:r>
    </w:p>
    <w:p>
      <w:pPr>
        <w:sectPr>
          <w:type w:val="continuous"/>
          <w:pgSz w:w="12240" w:h="15840"/>
          <w:pgMar w:top="852" w:right="1440" w:bottom="362" w:left="1440" w:header="720" w:footer="720" w:gutter="0"/>
          <w:cols w:num="2" w:equalWidth="0">
            <w:col w:w="4212" w:space="0"/>
            <w:col w:w="51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186" w:right="0" w:firstLine="0"/>
        <w:jc w:val="left"/>
      </w:pP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Protection Commission </w:t>
      </w:r>
    </w:p>
    <w:p>
      <w:pPr>
        <w:autoSpaceDN w:val="0"/>
        <w:tabs>
          <w:tab w:pos="1186" w:val="left"/>
          <w:tab w:pos="1188" w:val="left"/>
        </w:tabs>
        <w:autoSpaceDE w:val="0"/>
        <w:widowControl/>
        <w:spacing w:line="245" w:lineRule="auto" w:before="278" w:after="0"/>
        <w:ind w:left="468" w:right="864" w:firstLine="0"/>
        <w:jc w:val="left"/>
      </w:pPr>
      <w:r>
        <w:tab/>
      </w:r>
      <w:r>
        <w:tab/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_______________________ </w:t>
      </w: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Mike McGowan </w:t>
      </w:r>
      <w:r>
        <w:br/>
      </w:r>
      <w:r>
        <w:rPr>
          <w:rFonts w:ascii="TrebuchetMS" w:hAnsi="TrebuchetMS" w:eastAsia="TrebuchetMS"/>
          <w:b/>
          <w:i w:val="0"/>
          <w:color w:val="000000"/>
          <w:sz w:val="24"/>
        </w:rPr>
        <w:t xml:space="preserve">Chair </w:t>
      </w:r>
    </w:p>
    <w:p>
      <w:pPr>
        <w:autoSpaceDN w:val="0"/>
        <w:autoSpaceDE w:val="0"/>
        <w:widowControl/>
        <w:spacing w:line="245" w:lineRule="auto" w:before="280" w:after="0"/>
        <w:ind w:left="1186" w:right="864" w:firstLine="0"/>
        <w:jc w:val="left"/>
      </w:pP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Approved as to form: </w:t>
      </w:r>
      <w:r>
        <w:br/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_______________________ </w:t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Daniel L. Siegel, </w:t>
      </w:r>
      <w:r>
        <w:br/>
      </w:r>
      <w:r>
        <w:rPr>
          <w:rFonts w:ascii="TrebuchetMS" w:hAnsi="TrebuchetMS" w:eastAsia="TrebuchetMS"/>
          <w:b w:val="0"/>
          <w:i w:val="0"/>
          <w:color w:val="000000"/>
          <w:sz w:val="24"/>
        </w:rPr>
        <w:t xml:space="preserve">Supervising Dep. A.G. </w:t>
      </w:r>
    </w:p>
    <w:p>
      <w:pPr>
        <w:autoSpaceDN w:val="0"/>
        <w:autoSpaceDE w:val="0"/>
        <w:widowControl/>
        <w:spacing w:line="230" w:lineRule="auto" w:before="1162" w:after="0"/>
        <w:ind w:left="40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4</w:t>
      </w:r>
    </w:p>
    <w:p>
      <w:pPr>
        <w:sectPr>
          <w:type w:val="nextColumn"/>
          <w:pgSz w:w="12240" w:h="15840"/>
          <w:pgMar w:top="852" w:right="1440" w:bottom="362" w:left="1440" w:header="720" w:footer="720" w:gutter="0"/>
          <w:cols w:num="2" w:equalWidth="0">
            <w:col w:w="4212" w:space="0"/>
            <w:col w:w="5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080" w:val="left"/>
          <w:tab w:pos="3006" w:val="left"/>
        </w:tabs>
        <w:autoSpaceDE w:val="0"/>
        <w:widowControl/>
        <w:spacing w:line="245" w:lineRule="auto" w:before="0" w:after="0"/>
        <w:ind w:left="360" w:right="432" w:firstLine="0"/>
        <w:jc w:val="left"/>
      </w:pPr>
      <w:r>
        <w:tab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Excerpt from May 2004 Minutes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2"/>
        </w:rPr>
        <w:t xml:space="preserve">10.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2"/>
        </w:rPr>
        <w:t xml:space="preserve">Briefing on the City of Elk Grove General Plan and "Planning Area"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Chairman McCarty stated that the City of Elk Grove adopted a General Plan and Planning Area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for its new city, which includes maps for planning areas and policies outside the city.  He said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some of the planning areas include lands that are located in the primary area of the Delta. </w:t>
      </w:r>
    </w:p>
    <w:p>
      <w:pPr>
        <w:autoSpaceDN w:val="0"/>
        <w:autoSpaceDE w:val="0"/>
        <w:widowControl/>
        <w:spacing w:line="245" w:lineRule="auto" w:before="264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Ms. Aramburu reported that the new City of Elk Grove, which is located on the edge of the Delta,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recently adopted a new general plan.  Currently, the City does not include areas of the Primary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Zone, therefore the city is not required to submit its plan for Commission review; however; there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are lands located in the Primary Zone which are part of the City’s Planning Area. </w:t>
      </w:r>
    </w:p>
    <w:p>
      <w:pPr>
        <w:autoSpaceDN w:val="0"/>
        <w:autoSpaceDE w:val="0"/>
        <w:widowControl/>
        <w:spacing w:line="245" w:lineRule="auto" w:before="286" w:after="0"/>
        <w:ind w:left="36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Mr. Eric Norris, Planning Department of the City of Elk Grove reported that the City is outside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 Primary and Secondary Zones; however, it has a Planning Area outside of the City.  He said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that the areas on the southern boundary of the City are included in the Secondary Zone; however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they are under the jurisdiction of the County of Sacramento.  As of 2002, Elk Grove’s land use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policies reflect the County of Sacramento's Land Use Policies.  He said the area is a large flood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plain area which is constrained by flooding from the Cosumnes River. </w:t>
      </w:r>
    </w:p>
    <w:p>
      <w:pPr>
        <w:autoSpaceDN w:val="0"/>
        <w:autoSpaceDE w:val="0"/>
        <w:widowControl/>
        <w:spacing w:line="245" w:lineRule="auto" w:before="262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 van Loben Sels asked if the City’s Planning Area extends into The Nature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Conservancy lands.  He also asked why the City doesn't pull back from the edge of the Primary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Zone with their Planning Area.  Mr. Norris said he did not believe the City extended into TNC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areas, but the City of Elk Grove was working cooperatively with The Nature Conservancy with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open space issues.  He further stated that when planning the city they used first physical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boundaries, however, they did not use the Commission’s boundaries because they felt they would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not be moving into the Primary Zone. </w:t>
      </w:r>
    </w:p>
    <w:p>
      <w:pPr>
        <w:autoSpaceDN w:val="0"/>
        <w:autoSpaceDE w:val="0"/>
        <w:widowControl/>
        <w:spacing w:line="245" w:lineRule="auto" w:before="264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Chairman McCarty asked if the City was respecting the County’s plan, which is part of the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Commission’s plan, then why wasn’t the City respecting the Commission’s jurisdictional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boundaries.  Mr. Norris responded that those lands were outside of Elk Grove’s jurisdiction;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however, if they came into Elk Grove’s jurisdiction those areas would be added to the Elk Grove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General Plan, but EG has no intention of going into the Commission’s jurisdiction. </w:t>
      </w:r>
    </w:p>
    <w:p>
      <w:pPr>
        <w:autoSpaceDN w:val="0"/>
        <w:autoSpaceDE w:val="0"/>
        <w:widowControl/>
        <w:spacing w:line="245" w:lineRule="auto" w:before="262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 Curtis stated that it was his understanding that the City of Elk Grove was unable to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provide mitigation for some endangered species impacts.  He asked if the City was trying to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designate a Sphere of Influence (SOI) as mitigation land for endangered species instead of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leaving it under the County’s jurisdiction.  Mr. Norris responded that this was not the case since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 land in question was Planning Area land, not sphere of Influence land, which are two different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things.   He said that in October 2000, the City went before the Local Agency Formation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 (LAFCO) for an application for a SOI that included all areas, but worked with the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LAFCO to come back with a scaled back application.  However, the only part of the application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that went forward was the area of Laguna West.  He said the City has an application on hold with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 LAFCO that proposes to include areas close to Grant Line Road (north of Highway 99),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which are inside the County's urban service boundary but outside of the Commission's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jurisdiction.  Commissioner Curtis stated that the Department of Fish and Game was concerned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with the area that overlaps with the Stone Lakes National Wildlife refuge because of the Pacific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Flyway and large number of endangered species.  He asked how the City’s Planning Area deals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with the area and potential mitigation for current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growth of Elk Grove.  Mr. Norris said that the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City only addresses the planning areas from a land use perspective and their land use is the same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as that of the Sacramento County’s.  He said that they are mitigating the loss of habitat in Elk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Grove by collecting increased fees for the Swainson Hawk and the loss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of agricultural land, and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investigating the purchase of easements through entities like The Nature Conservancy. </w:t>
      </w:r>
    </w:p>
    <w:p>
      <w:pPr>
        <w:autoSpaceDN w:val="0"/>
        <w:autoSpaceDE w:val="0"/>
        <w:widowControl/>
        <w:spacing w:line="230" w:lineRule="auto" w:before="46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5</w:t>
      </w:r>
    </w:p>
    <w:p>
      <w:pPr>
        <w:sectPr>
          <w:pgSz w:w="12240" w:h="15840"/>
          <w:pgMar w:top="72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 McGowan commented that expansion of a new city usually causes great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consternation with the neighbors and the Commission should make responses on the impending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fears. </w:t>
      </w:r>
    </w:p>
    <w:p>
      <w:pPr>
        <w:autoSpaceDN w:val="0"/>
        <w:autoSpaceDE w:val="0"/>
        <w:widowControl/>
        <w:spacing w:line="245" w:lineRule="auto" w:before="264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 Coglianese stated that the Commission must come to terms with the fact of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extensions of authority of other jurisdiction in the Primary Zone that could lead to urbanization.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She asked what the City’s rationale was for entering the Primary Zone with potentially urbanizing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change in its Planning Area.  Mr. Norris responded that the Planning Area is not an area the City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of Elk Grove wants to include in its SOI now or in the future; nor does it believe the only reason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for including an area in a city is to urbanize it. </w:t>
      </w:r>
    </w:p>
    <w:p>
      <w:pPr>
        <w:autoSpaceDN w:val="0"/>
        <w:autoSpaceDE w:val="0"/>
        <w:widowControl/>
        <w:spacing w:line="245" w:lineRule="auto" w:before="264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 McGowan commented that he felt it was wrong and a mistake for the City of Elk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Grove to include areas in the Primary Zone in its Planning Area.  He said the Commission should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not sit by quietly and allow this to happen and the City should be subject to the Delta Protection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Act.  Mr. Norris responded that he understood what was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being said and suggested that the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 have staff write a letter to the Elk Grove City Council to express their concerns.  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said this was not a concern that the Council had heard before; therefore, it could consider revising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 map at a future planning cycle to scale back the Planning Area to exclude anything in the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Primary Zone. </w:t>
      </w:r>
    </w:p>
    <w:p>
      <w:pPr>
        <w:autoSpaceDN w:val="0"/>
        <w:autoSpaceDE w:val="0"/>
        <w:widowControl/>
        <w:spacing w:line="245" w:lineRule="auto" w:before="264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 Beltran said that the City of Elk Grove was “stirring the pot” with its plan.  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said that a lot of what was happening is a result of cities doing thing like this, without answering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 question of "why" they are doing it.  The City of Elk Grove was making it very difficult to be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defended when they cannot answer the question as to why they are including land in the Primary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Zone in their planning area.  He said that in order to put the Commission at ease, the City of Elk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Grove should write a letter to the Commission stating its reasoning for including those lands.  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said they should keep in mind that they are a new city and to think this decision through because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what they do affects what happens in other cities, because the Legislature is closely monitoring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everything going on in the Primary and Secondary Zones.   He said they should give this area up,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or submit Letter of Intent. </w:t>
      </w:r>
    </w:p>
    <w:p>
      <w:pPr>
        <w:autoSpaceDN w:val="0"/>
        <w:autoSpaceDE w:val="0"/>
        <w:widowControl/>
        <w:spacing w:line="245" w:lineRule="auto" w:before="286" w:after="0"/>
        <w:ind w:left="36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 van Loben Sels stated that the Commission should not only send a letter to the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City of Elk Grove but also send representatives from RD 744, the Stone Lakes National Wildlife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Refuge, the Cosumnes River Preserve and Commission staff to meet with City.  Mr. Norris said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 best venue for any discussion would be at the City Council meeting and he would put Ms.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Aramburu in touch with the City Clerk to schedule a presentation on the Agenda. </w:t>
      </w:r>
    </w:p>
    <w:p>
      <w:pPr>
        <w:autoSpaceDN w:val="0"/>
        <w:autoSpaceDE w:val="0"/>
        <w:widowControl/>
        <w:spacing w:line="245" w:lineRule="auto" w:before="262" w:after="0"/>
        <w:ind w:left="36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 Cabaldon commented that this would be a simpler issue, but since the City of Elk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Grove is not a participant in the Blueprint Project the situation is ambiguous.  He said he felt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 McGowan's assessments were on target.  He said he is concerned, but if it gets to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 point of a SOI application then the Commission could block the application.  He said 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respected what the City of Elk Grove is trying to do, but some of the messages heard by other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cities is not helpful.  He said part of the problem is that Elk Grove is the fastest growing city in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 State of California.  He said that sending a constructive letter expressing the Commission’s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concerns would help avoid the possibility of a conflict down the road. </w:t>
      </w:r>
    </w:p>
    <w:p>
      <w:pPr>
        <w:autoSpaceDN w:val="0"/>
        <w:autoSpaceDE w:val="0"/>
        <w:widowControl/>
        <w:spacing w:line="245" w:lineRule="auto" w:before="262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Chairman McCarty said he agreed with Commissioner's McGowan and Cabaldon.  He said he is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concerned because the Commission has seen this before, most recently with the City of Stockton.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>He also said the City of Elk Grove has an opportunity to take a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leadership role and bring reason to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 process.  Moreover, the City should recognize that Interstate 5 is a natural barrier that is not </w:t>
      </w:r>
    </w:p>
    <w:p>
      <w:pPr>
        <w:autoSpaceDN w:val="0"/>
        <w:autoSpaceDE w:val="0"/>
        <w:widowControl/>
        <w:spacing w:line="230" w:lineRule="auto" w:before="49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6</w:t>
      </w:r>
    </w:p>
    <w:p>
      <w:pPr>
        <w:sectPr>
          <w:pgSz w:w="12240" w:h="15840"/>
          <w:pgMar w:top="850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going away, the Primary Zone has been designated by the State as "off limits" and the City’s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focus should be on the Secondary Zone. </w:t>
      </w:r>
    </w:p>
    <w:p>
      <w:pPr>
        <w:autoSpaceDN w:val="0"/>
        <w:autoSpaceDE w:val="0"/>
        <w:widowControl/>
        <w:spacing w:line="230" w:lineRule="auto" w:before="262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Chairman McCarty convened the public hearing. </w:t>
      </w:r>
    </w:p>
    <w:p>
      <w:pPr>
        <w:autoSpaceDN w:val="0"/>
        <w:autoSpaceDE w:val="0"/>
        <w:widowControl/>
        <w:spacing w:line="245" w:lineRule="auto" w:before="286" w:after="0"/>
        <w:ind w:left="36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Russell van Loben Sels, Reclamation District 744 trustee, suggested that the expansion of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boundaries is not needed.  He said that the City of Elk Grove should be encouraged to adopt the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natural boundaries of Interstate 5, and the Stone Lakes Wildlife Refuge.  He said he would be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happy to go to the Elk Grove City Council to relay the message. </w:t>
      </w:r>
    </w:p>
    <w:p>
      <w:pPr>
        <w:autoSpaceDN w:val="0"/>
        <w:autoSpaceDE w:val="0"/>
        <w:widowControl/>
        <w:spacing w:line="245" w:lineRule="auto" w:before="262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John Bohl, Clarksburg resident, said that the City of Elk Grove is making a mistake as it relates to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market value on lands that they may choose to acquire in easements.  He said the perception that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they have overlain some boundaries is going to raise the expectations of landowners and raise the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costs of the easements.  He referenced a Sacramento Bee article that said that one of the biggest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problems in the City of Elk Grove is acquiring affordable mitigation land.  He urged the City to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make an amendment to the Planning Area and delete it. </w:t>
      </w:r>
    </w:p>
    <w:p>
      <w:pPr>
        <w:autoSpaceDN w:val="0"/>
        <w:autoSpaceDE w:val="0"/>
        <w:widowControl/>
        <w:spacing w:line="230" w:lineRule="auto" w:before="286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Chairman McCarty closed the public hearing </w:t>
      </w:r>
    </w:p>
    <w:p>
      <w:pPr>
        <w:autoSpaceDN w:val="0"/>
        <w:autoSpaceDE w:val="0"/>
        <w:widowControl/>
        <w:spacing w:line="245" w:lineRule="auto" w:before="264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It was moved by Commissioner Beltran and seconded by Commission Cabaldon that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 staff write a letter to the Elk Grove City Council to have a meeting with the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 for the City to reconsider its inclusion of its planning area within the Primary Zone,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and based on that action, follow up that meeting with another meeting between the Commission,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the City Council and the Mayor of Elk Grove.   The motion was approved by voice vote. </w:t>
      </w: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 van Loben Sels abstained. </w:t>
      </w:r>
    </w:p>
    <w:p>
      <w:pPr>
        <w:autoSpaceDN w:val="0"/>
        <w:autoSpaceDE w:val="0"/>
        <w:widowControl/>
        <w:spacing w:line="230" w:lineRule="auto" w:before="264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2"/>
        </w:rPr>
        <w:t xml:space="preserve">Commissioners McGowan and Cabaldon volunteered to meet with the City of Elk Grove. </w:t>
      </w:r>
    </w:p>
    <w:p>
      <w:pPr>
        <w:autoSpaceDN w:val="0"/>
        <w:autoSpaceDE w:val="0"/>
        <w:widowControl/>
        <w:spacing w:line="230" w:lineRule="auto" w:before="653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7</w:t>
      </w:r>
    </w:p>
    <w:p>
      <w:pPr>
        <w:sectPr>
          <w:pgSz w:w="12240" w:h="15840"/>
          <w:pgMar w:top="72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864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Note: The following information was in the May 2004 staff report: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CITY BACKGROUND: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City was incorporated in July 2000.  The City adopted its new General Plan on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November 19, 2003. </w:t>
      </w:r>
    </w:p>
    <w:p>
      <w:pPr>
        <w:autoSpaceDN w:val="0"/>
        <w:autoSpaceDE w:val="0"/>
        <w:widowControl/>
        <w:spacing w:line="245" w:lineRule="auto" w:before="290" w:after="0"/>
        <w:ind w:left="360" w:right="576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LOCATION OF THE CITY OF ELK GROVE: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City limits lie south of the City of Sacramento and north of Kammerer Road. 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City is bounded on the west by I-5 and includes lands east of Highway 99. The City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recently annexed the Laguna West area.  The City is east of the Primary Zone of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Delta, however, a very small area along I-5 and north of Elk Grove Boulevard is in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Secondary Zone. </w:t>
      </w:r>
    </w:p>
    <w:p>
      <w:pPr>
        <w:autoSpaceDN w:val="0"/>
        <w:autoSpaceDE w:val="0"/>
        <w:widowControl/>
        <w:spacing w:line="245" w:lineRule="auto" w:before="290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REVIEW BY DELTA PROTECTION COMMISSION: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Commission's law requires that local governments ensure that their general plans are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consistent with the Commission's regional plan </w:t>
      </w: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>for lands in the Primary Zone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. 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While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current City of Elk Grove city limits do not include any areas in the Primary Zone,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City's newly adopted General Plan does include and discuss lands in the Primary Zone. </w:t>
      </w:r>
    </w:p>
    <w:p>
      <w:pPr>
        <w:autoSpaceDN w:val="0"/>
        <w:autoSpaceDE w:val="0"/>
        <w:widowControl/>
        <w:spacing w:line="245" w:lineRule="auto" w:before="286" w:after="0"/>
        <w:ind w:left="1080" w:right="288" w:hanging="72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General Plan Introduction, p. 5, states: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Two-Tiered Planning:  In addition to planning for Elk Grove, this General Plan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Addresses a "Planning Area" outside the city limits.  This Planning Area was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defined during the process of applying to the Sacramento County Local Agency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Formation Committee for a Sphere of Influence; it represents the area which the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City envisions may ultimately be included either in a Sphere of Influence or in the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incorporated city limits. </w:t>
      </w:r>
    </w:p>
    <w:p>
      <w:pPr>
        <w:autoSpaceDN w:val="0"/>
        <w:autoSpaceDE w:val="0"/>
        <w:widowControl/>
        <w:spacing w:line="245" w:lineRule="auto" w:before="284" w:after="0"/>
        <w:ind w:left="1080" w:right="432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While the City has no jurisdiction over the determination of land use policy in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adjacent areas, it can advise the County on land use policy.  Outside the city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limits, therefore, this General Plan is purely advisory, although it does provide a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statement of the uses the City desires in these areas. </w:t>
      </w:r>
    </w:p>
    <w:p>
      <w:pPr>
        <w:autoSpaceDN w:val="0"/>
        <w:tabs>
          <w:tab w:pos="1440" w:val="left"/>
        </w:tabs>
        <w:autoSpaceDE w:val="0"/>
        <w:widowControl/>
        <w:spacing w:line="278" w:lineRule="exact" w:before="274" w:after="0"/>
        <w:ind w:left="1080" w:right="288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Reflecting the limit of the City's authority to regulate land uses outside its current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corporate boundaries, this General Plan provides land use and other policy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direction in the following manner: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For the area within the city limits and within the area currently proposed by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City to be included within its Sphere of Influence…this General Plan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provides a detailed Land Use Policy Map and other specific policies relating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to land use and other issues. (The City in November 2000 applied to the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Sacramento County LAFCO for approval of a Sphere of Influence which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includes these areas…)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For the area outside the city limits, this General Plan provides land use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designations at a more conceptual level; because the City does not have land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use authority in these areas, detailed land use categories have not been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assigned, and the policies of this General Plan with regard to other issues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(Circulation, housing, noise, etc.) are advisory only and are intended to be </w:t>
      </w:r>
    </w:p>
    <w:p>
      <w:pPr>
        <w:autoSpaceDN w:val="0"/>
        <w:autoSpaceDE w:val="0"/>
        <w:widowControl/>
        <w:spacing w:line="230" w:lineRule="auto" w:before="96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8</w:t>
      </w:r>
    </w:p>
    <w:p>
      <w:pPr>
        <w:sectPr>
          <w:pgSz w:w="12240" w:h="15840"/>
          <w:pgMar w:top="72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440" w:right="1008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considered by the County of Sacramento in its review and approval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of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development projects and other matters in this larger "planning area". </w:t>
      </w:r>
    </w:p>
    <w:p>
      <w:pPr>
        <w:autoSpaceDN w:val="0"/>
        <w:tabs>
          <w:tab w:pos="720" w:val="left"/>
        </w:tabs>
        <w:autoSpaceDE w:val="0"/>
        <w:widowControl/>
        <w:spacing w:line="278" w:lineRule="exact" w:before="276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PROCESS IF THE CITY ADDS LANDS IN THE PRIMARY ZONE TO THE 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CITY LIMITS: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As discussed previously, if the City does incorporate lands in the Primary Zone in the city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limits, the City will have to submit its General Plan to the Commission for review and a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determination of consistency.  When the Commission reviews a local government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General Plan, the Commission must approve the local general plan by a majority vote of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Commission membership (ten votes) after making all of the following written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findings regarding the general plan and any development approved or proposed that is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consistent with the General Plan (Public Resources Code, Section 29763.5):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Consistent with the regional plan (Land Use and Resource Management Plan for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Primary Zone of the Delta).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Will not result in wetland or riparian loss.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Will not result in the degradation of water quality.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Will not result in increased nonpoint source pollution.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Will not result in the degradation or reduction of Pacific Flyway habitat.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8" w:after="0"/>
        <w:ind w:left="360" w:right="72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Will not result in reduced public access, provided the access does not infringe 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private property rights.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Will not expose the public to increased flood hazard. </w:t>
      </w:r>
    </w:p>
    <w:p>
      <w:pPr>
        <w:autoSpaceDN w:val="0"/>
        <w:autoSpaceDE w:val="0"/>
        <w:widowControl/>
        <w:spacing w:line="274" w:lineRule="exact" w:before="20" w:after="0"/>
        <w:ind w:left="288" w:right="432" w:firstLine="0"/>
        <w:jc w:val="center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Will not adversely impact agricultural lands or increase the potential for vandalism,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trespass, or the creation of public or private nuisances on public or private land.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Will not result in the degradation or impairment of levee integrity. </w:t>
      </w:r>
    </w:p>
    <w:p>
      <w:pPr>
        <w:autoSpaceDN w:val="0"/>
        <w:autoSpaceDE w:val="0"/>
        <w:widowControl/>
        <w:spacing w:line="294" w:lineRule="exact" w:before="0" w:after="0"/>
        <w:ind w:left="36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Will not adversely impact navigation. 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20" w:after="0"/>
        <w:ind w:left="360" w:right="1152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Will not result in any increased requirements or restrictions upon agricultural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practices in the Primary Zone. </w:t>
      </w:r>
    </w:p>
    <w:p>
      <w:pPr>
        <w:autoSpaceDN w:val="0"/>
        <w:autoSpaceDE w:val="0"/>
        <w:widowControl/>
        <w:spacing w:line="245" w:lineRule="auto" w:before="288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DESCRIPTION OF THE CITY OF ELK GROVE: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City of Elk Grove's planning area includes 93,560 acres in southern Sacramento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County.  The City limits include 26,910 acres (42 square miles); this includes the area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known as Laguna West that was recently annexed into the City.  The City and planning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area are bounded by the Stone Lakes National Wildlife Refuge and the Sacramento River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to the west, the Cities of Sacramento and Rancho Cordova to the north and the Cosumnes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River to the south east.  Within the larger planning area lie the unincorporated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community of Hood, to the west, and the area known as Point Pleasant, to the south. 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City has two major north-south freeways--I-5 and 99.  Several large east-west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expressways connect these two highways. </w:t>
      </w:r>
    </w:p>
    <w:p>
      <w:pPr>
        <w:autoSpaceDN w:val="0"/>
        <w:autoSpaceDE w:val="0"/>
        <w:widowControl/>
        <w:spacing w:line="245" w:lineRule="auto" w:before="288" w:after="0"/>
        <w:ind w:left="360" w:right="432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DESCRIPTION OF PRIMARY ZONE LANDS WITHIN THE CITY LIMITS: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There are no lands in the existing city limits in the Primary Zone.  However, substantial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lands west of I-5, south of the City of Sacramento and north of Twin Cities Road are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identified as "Planning Area" and included on maps in the City's General Plan. </w:t>
      </w:r>
    </w:p>
    <w:p>
      <w:pPr>
        <w:autoSpaceDN w:val="0"/>
        <w:autoSpaceDE w:val="0"/>
        <w:widowControl/>
        <w:spacing w:line="230" w:lineRule="auto" w:before="135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9</w:t>
      </w:r>
    </w:p>
    <w:p>
      <w:pPr>
        <w:sectPr>
          <w:pgSz w:w="12240" w:h="15840"/>
          <w:pgMar w:top="72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Elk Grove General Plan Glossary (p. 188) defines Planning Area as "the area directly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addressed by the general plan.  A city's planning areas typically encompasses the city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limits and potentially annexable land within its sphere of influence." </w:t>
      </w:r>
    </w:p>
    <w:p>
      <w:pPr>
        <w:autoSpaceDN w:val="0"/>
        <w:autoSpaceDE w:val="0"/>
        <w:widowControl/>
        <w:spacing w:line="245" w:lineRule="auto" w:before="290" w:after="0"/>
        <w:ind w:left="360" w:right="576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CURRENT GENERAL PLAN DESIGNATIONS (SACRAMENTO COUNTY):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Lands west of I-5 are located in Sacramento County.  The General Plan designation is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"Agricultural Cropland". </w:t>
      </w:r>
    </w:p>
    <w:p>
      <w:pPr>
        <w:autoSpaceDN w:val="0"/>
        <w:autoSpaceDE w:val="0"/>
        <w:widowControl/>
        <w:spacing w:line="245" w:lineRule="auto" w:before="290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CURRENT ZONING (SACRAMENTO COUNTY):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Lands lying west of I-5, and bounded by Elliott Ranch Road and Hood Franklin Road are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zoned RR(F), Recreation Reserve, with Flood overlay.  Other lands to the north and south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of the RR area, and west of I-5 are zoned AG-80(F), Agriculture with 80 acre minimum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parcel with Flood overlay. </w:t>
      </w:r>
    </w:p>
    <w:p>
      <w:pPr>
        <w:autoSpaceDN w:val="0"/>
        <w:autoSpaceDE w:val="0"/>
        <w:widowControl/>
        <w:spacing w:line="245" w:lineRule="auto" w:before="290" w:after="0"/>
        <w:ind w:left="360" w:right="432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CITY OF ELK GROVE GENERAL PLAN DESIGNATIONS: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Planning Area Land Use Concept Map (attached) identifies the lands west of I-5 as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"Open Space Reserve and Limited Development--Constrained by flooding." </w:t>
      </w:r>
    </w:p>
    <w:p>
      <w:pPr>
        <w:autoSpaceDN w:val="0"/>
        <w:autoSpaceDE w:val="0"/>
        <w:widowControl/>
        <w:spacing w:line="245" w:lineRule="auto" w:before="290" w:after="0"/>
        <w:ind w:left="360" w:right="432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CITY OF ELK GROVE ZONING: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As the lands in the Planning Area are not in the City limits, the City has not adopted any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zoning for lands in the "Planning Area". </w:t>
      </w:r>
    </w:p>
    <w:p>
      <w:pPr>
        <w:autoSpaceDN w:val="0"/>
        <w:autoSpaceDE w:val="0"/>
        <w:widowControl/>
        <w:spacing w:line="245" w:lineRule="auto" w:before="290" w:after="0"/>
        <w:ind w:left="360" w:right="1152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CITY OF ELK GROVE GENERAL PLAN POLICIES REGARDING THE 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PRIMARY ZONE OF THE DELTA: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(Note: Text in italic is quoted from the City of Elk Grove General Plan) </w:t>
      </w:r>
    </w:p>
    <w:p>
      <w:pPr>
        <w:autoSpaceDN w:val="0"/>
        <w:autoSpaceDE w:val="0"/>
        <w:widowControl/>
        <w:spacing w:line="245" w:lineRule="auto" w:before="286" w:after="0"/>
        <w:ind w:left="360" w:right="288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CONSERVATION AND AIR QUALITY ELEMENT: </w:t>
      </w:r>
      <w:r>
        <w:br/>
      </w: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Sacramento River Delta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(page 43):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Although not within the current incorporated boundaries of Elk Grove, a portion of the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Sacramento River Delta is inside the larger Planning Area of the General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Plan…Therefore, the City's long-term land use policies will require coordination with the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Delta Protection Commission (a state agency) once these lands are included within the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corporate boundary of Elk Grove. </w:t>
      </w:r>
    </w:p>
    <w:p>
      <w:pPr>
        <w:autoSpaceDN w:val="0"/>
        <w:tabs>
          <w:tab w:pos="720" w:val="left"/>
        </w:tabs>
        <w:autoSpaceDE w:val="0"/>
        <w:widowControl/>
        <w:spacing w:line="282" w:lineRule="exact" w:before="270" w:after="0"/>
        <w:ind w:left="360" w:right="576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Mission Statement: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mission of the Commission is to guide the protection of the Delta's unique natural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quality, cultural viability, economic vitality, and recreational opportunity through: </w:t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Protection maintenance, and enhancement and restoration of the overall quality of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Delta environment including agriculture, wildlife habitat, and recreational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activities;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Assurance of orderly, balanced conservation and development of Delta land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resources;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Improvement of flood protection to ensure an increased level of public health and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safety. </w:t>
      </w:r>
    </w:p>
    <w:p>
      <w:pPr>
        <w:autoSpaceDN w:val="0"/>
        <w:autoSpaceDE w:val="0"/>
        <w:widowControl/>
        <w:spacing w:line="230" w:lineRule="auto" w:before="10" w:after="0"/>
        <w:ind w:left="36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Vision Statement: </w:t>
      </w:r>
    </w:p>
    <w:p>
      <w:pPr>
        <w:autoSpaceDN w:val="0"/>
        <w:autoSpaceDE w:val="0"/>
        <w:widowControl/>
        <w:spacing w:line="230" w:lineRule="auto" w:before="944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10</w:t>
      </w:r>
    </w:p>
    <w:p>
      <w:pPr>
        <w:sectPr>
          <w:pgSz w:w="12240" w:h="15840"/>
          <w:pgMar w:top="722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72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vision of the Delta Protection Commission is a region in which the essential land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uses and unique natural qualities flourish in self-sustaining harmony. </w:t>
      </w:r>
    </w:p>
    <w:p>
      <w:pPr>
        <w:autoSpaceDN w:val="0"/>
        <w:autoSpaceDE w:val="0"/>
        <w:widowControl/>
        <w:spacing w:line="245" w:lineRule="auto" w:before="288" w:after="0"/>
        <w:ind w:left="360" w:right="288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Conservation Policies: Conservation of Agricultural Uses: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CAQ-3: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City of Elk Grove considers the only mitigation for the loss of agricultural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land to consist of the creation of new agricultural land in the Sacramento region equal in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area, productivity, and other characteristics to the area which would be lost due to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development.  The protection of existing agricultural land through the purchase of fee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title of easements is not considered by the City to provide mitigation since programs of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this type result in a net loss of farmland.</w:t>
      </w:r>
    </w:p>
    <w:p>
      <w:pPr>
        <w:autoSpaceDN w:val="0"/>
        <w:autoSpaceDE w:val="0"/>
        <w:widowControl/>
        <w:spacing w:line="245" w:lineRule="auto" w:before="8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CAQ-4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: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While agricultural uses are anticipated to be phased out within the city limits,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City recognizes the right of these uses to continue as long as individual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owners/farmers desire.  The City shall not require buffers between farmland and urban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uses, relying instead on the following actions to address the impacts of farming on urban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uses: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Action 1: Implement the City "Right to Farm" Ordinance. </w:t>
      </w:r>
    </w:p>
    <w:p>
      <w:pPr>
        <w:autoSpaceDN w:val="0"/>
        <w:autoSpaceDE w:val="0"/>
        <w:widowControl/>
        <w:spacing w:line="245" w:lineRule="auto" w:before="10" w:after="0"/>
        <w:ind w:left="360" w:right="576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Action 2: Prospective buyers of property adjacent to agricultural land shall be notified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through the title report that they could be subject to inconvenience or discomfort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resulting from accepted farming activities as per provisions of the City's right-to-farm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ordinance. </w:t>
      </w:r>
    </w:p>
    <w:p>
      <w:pPr>
        <w:autoSpaceDN w:val="0"/>
        <w:autoSpaceDE w:val="0"/>
        <w:widowControl/>
        <w:spacing w:line="245" w:lineRule="auto" w:before="288" w:after="0"/>
        <w:ind w:left="360" w:right="432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Conservation Policies: Land within the Primary Zone of the Sacramento River Delta: </w:t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CAQ-6: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Within the Primary Zone of the Legal Delta…the City's land use and other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policies shall conform with the "Land Use and Resource Management Plan for the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Primary Zone of the Delta" developed by the Delta Protection Commission. </w:t>
      </w:r>
    </w:p>
    <w:p>
      <w:pPr>
        <w:autoSpaceDN w:val="0"/>
        <w:autoSpaceDE w:val="0"/>
        <w:widowControl/>
        <w:spacing w:line="245" w:lineRule="auto" w:before="10" w:after="0"/>
        <w:ind w:left="360" w:right="288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Action 1: Coordinate with the Delta Protection Commission by providing updates on the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status of any requests by the City to include any lands in the Primary Zone in the City's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sphere of influence or incorporated boundaries. </w:t>
      </w:r>
    </w:p>
    <w:p>
      <w:pPr>
        <w:autoSpaceDN w:val="0"/>
        <w:autoSpaceDE w:val="0"/>
        <w:widowControl/>
        <w:spacing w:line="245" w:lineRule="auto" w:before="10" w:after="0"/>
        <w:ind w:left="360" w:right="576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Action 2: Prior to the annexation of any land in the Primary Zone of the Legal Delta,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ensure that this General Plan is consistent with the Delta Protection Commission's Act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and Plan as it affects the area within the Primary Zone.</w:t>
      </w:r>
    </w:p>
    <w:p>
      <w:pPr>
        <w:autoSpaceDN w:val="0"/>
        <w:autoSpaceDE w:val="0"/>
        <w:widowControl/>
        <w:spacing w:line="245" w:lineRule="auto" w:before="288" w:after="0"/>
        <w:ind w:left="360" w:right="288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LAND USE ELEMENT: </w:t>
      </w:r>
      <w:r>
        <w:br/>
      </w: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>Sphere of Influence and Annexation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 (page 122):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This General Plan provides land use planning for the City and a larger Planning Area.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Planning Area is intended to be an area in which the City has an interest in guiding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land use decisions by the County of Sacramento, and is envisioned as the area into which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incorporated city boundaries may eventually expand. </w:t>
      </w:r>
    </w:p>
    <w:p>
      <w:pPr>
        <w:autoSpaceDN w:val="0"/>
        <w:autoSpaceDE w:val="0"/>
        <w:widowControl/>
        <w:spacing w:line="245" w:lineRule="auto" w:before="288" w:after="0"/>
        <w:ind w:left="360" w:right="432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Land Use Policies: Areas Outside the Incorporated Area of Elk Grove: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LU-12: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Land Use Policy Map of the Planning Area (Figure LU-2) provides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conceptual land use policy for the area outside the current incorporated boundaries of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Elk Grove.  This policy is intended as a statement of the City's long-term vision for this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area; these lands remain under the jurisdiction of Sacramento County.  Except where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specifically indicated, the City's land use policy for areas outside the city limits reflects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County of Sacramento's land use policy as it existed on December 31, 2002. </w:t>
      </w:r>
    </w:p>
    <w:p>
      <w:pPr>
        <w:autoSpaceDN w:val="0"/>
        <w:autoSpaceDE w:val="0"/>
        <w:widowControl/>
        <w:spacing w:line="230" w:lineRule="auto" w:before="72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11</w:t>
      </w:r>
    </w:p>
    <w:p>
      <w:pPr>
        <w:sectPr>
          <w:pgSz w:w="12240" w:h="15840"/>
          <w:pgMar w:top="72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288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Land Use Policies: Urban Study Areas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LU-17: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Implement a comprehensive and city-wide strategy for the preservation of open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space, habitat and agriculture, both inside and outside the City's existing city limits.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Action 1: Within 90 days of the adoption of this General Plan, staff shall bring to the City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Council for its consideration options available for the strategic funding, acquisition and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management of land in and proximate to the City for the purposes of preserving open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space, habitat and agriculture. </w:t>
      </w:r>
    </w:p>
    <w:p>
      <w:pPr>
        <w:autoSpaceDN w:val="0"/>
        <w:autoSpaceDE w:val="0"/>
        <w:widowControl/>
        <w:spacing w:line="245" w:lineRule="auto" w:before="288" w:after="0"/>
        <w:ind w:left="360" w:right="432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PARKS, TRAILS AND OPEN SPACE ELEMENT: </w:t>
      </w:r>
      <w:r>
        <w:br/>
      </w: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Trails and Open Space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(p. 149)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: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An important component of the community's vision for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future of Elk Grove is the retention of significant amounts of open space in the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Planning Area…and the creation of a trails system to link the development portions of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Elk Grove with these areas…the City recognizes that there are many important open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space resources in the Planning Area, including…the Delta and agricultural areas. </w:t>
      </w:r>
    </w:p>
    <w:p>
      <w:pPr>
        <w:autoSpaceDN w:val="0"/>
        <w:autoSpaceDE w:val="0"/>
        <w:widowControl/>
        <w:spacing w:line="284" w:lineRule="exact" w:before="268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PTO-15: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City views open space lands of all types as important resource which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should be preserved in the region, and supports the establishment of multi-purpose open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space areas to address a variety of needs, including, but not limited to: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Maintenance of agricultural uses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Wildlife habitat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Recreational open space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Aesthetic benefits 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4"/>
        </w:rPr>
        <w:t xml:space="preserve">•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Flood control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To the extent possible, lands protected in accordance with this policy should be in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proximity to Elk Grove, to facilitate use of these areas by Elk Grove residents, assist in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mitigation of habitat loss within the City, and provide an open space resource close to the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urbanized areas of Elk Grove. </w:t>
      </w:r>
    </w:p>
    <w:p>
      <w:pPr>
        <w:autoSpaceDN w:val="0"/>
        <w:autoSpaceDE w:val="0"/>
        <w:widowControl/>
        <w:spacing w:line="245" w:lineRule="auto" w:before="10" w:after="0"/>
        <w:ind w:left="360" w:right="432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Action 1: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Consider the establishment of a citywide fee and/or assessment system which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would provide funding for the purchase of open space land or easements and the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maintenance of these areas. </w:t>
      </w:r>
    </w:p>
    <w:p>
      <w:pPr>
        <w:autoSpaceDN w:val="0"/>
        <w:autoSpaceDE w:val="0"/>
        <w:widowControl/>
        <w:spacing w:line="245" w:lineRule="auto" w:before="10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Action 2: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Work with the County of Sacramento and other resource agencies to develop a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regional open space plan which provides for multiple uses of open space (e.g. agriculture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and wildlife foraging). </w:t>
      </w:r>
    </w:p>
    <w:p>
      <w:pPr>
        <w:autoSpaceDN w:val="0"/>
        <w:autoSpaceDE w:val="0"/>
        <w:widowControl/>
        <w:spacing w:line="245" w:lineRule="auto" w:before="10" w:after="0"/>
        <w:ind w:left="360" w:right="432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Action 3: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Consider using funds collected under existing (2003) fee programs (e.g.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Swainson's Hawk mitigation and East Franklin Specific Plan agricultural mitigation) to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fund this expanded open space program. </w:t>
      </w:r>
    </w:p>
    <w:p>
      <w:pPr>
        <w:autoSpaceDN w:val="0"/>
        <w:autoSpaceDE w:val="0"/>
        <w:widowControl/>
        <w:spacing w:line="245" w:lineRule="auto" w:before="286" w:after="0"/>
        <w:ind w:left="360" w:right="1008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SAFETY ELEMENT </w:t>
      </w:r>
      <w:r>
        <w:br/>
      </w:r>
      <w:r>
        <w:rPr>
          <w:rFonts w:ascii="TimesNewRoman,BoldItalic" w:hAnsi="TimesNewRoman,BoldItalic" w:eastAsia="TimesNewRoman,BoldItalic"/>
          <w:b/>
          <w:i/>
          <w:color w:val="000000"/>
          <w:sz w:val="24"/>
        </w:rPr>
        <w:t xml:space="preserve">Drainage and Flooding (p. 173):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SA-13: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The City shall require that all new projects not result in new or increased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flooding impacts on adjoining parcels on upstream and downstream areas. </w:t>
      </w:r>
    </w:p>
    <w:p>
      <w:pPr>
        <w:autoSpaceDN w:val="0"/>
        <w:autoSpaceDE w:val="0"/>
        <w:widowControl/>
        <w:spacing w:line="245" w:lineRule="auto" w:before="286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SA-15: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Development shall not be permitted on land subject to flooding during a 100-year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event, based on the most recent floodplain mapping prepared by the Federal Emergency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management Agency (FEMA) or updated mapping acceptable to the City of Elk Grove…</w:t>
      </w:r>
    </w:p>
    <w:p>
      <w:pPr>
        <w:autoSpaceDN w:val="0"/>
        <w:autoSpaceDE w:val="0"/>
        <w:widowControl/>
        <w:spacing w:line="230" w:lineRule="auto" w:before="90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12</w:t>
      </w:r>
    </w:p>
    <w:p>
      <w:pPr>
        <w:sectPr>
          <w:pgSz w:w="12240" w:h="15840"/>
          <w:pgMar w:top="72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SA 16: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 buildable area outside the 100-year floodplain must be present on every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residential lot sufficient to accommodate a residence and associated structures.  Fill may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be placed to create a buildable area only if approved by the City and in accordance with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all other applicable policies and regulations.  The use of fill in the 100-year floodplain to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create buildable area is strongly discouraged, and shall be subject to review to determine </w:t>
      </w: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 xml:space="preserve">potential impacts on wildlife, habitat, and flooding on other parcels. </w:t>
      </w:r>
    </w:p>
    <w:p>
      <w:pPr>
        <w:autoSpaceDN w:val="0"/>
        <w:autoSpaceDE w:val="0"/>
        <w:widowControl/>
        <w:spacing w:line="230" w:lineRule="auto" w:before="11758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13</w:t>
      </w:r>
    </w:p>
    <w:sectPr w:rsidR="00FC693F" w:rsidRPr="0006063C" w:rsidSect="00034616">
      <w:pgSz w:w="12240" w:h="15840"/>
      <w:pgMar w:top="724" w:right="1440" w:bottom="36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