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>BEFORE THE ARBITRATOR</w:t>
      </w:r>
    </w:p>
    <w:p>
      <w:pPr>
        <w:autoSpaceDN w:val="0"/>
        <w:autoSpaceDE w:val="0"/>
        <w:widowControl/>
        <w:spacing w:line="358" w:lineRule="auto" w:before="660" w:after="0"/>
        <w:ind w:left="2016" w:right="2016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In the Matter of the Arbitration of a Dispute Between </w:t>
      </w:r>
      <w:r>
        <w:rPr>
          <w:rFonts w:ascii="CGTimes" w:hAnsi="CGTimes" w:eastAsia="CGTimes"/>
          <w:b/>
          <w:i w:val="0"/>
          <w:color w:val="000000"/>
          <w:sz w:val="24"/>
        </w:rPr>
        <w:t>R.W. MILLER &amp; SONS, INC.</w:t>
      </w:r>
    </w:p>
    <w:p>
      <w:pPr>
        <w:autoSpaceDN w:val="0"/>
        <w:autoSpaceDE w:val="0"/>
        <w:widowControl/>
        <w:spacing w:line="336" w:lineRule="auto" w:before="292" w:after="0"/>
        <w:ind w:left="2592" w:right="2592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and </w:t>
      </w:r>
      <w:r>
        <w:br/>
      </w:r>
      <w:r>
        <w:rPr>
          <w:rFonts w:ascii="CGTimes" w:hAnsi="CGTimes" w:eastAsia="CGTimes"/>
          <w:b/>
          <w:i w:val="0"/>
          <w:color w:val="000000"/>
          <w:sz w:val="24"/>
        </w:rPr>
        <w:t xml:space="preserve">TEAMSTERS LOCAL UNION NO. 43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Case 1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No. 59296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autoSpaceDE w:val="0"/>
        <w:widowControl/>
        <w:spacing w:line="358" w:lineRule="auto" w:before="658" w:after="0"/>
        <w:ind w:left="30" w:right="4752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  <w:u w:val="single"/>
        </w:rPr>
        <w:t>Appearances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CGTimes" w:hAnsi="CGTimes" w:eastAsia="CGTimes"/>
          <w:b/>
          <w:i w:val="0"/>
          <w:color w:val="000000"/>
          <w:sz w:val="24"/>
        </w:rPr>
        <w:t>Attorney Daniel D. Barker</w:t>
      </w:r>
      <w:r>
        <w:rPr>
          <w:rFonts w:ascii="CGTimes" w:hAnsi="CGTimes" w:eastAsia="CGTimes"/>
          <w:b w:val="0"/>
          <w:i w:val="0"/>
          <w:color w:val="000000"/>
          <w:sz w:val="24"/>
        </w:rPr>
        <w:t>, for the Company.</w:t>
      </w:r>
    </w:p>
    <w:p>
      <w:pPr>
        <w:autoSpaceDN w:val="0"/>
        <w:autoSpaceDE w:val="0"/>
        <w:widowControl/>
        <w:spacing w:line="238" w:lineRule="auto" w:before="292" w:after="0"/>
        <w:ind w:left="30" w:right="0" w:firstLine="0"/>
        <w:jc w:val="left"/>
      </w:pPr>
      <w:r>
        <w:rPr>
          <w:rFonts w:ascii="CGTimes" w:hAnsi="CGTimes" w:eastAsia="CGTimes"/>
          <w:b/>
          <w:i w:val="0"/>
          <w:color w:val="000000"/>
          <w:sz w:val="24"/>
        </w:rPr>
        <w:t>Attorney John J. Brennan</w:t>
      </w:r>
      <w:r>
        <w:rPr>
          <w:rFonts w:ascii="CGTimes" w:hAnsi="CGTimes" w:eastAsia="CGTimes"/>
          <w:b w:val="0"/>
          <w:i w:val="0"/>
          <w:color w:val="000000"/>
          <w:sz w:val="24"/>
        </w:rPr>
        <w:t>, for the Union.</w:t>
      </w:r>
    </w:p>
    <w:p>
      <w:pPr>
        <w:autoSpaceDN w:val="0"/>
        <w:tabs>
          <w:tab w:pos="750" w:val="left"/>
          <w:tab w:pos="3352" w:val="left"/>
        </w:tabs>
        <w:autoSpaceDE w:val="0"/>
        <w:widowControl/>
        <w:spacing w:line="300" w:lineRule="auto" w:before="292" w:after="0"/>
        <w:ind w:left="30" w:right="0" w:firstLine="0"/>
        <w:jc w:val="left"/>
      </w:pPr>
      <w:r>
        <w:tab/>
      </w:r>
      <w:r>
        <w:tab/>
      </w: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 xml:space="preserve">ARBITRATION AWARD </w:t>
      </w:r>
      <w:r>
        <w:br/>
      </w:r>
      <w:r>
        <w:tab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Pursuant to the joint request of the parties, I was assigned by the Wisconsin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Employment Relations Commission to arbitrate a grievance arising under the terms of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>1999-2003 contract between R.W. Miller &amp; Sons, Inc. and Teamsters Local Union No. 43.</w:t>
      </w:r>
    </w:p>
    <w:p>
      <w:pPr>
        <w:autoSpaceDN w:val="0"/>
        <w:autoSpaceDE w:val="0"/>
        <w:widowControl/>
        <w:spacing w:line="245" w:lineRule="auto" w:before="292" w:after="0"/>
        <w:ind w:left="30" w:right="5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Hearing was held in Lake Geneva, Wisconsin on January 18, 2001. A stenographic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transcript of the hearing was prepared and the parties agreed that the transcript was the official </w:t>
      </w:r>
      <w:r>
        <w:rPr>
          <w:rFonts w:ascii="CGTimes" w:hAnsi="CGTimes" w:eastAsia="CGTimes"/>
          <w:b w:val="0"/>
          <w:i w:val="0"/>
          <w:color w:val="000000"/>
          <w:sz w:val="24"/>
        </w:rPr>
        <w:t>record of the proceedings.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292" w:after="0"/>
        <w:ind w:left="30" w:right="0" w:firstLine="0"/>
        <w:jc w:val="left"/>
      </w:pPr>
      <w:r>
        <w:tab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parties filed post-hearing briefs and the record was closed on March 20, 2001 </w:t>
      </w:r>
      <w:r>
        <w:rPr>
          <w:rFonts w:ascii="CGTimes" w:hAnsi="CGTimes" w:eastAsia="CGTimes"/>
          <w:b w:val="0"/>
          <w:i w:val="0"/>
          <w:color w:val="000000"/>
          <w:sz w:val="24"/>
        </w:rPr>
        <w:t>when I received a letter from the Company advising that it would not be filing a reply brief.</w:t>
      </w:r>
    </w:p>
    <w:p>
      <w:pPr>
        <w:autoSpaceDN w:val="0"/>
        <w:autoSpaceDE w:val="0"/>
        <w:widowControl/>
        <w:spacing w:line="238" w:lineRule="auto" w:before="580" w:after="0"/>
        <w:ind w:left="0" w:right="0" w:firstLine="0"/>
        <w:jc w:val="center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ISSUE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580" w:after="0"/>
        <w:ind w:left="30" w:right="0" w:firstLine="0"/>
        <w:jc w:val="left"/>
      </w:pPr>
      <w:r>
        <w:tab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parties were unable to agree on a statement of the issue to be decided but did agree </w:t>
      </w:r>
      <w:r>
        <w:rPr>
          <w:rFonts w:ascii="CGTimes" w:hAnsi="CGTimes" w:eastAsia="CGTimes"/>
          <w:b w:val="0"/>
          <w:i w:val="0"/>
          <w:color w:val="000000"/>
          <w:sz w:val="24"/>
        </w:rPr>
        <w:t>that I could frame the issue after considering their respective positions.</w:t>
      </w:r>
    </w:p>
    <w:p>
      <w:pPr>
        <w:autoSpaceDN w:val="0"/>
        <w:autoSpaceDE w:val="0"/>
        <w:widowControl/>
        <w:spacing w:line="238" w:lineRule="auto" w:before="580" w:after="0"/>
        <w:ind w:left="0" w:right="50" w:firstLine="0"/>
        <w:jc w:val="right"/>
      </w:pPr>
      <w:r>
        <w:rPr>
          <w:rFonts w:ascii="CGTimes" w:hAnsi="CGTimes" w:eastAsia="CGTimes"/>
          <w:b w:val="0"/>
          <w:i w:val="0"/>
          <w:color w:val="000000"/>
          <w:sz w:val="24"/>
        </w:rPr>
        <w:t>6257</w:t>
      </w:r>
    </w:p>
    <w:p>
      <w:pPr>
        <w:sectPr>
          <w:pgSz w:w="12240" w:h="15840"/>
          <w:pgMar w:top="722" w:right="1390" w:bottom="784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496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Page 2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autoSpaceDE w:val="0"/>
        <w:widowControl/>
        <w:spacing w:line="319" w:lineRule="auto" w:before="580" w:after="0"/>
        <w:ind w:left="720" w:right="72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Union asserts the issue is: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Did the employer violate the collective bargaining agreement by not awarding </w:t>
      </w:r>
      <w:r>
        <w:rPr>
          <w:rFonts w:ascii="CGTimes" w:hAnsi="CGTimes" w:eastAsia="CGTimes"/>
          <w:b w:val="0"/>
          <w:i w:val="0"/>
          <w:color w:val="000000"/>
          <w:sz w:val="24"/>
        </w:rPr>
        <w:t>the cold roller job open on May 5, 2000 to the grievant?</w:t>
      </w:r>
    </w:p>
    <w:p>
      <w:pPr>
        <w:autoSpaceDN w:val="0"/>
        <w:autoSpaceDE w:val="0"/>
        <w:widowControl/>
        <w:spacing w:line="238" w:lineRule="auto" w:before="292" w:after="0"/>
        <w:ind w:left="72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If so, what is the appropriate remedy?</w:t>
      </w:r>
    </w:p>
    <w:p>
      <w:pPr>
        <w:autoSpaceDN w:val="0"/>
        <w:autoSpaceDE w:val="0"/>
        <w:widowControl/>
        <w:spacing w:line="300" w:lineRule="auto" w:before="292" w:after="0"/>
        <w:ind w:left="720" w:right="72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Company contends the issue is: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Did the Company violate Article 4, Section 1 of the collective bargaining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agreement when it refused to transfer John Laskowski from his assignment on </w:t>
      </w:r>
      <w:r>
        <w:rPr>
          <w:rFonts w:ascii="CGTimes" w:hAnsi="CGTimes" w:eastAsia="CGTimes"/>
          <w:b w:val="0"/>
          <w:i w:val="0"/>
          <w:color w:val="000000"/>
          <w:sz w:val="24"/>
        </w:rPr>
        <w:t>the crushing machine to the cold roller?</w:t>
      </w:r>
    </w:p>
    <w:p>
      <w:pPr>
        <w:autoSpaceDN w:val="0"/>
        <w:autoSpaceDE w:val="0"/>
        <w:widowControl/>
        <w:spacing w:line="245" w:lineRule="auto" w:before="292" w:after="0"/>
        <w:ind w:left="720" w:right="72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If the Company violated this Article and Section, what is the appropriate </w:t>
      </w:r>
      <w:r>
        <w:rPr>
          <w:rFonts w:ascii="CGTimes" w:hAnsi="CGTimes" w:eastAsia="CGTimes"/>
          <w:b w:val="0"/>
          <w:i w:val="0"/>
          <w:color w:val="000000"/>
          <w:sz w:val="24"/>
        </w:rPr>
        <w:t>remedy?</w:t>
      </w:r>
    </w:p>
    <w:p>
      <w:pPr>
        <w:autoSpaceDN w:val="0"/>
        <w:autoSpaceDE w:val="0"/>
        <w:widowControl/>
        <w:spacing w:line="238" w:lineRule="auto" w:before="292" w:after="232"/>
        <w:ind w:left="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Having considered the parties’ positions, I frame the issue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345"/>
        <w:gridCol w:w="2345"/>
        <w:gridCol w:w="2345"/>
        <w:gridCol w:w="2345"/>
      </w:tblGrid>
      <w:tr>
        <w:trPr>
          <w:trHeight w:hRule="exact" w:val="346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0" w:right="0" w:firstLine="0"/>
              <w:jc w:val="left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Did the Company violate the contract by denying the cold roller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job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72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grievant and, if so, what remedy is appropriate?</w:t>
      </w:r>
    </w:p>
    <w:p>
      <w:pPr>
        <w:autoSpaceDN w:val="0"/>
        <w:autoSpaceDE w:val="0"/>
        <w:widowControl/>
        <w:spacing w:line="336" w:lineRule="auto" w:before="292" w:after="0"/>
        <w:ind w:left="720" w:right="720" w:firstLine="1816"/>
        <w:jc w:val="left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 xml:space="preserve">PERTINENT CONTRACT LANGUAGE </w:t>
      </w:r>
      <w:r>
        <w:br/>
      </w: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 xml:space="preserve">ARTICLE 4. SENIORITY </w:t>
      </w:r>
      <w:r>
        <w:br/>
      </w: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Section 1.</w:t>
      </w:r>
      <w:r>
        <w:rPr>
          <w:rFonts w:ascii="CGTimes" w:hAnsi="CGTimes" w:eastAsia="CGTimes"/>
          <w:b/>
          <w:i w:val="0"/>
          <w:color w:val="000000"/>
          <w:sz w:val="24"/>
        </w:rPr>
        <w:t xml:space="preserve">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Seniority, with ability and qualifications, shall govern in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advancement to higher rated jobs. For other than seasonal work, employees will </w:t>
      </w:r>
      <w:r>
        <w:rPr>
          <w:rFonts w:ascii="CGTimes" w:hAnsi="CGTimes" w:eastAsia="CGTimes"/>
          <w:b w:val="0"/>
          <w:i w:val="0"/>
          <w:color w:val="000000"/>
          <w:sz w:val="24"/>
        </w:rPr>
        <w:t>be called back to work by seniority in their classifications.</w:t>
      </w:r>
    </w:p>
    <w:p>
      <w:pPr>
        <w:autoSpaceDN w:val="0"/>
        <w:autoSpaceDE w:val="0"/>
        <w:widowControl/>
        <w:spacing w:line="238" w:lineRule="auto" w:before="292" w:after="0"/>
        <w:ind w:left="0" w:right="4150" w:firstLine="0"/>
        <w:jc w:val="right"/>
      </w:pPr>
      <w:r>
        <w:rPr>
          <w:rFonts w:ascii="CGTimes" w:hAnsi="CGTimes" w:eastAsia="CGTimes"/>
          <w:b/>
          <w:i w:val="0"/>
          <w:color w:val="000000"/>
          <w:sz w:val="24"/>
        </w:rPr>
        <w:t>. . .</w:t>
      </w:r>
    </w:p>
    <w:p>
      <w:pPr>
        <w:autoSpaceDN w:val="0"/>
        <w:autoSpaceDE w:val="0"/>
        <w:widowControl/>
        <w:spacing w:line="288" w:lineRule="auto" w:before="292" w:after="0"/>
        <w:ind w:left="720" w:right="720" w:firstLine="0"/>
        <w:jc w:val="left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 xml:space="preserve">ARTICLE 34. MAINTENANCE OF STANDARDS </w:t>
      </w:r>
      <w:r>
        <w:br/>
      </w: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Section 1</w:t>
      </w:r>
      <w:r>
        <w:rPr>
          <w:rFonts w:ascii="CGTimes" w:hAnsi="CGTimes" w:eastAsia="CGTimes"/>
          <w:b/>
          <w:i w:val="0"/>
          <w:color w:val="000000"/>
          <w:sz w:val="24"/>
        </w:rPr>
        <w:t xml:space="preserve">.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Employer agrees that all conditions of employment in his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individual operation relating to wages, hours of work, overtime differentials,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and general working conditions shall be maintained at not less than the highest </w:t>
      </w:r>
      <w:r>
        <w:rPr>
          <w:rFonts w:ascii="CGTimes" w:hAnsi="CGTimes" w:eastAsia="CGTimes"/>
          <w:b w:val="0"/>
          <w:i w:val="0"/>
          <w:color w:val="000000"/>
          <w:sz w:val="24"/>
        </w:rPr>
        <w:t>standards in effect at the time of the signing of this agreement.</w:t>
      </w:r>
    </w:p>
    <w:p>
      <w:pPr>
        <w:autoSpaceDN w:val="0"/>
        <w:autoSpaceDE w:val="0"/>
        <w:widowControl/>
        <w:spacing w:line="238" w:lineRule="auto" w:before="292" w:after="0"/>
        <w:ind w:left="0" w:right="4150" w:firstLine="0"/>
        <w:jc w:val="right"/>
      </w:pPr>
      <w:r>
        <w:rPr>
          <w:rFonts w:ascii="CGTimes" w:hAnsi="CGTimes" w:eastAsia="CGTimes"/>
          <w:b/>
          <w:i w:val="0"/>
          <w:color w:val="000000"/>
          <w:sz w:val="24"/>
        </w:rPr>
        <w:t>. . .</w:t>
      </w:r>
    </w:p>
    <w:p>
      <w:pPr>
        <w:sectPr>
          <w:pgSz w:w="12240" w:h="15840"/>
          <w:pgMar w:top="722" w:right="1420" w:bottom="10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496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Page 3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autoSpaceDE w:val="0"/>
        <w:widowControl/>
        <w:spacing w:line="238" w:lineRule="auto" w:before="572" w:after="0"/>
        <w:ind w:left="0" w:right="0" w:firstLine="0"/>
        <w:jc w:val="center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EXHIBIT “A”</w:t>
      </w:r>
    </w:p>
    <w:p>
      <w:pPr>
        <w:autoSpaceDN w:val="0"/>
        <w:autoSpaceDE w:val="0"/>
        <w:widowControl/>
        <w:spacing w:line="245" w:lineRule="auto" w:before="292" w:after="286"/>
        <w:ind w:left="720" w:right="740" w:firstLine="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Drivers, driver operators, and mechanics engaged in doing excavating, grading,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paving and batch work, water, gas pipe, sewer and tunnel work, asphalt and all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black top, snow removal, ashes, cinders, sand, gravel, stone, gravel pit </w:t>
      </w:r>
      <w:r>
        <w:rPr>
          <w:rFonts w:ascii="CGTimes" w:hAnsi="CGTimes" w:eastAsia="CGTimes"/>
          <w:b w:val="0"/>
          <w:i w:val="0"/>
          <w:color w:val="000000"/>
          <w:sz w:val="24"/>
        </w:rPr>
        <w:t>stripping and utility men covering: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76"/>
        <w:gridCol w:w="1876"/>
        <w:gridCol w:w="1876"/>
        <w:gridCol w:w="1876"/>
        <w:gridCol w:w="1876"/>
      </w:tblGrid>
      <w:tr>
        <w:trPr>
          <w:trHeight w:hRule="exact" w:val="298"/>
        </w:trPr>
        <w:tc>
          <w:tcPr>
            <w:tcW w:type="dxa" w:w="35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/>
                <w:i w:val="0"/>
                <w:color w:val="000000"/>
                <w:sz w:val="24"/>
              </w:rPr>
              <w:t>6-1-99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/>
                <w:i w:val="0"/>
                <w:color w:val="000000"/>
                <w:sz w:val="24"/>
              </w:rPr>
              <w:t>6-1-00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/>
                <w:i w:val="0"/>
                <w:color w:val="000000"/>
                <w:sz w:val="24"/>
              </w:rPr>
              <w:t>6-1-01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/>
                <w:i w:val="0"/>
                <w:color w:val="000000"/>
                <w:sz w:val="24"/>
              </w:rPr>
              <w:t>6-1-02</w:t>
            </w:r>
          </w:p>
        </w:tc>
      </w:tr>
      <w:tr>
        <w:trPr>
          <w:trHeight w:hRule="exact" w:val="1160"/>
        </w:trPr>
        <w:tc>
          <w:tcPr>
            <w:tcW w:type="dxa" w:w="35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A. New employees who have </w:t>
            </w:r>
            <w:r>
              <w:br/>
            </w: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never driven trucks for this </w:t>
            </w:r>
            <w:r>
              <w:br/>
            </w: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Employer before, first 90 days of </w:t>
            </w: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employment</w:t>
            </w:r>
          </w:p>
        </w:tc>
        <w:tc>
          <w:tcPr>
            <w:tcW w:type="dxa" w:w="10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$10.18</w:t>
            </w:r>
          </w:p>
        </w:tc>
        <w:tc>
          <w:tcPr>
            <w:tcW w:type="dxa" w:w="11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$10.63</w:t>
            </w:r>
          </w:p>
        </w:tc>
        <w:tc>
          <w:tcPr>
            <w:tcW w:type="dxa" w:w="10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$11.08</w:t>
            </w:r>
          </w:p>
        </w:tc>
        <w:tc>
          <w:tcPr>
            <w:tcW w:type="dxa" w:w="9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$11.53</w:t>
            </w:r>
          </w:p>
        </w:tc>
      </w:tr>
      <w:tr>
        <w:trPr>
          <w:trHeight w:hRule="exact" w:val="586"/>
        </w:trPr>
        <w:tc>
          <w:tcPr>
            <w:tcW w:type="dxa" w:w="3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576" w:firstLine="0"/>
              <w:jc w:val="left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B.  Truck drivers after 90 </w:t>
            </w:r>
            <w:r>
              <w:br/>
            </w: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calendar days of employment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$12.33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$12.78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$13.23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$13.68</w:t>
            </w:r>
          </w:p>
        </w:tc>
      </w:tr>
      <w:tr>
        <w:trPr>
          <w:trHeight w:hRule="exact" w:val="588"/>
        </w:trPr>
        <w:tc>
          <w:tcPr>
            <w:tcW w:type="dxa" w:w="3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 xml:space="preserve">C.  Combination truck driver &amp; </w:t>
            </w: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machine operator &amp; mechanics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$13.98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$14.58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$15.18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CGTimes" w:hAnsi="CGTimes" w:eastAsia="CGTimes"/>
                <w:b w:val="0"/>
                <w:i w:val="0"/>
                <w:color w:val="000000"/>
                <w:sz w:val="24"/>
              </w:rPr>
              <w:t>$15.78</w:t>
            </w:r>
          </w:p>
        </w:tc>
      </w:tr>
    </w:tbl>
    <w:p>
      <w:pPr>
        <w:autoSpaceDN w:val="0"/>
        <w:autoSpaceDE w:val="0"/>
        <w:widowControl/>
        <w:spacing w:line="238" w:lineRule="auto" w:before="292" w:after="0"/>
        <w:ind w:left="0" w:right="0" w:firstLine="0"/>
        <w:jc w:val="center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POSITIONS OF THE PARTIES</w:t>
      </w:r>
    </w:p>
    <w:p>
      <w:pPr>
        <w:autoSpaceDN w:val="0"/>
        <w:autoSpaceDE w:val="0"/>
        <w:widowControl/>
        <w:spacing w:line="238" w:lineRule="auto" w:before="292" w:after="0"/>
        <w:ind w:left="0" w:right="0" w:firstLine="0"/>
        <w:jc w:val="left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The Union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92" w:after="0"/>
        <w:ind w:left="0" w:right="0" w:firstLine="0"/>
        <w:jc w:val="left"/>
      </w:pPr>
      <w:r>
        <w:tab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Union asserts that the Company violated Article 4, Section 1 and Article 34, </w:t>
      </w:r>
      <w:r>
        <w:rPr>
          <w:rFonts w:ascii="CGTimes" w:hAnsi="CGTimes" w:eastAsia="CGTimes"/>
          <w:b w:val="0"/>
          <w:i w:val="0"/>
          <w:color w:val="000000"/>
          <w:sz w:val="24"/>
        </w:rPr>
        <w:t>Section 1 when the Company denied the grievant the cold roller job in May, 2000.</w:t>
      </w:r>
    </w:p>
    <w:p>
      <w:pPr>
        <w:autoSpaceDN w:val="0"/>
        <w:autoSpaceDE w:val="0"/>
        <w:widowControl/>
        <w:spacing w:line="245" w:lineRule="auto" w:before="292" w:after="0"/>
        <w:ind w:left="0" w:right="2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As to Article 4, Section 1, the Union contends that the cold roller job is a “higher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rated” job than operating the crusher because of the potential to earn “white sheet” wages.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Because the grievant had the “ability and qualifications” to operate the cold roller and had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more seniority than the employee given the job by the Company, the Union argues that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grievant was entitled to the job under Article 4, Section 1.  The Union disputes the Company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contention that the grievant’s attitude or temper disqualified him from the job. The Union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assert that such factors are not “qualifications”, that the grievant has never been disciplined for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his attitude or temper, that there is no significant evidence that the grievant’s attitude or temper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is any worse than other employees, and that there is no documented evidence that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>grievant’s attitude or temper have affected job performance.</w:t>
      </w:r>
    </w:p>
    <w:p>
      <w:pPr>
        <w:autoSpaceDN w:val="0"/>
        <w:autoSpaceDE w:val="0"/>
        <w:widowControl/>
        <w:spacing w:line="245" w:lineRule="auto" w:before="292" w:after="0"/>
        <w:ind w:left="0" w:right="2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As to Article 34, Section 1, the Union argues that when jobs have been posted, lateral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transfers such as the one sought by the grievant have always been awarded based on seniority.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Under such circumstances, the Union asserts that the maintenance of standards language in </w:t>
      </w:r>
      <w:r>
        <w:rPr>
          <w:rFonts w:ascii="CGTimes" w:hAnsi="CGTimes" w:eastAsia="CGTimes"/>
          <w:b w:val="0"/>
          <w:i w:val="0"/>
          <w:color w:val="000000"/>
          <w:sz w:val="24"/>
        </w:rPr>
        <w:t>Article 34, Section 1 was violated when the grievant was denied the cold roller position.</w:t>
      </w:r>
    </w:p>
    <w:p>
      <w:pPr>
        <w:sectPr>
          <w:pgSz w:w="12240" w:h="15840"/>
          <w:pgMar w:top="722" w:right="1420" w:bottom="9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496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Page 4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92" w:after="0"/>
        <w:ind w:left="0" w:right="0" w:firstLine="0"/>
        <w:jc w:val="left"/>
      </w:pPr>
      <w:r>
        <w:tab/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Union asks that the Company be ordered to cease and desist from violating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>contract, place the grievant in the cold roller position, and make him whole for any losses.</w:t>
      </w:r>
    </w:p>
    <w:p>
      <w:pPr>
        <w:autoSpaceDN w:val="0"/>
        <w:autoSpaceDE w:val="0"/>
        <w:widowControl/>
        <w:spacing w:line="238" w:lineRule="auto" w:before="292" w:after="0"/>
        <w:ind w:left="0" w:right="0" w:firstLine="0"/>
        <w:jc w:val="left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The Company</w:t>
      </w:r>
    </w:p>
    <w:p>
      <w:pPr>
        <w:autoSpaceDN w:val="0"/>
        <w:autoSpaceDE w:val="0"/>
        <w:widowControl/>
        <w:spacing w:line="245" w:lineRule="auto" w:before="292" w:after="0"/>
        <w:ind w:left="0" w:right="20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Company initially argues that issue to be resolved in arbitration should be limited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to the violation of Article 4, Section 1 alleged in the grievance. The Company asserts that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where, as here, the grievance makes no mention of a past practice or a maintenance of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standards clause argument and there is no evidence that such issues were discussed during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>processing of the grievance, it is inappropriate to consider them now.</w:t>
      </w:r>
    </w:p>
    <w:p>
      <w:pPr>
        <w:autoSpaceDN w:val="0"/>
        <w:autoSpaceDE w:val="0"/>
        <w:widowControl/>
        <w:spacing w:line="245" w:lineRule="auto" w:before="292" w:after="0"/>
        <w:ind w:left="0" w:right="2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As to the alleged violation of Article 4, Section 1, the Company contends that because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request transfer was not to a “higher rated job,” Article 4, Section 1 does not apply and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that the Company was free to assign the roller job as it saw fit.  The Company argues that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only contractually recognized basis for “rating” jobs is by pay classification and points out that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roller job is in the same pay classification as the crusher work the grievant was performing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at the time of the transfer request.  Arguments that the roller job is “higher rated” because of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potential for earning “white sheet” wages or because the roller job is “easier” should be </w:t>
      </w:r>
      <w:r>
        <w:rPr>
          <w:rFonts w:ascii="CGTimes" w:hAnsi="CGTimes" w:eastAsia="CGTimes"/>
          <w:b w:val="0"/>
          <w:i w:val="0"/>
          <w:color w:val="000000"/>
          <w:sz w:val="24"/>
        </w:rPr>
        <w:t>rejected as being speculative, subjective, unworkable and without contractual support.</w:t>
      </w:r>
    </w:p>
    <w:p>
      <w:pPr>
        <w:autoSpaceDN w:val="0"/>
        <w:autoSpaceDE w:val="0"/>
        <w:widowControl/>
        <w:spacing w:line="245" w:lineRule="auto" w:before="292" w:after="0"/>
        <w:ind w:left="0" w:right="24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If the Article 34 maintenance of standards issue is entertained, the Company argues that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it did not violate this contractual provision because the clause does not apply to the exercise of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management rights such as job assignments and because there is no binding past practice to be </w:t>
      </w:r>
      <w:r>
        <w:rPr>
          <w:rFonts w:ascii="CGTimes" w:hAnsi="CGTimes" w:eastAsia="CGTimes"/>
          <w:b w:val="0"/>
          <w:i w:val="0"/>
          <w:color w:val="000000"/>
          <w:sz w:val="24"/>
        </w:rPr>
        <w:t>maintained. The Company contends that job assignments are not “general working conditions”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within the meaning of Article 34, Section 1. As to the alleged existence of a past practice,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Company alleges that there is no consistent, mutually accepted practice of  awarding a lateral </w:t>
      </w:r>
      <w:r>
        <w:rPr>
          <w:rFonts w:ascii="CGTimes" w:hAnsi="CGTimes" w:eastAsia="CGTimes"/>
          <w:b w:val="0"/>
          <w:i w:val="0"/>
          <w:color w:val="000000"/>
          <w:sz w:val="24"/>
        </w:rPr>
        <w:t>transfer to the most senior bidder.</w:t>
      </w:r>
    </w:p>
    <w:p>
      <w:pPr>
        <w:autoSpaceDN w:val="0"/>
        <w:autoSpaceDE w:val="0"/>
        <w:widowControl/>
        <w:spacing w:line="245" w:lineRule="auto" w:before="292" w:after="0"/>
        <w:ind w:left="0" w:right="20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Lastly, the Company argues that even if it is concluded that Article 4 or 34 generally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require that lateral transfers be awarded based on seniority, the grievant was not entitled to this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transfer because he did not have the ability to perform the work to the Company's satisfaction.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Company asserts that its judgement that the grievant’s temperament would prevent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efficient functioning of the paving crew is not arbitrary and capricious and thus should not be </w:t>
      </w:r>
      <w:r>
        <w:rPr>
          <w:rFonts w:ascii="CGTimes" w:hAnsi="CGTimes" w:eastAsia="CGTimes"/>
          <w:b w:val="0"/>
          <w:i w:val="0"/>
          <w:color w:val="000000"/>
          <w:sz w:val="24"/>
        </w:rPr>
        <w:t>second guessed.</w:t>
      </w:r>
    </w:p>
    <w:p>
      <w:pPr>
        <w:autoSpaceDN w:val="0"/>
        <w:autoSpaceDE w:val="0"/>
        <w:widowControl/>
        <w:spacing w:line="238" w:lineRule="auto" w:before="292" w:after="0"/>
        <w:ind w:left="72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Given all of the foregoing, the Company asks that the grievance be denied.</w:t>
      </w:r>
    </w:p>
    <w:p>
      <w:pPr>
        <w:autoSpaceDN w:val="0"/>
        <w:autoSpaceDE w:val="0"/>
        <w:widowControl/>
        <w:spacing w:line="238" w:lineRule="auto" w:before="292" w:after="0"/>
        <w:ind w:left="0" w:right="0" w:firstLine="0"/>
        <w:jc w:val="center"/>
      </w:pPr>
      <w:r>
        <w:rPr>
          <w:rFonts w:ascii="CGTimes" w:hAnsi="CGTimes" w:eastAsia="CGTimes"/>
          <w:b/>
          <w:i w:val="0"/>
          <w:color w:val="000000"/>
          <w:sz w:val="24"/>
          <w:u w:val="single"/>
        </w:rPr>
        <w:t>DISCUSSION</w:t>
      </w:r>
    </w:p>
    <w:p>
      <w:pPr>
        <w:autoSpaceDN w:val="0"/>
        <w:autoSpaceDE w:val="0"/>
        <w:widowControl/>
        <w:spacing w:line="245" w:lineRule="auto" w:before="292" w:after="0"/>
        <w:ind w:left="0" w:right="2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 begin with the issue of whether the dispute before me is limited to the Article 4,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Section 1 violation alleged in the grievance or also includes consideration of whether </w:t>
      </w:r>
      <w:r>
        <w:rPr>
          <w:rFonts w:ascii="CGTimes" w:hAnsi="CGTimes" w:eastAsia="CGTimes"/>
          <w:b w:val="0"/>
          <w:i w:val="0"/>
          <w:color w:val="000000"/>
          <w:sz w:val="24"/>
        </w:rPr>
        <w:t>Article 34, Section 1 was honored by the Company.</w:t>
      </w:r>
    </w:p>
    <w:p>
      <w:pPr>
        <w:sectPr>
          <w:pgSz w:w="12240" w:h="15840"/>
          <w:pgMar w:top="722" w:right="142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496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Page 5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autoSpaceDE w:val="0"/>
        <w:widowControl/>
        <w:spacing w:line="245" w:lineRule="auto" w:before="580" w:after="0"/>
        <w:ind w:left="0" w:right="20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Company correctly notes that arbitrators generally will not decide claims that are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raised at the first time at the arbitration hearing.  However, absent specific contrary language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in the grievance procedure, where the claim remains the same but additional arguments or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contractual provisions are cited in support thereof, arbitrators generally conclude that they have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jurisdiction to consider the additional arguments/contractual provisions.  Here, I conclude that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claim has remained unchanged (i.e. did the grievant have a contractual right to the roller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job?) and the Union at hearing advanced an additional contractual argument in support of that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claim.  Under these circumstances, I am persuaded that both Article 4 and Article 34 are </w:t>
      </w:r>
      <w:r>
        <w:rPr>
          <w:rFonts w:ascii="CGTimes" w:hAnsi="CGTimes" w:eastAsia="CGTimes"/>
          <w:b w:val="0"/>
          <w:i w:val="0"/>
          <w:color w:val="000000"/>
          <w:sz w:val="24"/>
        </w:rPr>
        <w:t>before me for consideration.</w:t>
      </w:r>
    </w:p>
    <w:p>
      <w:pPr>
        <w:autoSpaceDN w:val="0"/>
        <w:autoSpaceDE w:val="0"/>
        <w:widowControl/>
        <w:spacing w:line="245" w:lineRule="auto" w:before="292" w:after="0"/>
        <w:ind w:left="0" w:right="24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As to the alleged violation of Article 4, Section 1,  the Company persuasively argues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that because the two jobs in question are both Class C jobs for the purposes of wage rates,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grievant was not seeking a transfer to a “higher rated job” within the meaning of Article 4,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Section 1.  The only way the contract explicitly “rates” jobs is by hourly wage rate and use of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phrase “higher rated” as opposed to “better” conveys an intent to exclude factors such as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whether a job might be “easier.”  For the same reasons, I reject the argument that the potential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for “white sheet” earnings is a factor in how a job is “rated” under Article 4.  Hourly wage </w:t>
      </w:r>
      <w:r>
        <w:rPr>
          <w:rFonts w:ascii="CGTimes" w:hAnsi="CGTimes" w:eastAsia="CGTimes"/>
          <w:b w:val="0"/>
          <w:i w:val="0"/>
          <w:color w:val="000000"/>
          <w:sz w:val="24"/>
        </w:rPr>
        <w:t>rate is the only explicit contractual rating of jobs and the formality of the phrase “higher rated”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conveys an intent to exclude other considerations which might make a job “better”- including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the potential of “white sheet” earnings.  While such additional factors clearly will play a role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when an employee decides whether to bid on a different job, these factors do not play a role </w:t>
      </w:r>
      <w:r>
        <w:rPr>
          <w:rFonts w:ascii="CGTimes" w:hAnsi="CGTimes" w:eastAsia="CGTimes"/>
          <w:b w:val="0"/>
          <w:i w:val="0"/>
          <w:color w:val="000000"/>
          <w:sz w:val="24"/>
        </w:rPr>
        <w:t>when determining how a job is “rated.”</w:t>
      </w:r>
    </w:p>
    <w:p>
      <w:pPr>
        <w:autoSpaceDN w:val="0"/>
        <w:autoSpaceDE w:val="0"/>
        <w:widowControl/>
        <w:spacing w:line="245" w:lineRule="auto" w:before="292" w:after="0"/>
        <w:ind w:left="0" w:right="22" w:firstLine="72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Because the consideration of seniority under Article 4 is limited to “advancement to </w:t>
      </w:r>
      <w:r>
        <w:rPr>
          <w:rFonts w:ascii="CGTimes" w:hAnsi="CGTimes" w:eastAsia="CGTimes"/>
          <w:b w:val="0"/>
          <w:i w:val="0"/>
          <w:color w:val="000000"/>
          <w:sz w:val="24"/>
        </w:rPr>
        <w:t>higher rated jobs,” and because I conclude that moving from the crusher to the roller is not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“advancement to a higher rated job,” I find that the Company’s action did not violate Article 4. 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While the Company is free to consider seniority in such circumstances, it is not contractually </w:t>
      </w:r>
      <w:r>
        <w:rPr>
          <w:rFonts w:ascii="CGTimes" w:hAnsi="CGTimes" w:eastAsia="CGTimes"/>
          <w:b w:val="0"/>
          <w:i w:val="0"/>
          <w:color w:val="000000"/>
          <w:sz w:val="24"/>
        </w:rPr>
        <w:t>obligated to do so by Article 4.</w:t>
      </w:r>
    </w:p>
    <w:p>
      <w:pPr>
        <w:autoSpaceDN w:val="0"/>
        <w:autoSpaceDE w:val="0"/>
        <w:widowControl/>
        <w:spacing w:line="238" w:lineRule="auto" w:before="292" w:after="0"/>
        <w:ind w:left="72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Turning to Article 34, the contract requires that the Company maintain</w:t>
      </w:r>
    </w:p>
    <w:p>
      <w:pPr>
        <w:autoSpaceDN w:val="0"/>
        <w:autoSpaceDE w:val="0"/>
        <w:widowControl/>
        <w:spacing w:line="245" w:lineRule="auto" w:before="292" w:after="0"/>
        <w:ind w:left="720" w:right="744" w:firstLine="720"/>
        <w:jc w:val="both"/>
      </w:pPr>
      <w:r>
        <w:rPr>
          <w:rFonts w:ascii="CGTimes" w:hAnsi="CGTimes" w:eastAsia="CGTimes"/>
          <w:b/>
          <w:i w:val="0"/>
          <w:color w:val="000000"/>
          <w:sz w:val="24"/>
        </w:rPr>
        <w:t>. . .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 all </w:t>
      </w:r>
      <w:r>
        <w:rPr>
          <w:rFonts w:ascii="CGTimes" w:hAnsi="CGTimes" w:eastAsia="CGTimes"/>
          <w:b/>
          <w:i w:val="0"/>
          <w:color w:val="000000"/>
          <w:sz w:val="24"/>
        </w:rPr>
        <w:t>conditions of employment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 in his individual operation relating to </w:t>
      </w:r>
      <w:r>
        <w:rPr>
          <w:rFonts w:ascii="CGTimes" w:hAnsi="CGTimes" w:eastAsia="CGTimes"/>
          <w:b/>
          <w:i w:val="0"/>
          <w:color w:val="000000"/>
          <w:sz w:val="24"/>
        </w:rPr>
        <w:t xml:space="preserve">wages, hours of work, overtime differentials and general working </w:t>
      </w:r>
      <w:r>
        <w:rPr>
          <w:rFonts w:ascii="CGTimes" w:hAnsi="CGTimes" w:eastAsia="CGTimes"/>
          <w:b/>
          <w:i w:val="0"/>
          <w:color w:val="000000"/>
          <w:sz w:val="24"/>
        </w:rPr>
        <w:t>conditions . . .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  (emphasis added).</w:t>
      </w:r>
    </w:p>
    <w:p>
      <w:pPr>
        <w:autoSpaceDN w:val="0"/>
        <w:autoSpaceDE w:val="0"/>
        <w:widowControl/>
        <w:spacing w:line="245" w:lineRule="auto" w:before="292" w:after="0"/>
        <w:ind w:left="0" w:right="24" w:firstLine="0"/>
        <w:jc w:val="both"/>
      </w:pPr>
      <w:r>
        <w:rPr>
          <w:rFonts w:ascii="CGTimes" w:hAnsi="CGTimes" w:eastAsia="CGTimes"/>
          <w:b w:val="0"/>
          <w:i w:val="0"/>
          <w:color w:val="000000"/>
          <w:sz w:val="24"/>
        </w:rPr>
        <w:t>Because the transfer right asserted by the grievant is not a “wage,” “hour of work” or</w:t>
      </w:r>
      <w:r>
        <w:rPr>
          <w:rFonts w:ascii="CGTimes" w:hAnsi="CGTimes" w:eastAsia="CGTimes"/>
          <w:b w:val="0"/>
          <w:i w:val="0"/>
          <w:color w:val="000000"/>
          <w:sz w:val="24"/>
        </w:rPr>
        <w:t>“overtime differential”, the question becomes whether it is a “general working condition”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within the meaning of Article 34.  I conclude it is not.  While it can well be argued that a </w:t>
      </w:r>
      <w:r>
        <w:rPr>
          <w:rFonts w:ascii="CGTimes" w:hAnsi="CGTimes" w:eastAsia="CGTimes"/>
          <w:b w:val="0"/>
          <w:i w:val="0"/>
          <w:color w:val="000000"/>
          <w:sz w:val="24"/>
        </w:rPr>
        <w:t>practice as to transfers is a “condition of employment,” Article 34 only protects those</w:t>
      </w: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“conditions of employment” that are “general working conditions.”  I am persuaded that the </w:t>
      </w:r>
      <w:r>
        <w:rPr>
          <w:rFonts w:ascii="CGTimes" w:hAnsi="CGTimes" w:eastAsia="CGTimes"/>
          <w:b w:val="0"/>
          <w:i w:val="0"/>
          <w:color w:val="000000"/>
          <w:sz w:val="24"/>
        </w:rPr>
        <w:t>contractual phrase “general working conditions” does not include transfer practices but rather</w:t>
      </w:r>
    </w:p>
    <w:p>
      <w:pPr>
        <w:sectPr>
          <w:pgSz w:w="12240" w:h="15840"/>
          <w:pgMar w:top="722" w:right="1418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0" w:right="0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Page 6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A-5888</w:t>
      </w:r>
    </w:p>
    <w:p>
      <w:pPr>
        <w:autoSpaceDN w:val="0"/>
        <w:autoSpaceDE w:val="0"/>
        <w:widowControl/>
        <w:spacing w:line="245" w:lineRule="auto" w:before="580" w:after="0"/>
        <w:ind w:left="3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are generally limited to matters such as the physical conditions under which work is </w:t>
      </w:r>
      <w:r>
        <w:rPr>
          <w:rFonts w:ascii="CGTimes" w:hAnsi="CGTimes" w:eastAsia="CGTimes"/>
          <w:b w:val="0"/>
          <w:i w:val="0"/>
          <w:color w:val="000000"/>
          <w:sz w:val="24"/>
        </w:rPr>
        <w:t>performed.  Thus, I concluded that the Company’s conduct did not violate Article 34.</w:t>
      </w:r>
    </w:p>
    <w:p>
      <w:pPr>
        <w:autoSpaceDN w:val="0"/>
        <w:autoSpaceDE w:val="0"/>
        <w:widowControl/>
        <w:spacing w:line="238" w:lineRule="auto" w:before="292" w:after="0"/>
        <w:ind w:left="75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Given all of the foregoing, I deny the grievance.</w:t>
      </w:r>
    </w:p>
    <w:p>
      <w:pPr>
        <w:autoSpaceDN w:val="0"/>
        <w:autoSpaceDE w:val="0"/>
        <w:widowControl/>
        <w:spacing w:line="238" w:lineRule="auto" w:before="292" w:after="0"/>
        <w:ind w:left="3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Dated at Madison, Wisconsin this 31st day of July, 2001.</w:t>
      </w:r>
    </w:p>
    <w:p>
      <w:pPr>
        <w:autoSpaceDN w:val="0"/>
        <w:autoSpaceDE w:val="0"/>
        <w:widowControl/>
        <w:spacing w:line="238" w:lineRule="auto" w:before="1190" w:after="0"/>
        <w:ind w:left="30" w:right="0" w:firstLine="0"/>
        <w:jc w:val="left"/>
      </w:pPr>
      <w:r>
        <w:rPr>
          <w:rFonts w:ascii="CGTimes" w:hAnsi="CGTimes" w:eastAsia="CGTimes"/>
          <w:b w:val="0"/>
          <w:i w:val="0"/>
          <w:color w:val="000000"/>
          <w:sz w:val="24"/>
        </w:rPr>
        <w:t>Peter G. Davis, Arbitrator</w:t>
      </w:r>
    </w:p>
    <w:p>
      <w:pPr>
        <w:autoSpaceDN w:val="0"/>
        <w:autoSpaceDE w:val="0"/>
        <w:widowControl/>
        <w:spacing w:line="245" w:lineRule="auto" w:before="6916" w:after="0"/>
        <w:ind w:left="0" w:right="8352" w:firstLine="0"/>
        <w:jc w:val="center"/>
      </w:pPr>
      <w:r>
        <w:rPr>
          <w:rFonts w:ascii="CGTimes" w:hAnsi="CGTimes" w:eastAsia="CGTimes"/>
          <w:b w:val="0"/>
          <w:i w:val="0"/>
          <w:color w:val="000000"/>
          <w:sz w:val="24"/>
        </w:rPr>
        <w:t xml:space="preserve">PGD/gjc </w:t>
      </w:r>
      <w:r>
        <w:br/>
      </w:r>
      <w:r>
        <w:rPr>
          <w:rFonts w:ascii="CGTimes" w:hAnsi="CGTimes" w:eastAsia="CGTimes"/>
          <w:b w:val="0"/>
          <w:i w:val="0"/>
          <w:color w:val="000000"/>
          <w:sz w:val="24"/>
        </w:rPr>
        <w:t>6257.doc</w:t>
      </w:r>
    </w:p>
    <w:sectPr w:rsidR="00FC693F" w:rsidRPr="0006063C" w:rsidSect="00034616">
      <w:pgSz w:w="12240" w:h="15840"/>
      <w:pgMar w:top="722" w:right="1420" w:bottom="1280" w:left="14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