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 xml:space="preserve">Document Level Adjustment Business Rules </w:t>
      </w:r>
    </w:p>
    <w:p>
      <w:pPr>
        <w:autoSpaceDN w:val="0"/>
        <w:autoSpaceDE w:val="0"/>
        <w:widowControl/>
        <w:spacing w:line="388" w:lineRule="exact" w:before="302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General Information</w:t>
      </w:r>
    </w:p>
    <w:p>
      <w:pPr>
        <w:autoSpaceDN w:val="0"/>
        <w:autoSpaceDE w:val="0"/>
        <w:widowControl/>
        <w:spacing w:line="274" w:lineRule="exact" w:before="192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To correct incorrectly recorded costs, adjustments should be made at the document or detail level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an adequate audit trail. </w:t>
      </w:r>
    </w:p>
    <w:p>
      <w:pPr>
        <w:autoSpaceDN w:val="0"/>
        <w:autoSpaceDE w:val="0"/>
        <w:widowControl/>
        <w:spacing w:line="270" w:lineRule="exact" w:before="276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Document Level Adjustments (DLA’s) should be used to correct fully disbursed obligations and no match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transactions.  Please note the DLA process transfers costs, not resources. The process transfers dollar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amounts as paid costs. For partially disbursed obligations, modifications should be processed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normal obligation channels (Contracts/ Grants through AGO and Legacy/ Interagency Agreements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Finance Office). Amounts in undelivered orders cannot be transferred using the DLA process. Bankcard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reconciliation errors can also be adjusted using DLAs. </w:t>
      </w:r>
    </w:p>
    <w:p>
      <w:pPr>
        <w:autoSpaceDN w:val="0"/>
        <w:autoSpaceDE w:val="0"/>
        <w:widowControl/>
        <w:spacing w:line="386" w:lineRule="exact" w:before="240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 xml:space="preserve">Required Approvals </w:t>
      </w:r>
    </w:p>
    <w:p>
      <w:pPr>
        <w:autoSpaceDN w:val="0"/>
        <w:autoSpaceDE w:val="0"/>
        <w:widowControl/>
        <w:spacing w:line="268" w:lineRule="exact" w:before="218" w:after="0"/>
        <w:ind w:left="202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ALL DLA’S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regardless of the amount must be reviewed and approved with signatures by the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Originator’s Supervisor or equivalent before being submitted to AOD for posting.  [See CBS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Document Level Adjustment Approval Form] </w:t>
      </w:r>
    </w:p>
    <w:p>
      <w:pPr>
        <w:autoSpaceDN w:val="0"/>
        <w:autoSpaceDE w:val="0"/>
        <w:widowControl/>
        <w:spacing w:line="270" w:lineRule="exact" w:before="306" w:after="0"/>
        <w:ind w:left="20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DLA’S regardless of the amount between two different fund codes and or program codes, or any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document level adjustment of $500K or more MUST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be reviewed and approved with signatures by the LO/SO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Budget Execution Lead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the LO Chief Financial Officer (CFO) or Staff Office Director,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NOAA or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BIS Budget Execution Office (BEX) before being submitted to AOD for posting. [See CBS Document Level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Adjustment Approval Form] </w:t>
      </w:r>
    </w:p>
    <w:p>
      <w:pPr>
        <w:autoSpaceDN w:val="0"/>
        <w:autoSpaceDE w:val="0"/>
        <w:widowControl/>
        <w:spacing w:line="272" w:lineRule="exact" w:before="296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Transfers between Organizations and/or Financial Management Centers (FMCs):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Any DLA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transferring costs between organizations and/or FMCs requires the signed approval of the affected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organization.  The originator of the DLA must obtain the signed approval form from the affected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organization which contains a statement that they concur with the DLA action and it is appropriate for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approval. [See CBS Document Level Adjustment Approval Form] </w:t>
      </w:r>
    </w:p>
    <w:p>
      <w:pPr>
        <w:autoSpaceDN w:val="0"/>
        <w:autoSpaceDE w:val="0"/>
        <w:widowControl/>
        <w:spacing w:line="386" w:lineRule="exact" w:before="236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Business Rules for Document Level Adjustments</w:t>
      </w:r>
    </w:p>
    <w:p>
      <w:pPr>
        <w:autoSpaceDN w:val="0"/>
        <w:autoSpaceDE w:val="0"/>
        <w:widowControl/>
        <w:spacing w:line="276" w:lineRule="exact" w:before="250" w:after="0"/>
        <w:ind w:left="20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following NOAA Business Rules apply when processing DLAs using the CBS Payment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PM006- Advice of Correction Transaction Screen. See the Document Level Adjustment Standard Operating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Procedures for internal finance office adjustments. </w:t>
      </w:r>
    </w:p>
    <w:p>
      <w:pPr>
        <w:autoSpaceDN w:val="0"/>
        <w:autoSpaceDE w:val="0"/>
        <w:widowControl/>
        <w:spacing w:line="268" w:lineRule="exact" w:before="314" w:after="0"/>
        <w:ind w:left="202" w:right="328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FROM and TO Fund Code Fiscal Year must Match.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Both the ‘FROM’ and ‘TO’ sides of a transaction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must cite the same Fund Code Fiscal Year (FCFY).  Costs from one FCFY may not be transferred into another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FCFY. For example, costs recorded against FCFY 2011 may not be transferred into FCFY 2012.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exceptions are: </w:t>
      </w:r>
    </w:p>
    <w:p>
      <w:pPr>
        <w:autoSpaceDN w:val="0"/>
        <w:tabs>
          <w:tab w:pos="980" w:val="left"/>
        </w:tabs>
        <w:autoSpaceDE w:val="0"/>
        <w:widowControl/>
        <w:spacing w:line="264" w:lineRule="exact" w:before="294" w:after="76"/>
        <w:ind w:left="6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FCFY Exception 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: </w:t>
      </w:r>
      <w:r>
        <w:rPr>
          <w:rFonts w:ascii="TimesNewRomanPS" w:hAnsi="TimesNewRomanPS" w:eastAsia="TimesNewRomanPS"/>
          <w:b w:val="0"/>
          <w:i/>
          <w:color w:val="000000"/>
          <w:sz w:val="23"/>
        </w:rPr>
        <w:t>No Match Overruns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- FCFY can only move forward from a prior FCFY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current FCFY. [Exc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eption must be noted in business rules violation justification]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FCFY Exception 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: </w:t>
      </w:r>
      <w:r>
        <w:rPr>
          <w:rFonts w:ascii="TimesNewRomanPS" w:hAnsi="TimesNewRomanPS" w:eastAsia="TimesNewRomanPS"/>
          <w:b w:val="0"/>
          <w:i/>
          <w:color w:val="000000"/>
          <w:sz w:val="23"/>
        </w:rPr>
        <w:t>Interest Penalties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- For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object class 43-01,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FCFY can only move forward from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prior FCFY to the c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urrent FCFY. [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This exception should be exercised if no other recourse 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available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  <w:u w:val="single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Exception must be noted in business rules violation justification]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/25/201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4" w:right="670" w:bottom="674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 xml:space="preserve">Document Level Adjustment Business Rules </w:t>
      </w:r>
    </w:p>
    <w:p>
      <w:pPr>
        <w:autoSpaceDN w:val="0"/>
        <w:autoSpaceDE w:val="0"/>
        <w:widowControl/>
        <w:spacing w:line="252" w:lineRule="exact" w:before="612" w:after="0"/>
        <w:ind w:left="202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The ‘FROM’ and ‘TO’ Dollar Amounts must Match.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DLA dollar amounts must be equal on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‘FROM’ and ‘TO’ sides of the DLA. </w:t>
      </w:r>
    </w:p>
    <w:p>
      <w:pPr>
        <w:autoSpaceDN w:val="0"/>
        <w:autoSpaceDE w:val="0"/>
        <w:widowControl/>
        <w:spacing w:line="272" w:lineRule="exact" w:before="270" w:after="0"/>
        <w:ind w:left="20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Object Class Codes 31.1x and 32.xx :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DLA’s that contain object class codes 31.1x will not be processed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without approval from the Office of the Chief Administrative Officer (OCAO) Project Planning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Management Division (PPMB). DLA’s that contain the object class code 32.xx will not be processed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without approval from the OCAO Real Property Management Division (RPMD). </w:t>
      </w:r>
    </w:p>
    <w:p>
      <w:pPr>
        <w:autoSpaceDN w:val="0"/>
        <w:autoSpaceDE w:val="0"/>
        <w:widowControl/>
        <w:spacing w:line="270" w:lineRule="exact" w:before="308" w:after="0"/>
        <w:ind w:left="20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Prior Year Adjustments: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Only changes to the object class will be made.  Any other changes will be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 case by case basis, a request for a business rule exception along with the justification for the exception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noted in the reason for adjustment section of the DLA approval form. </w:t>
      </w:r>
    </w:p>
    <w:p>
      <w:pPr>
        <w:autoSpaceDN w:val="0"/>
        <w:autoSpaceDE w:val="0"/>
        <w:widowControl/>
        <w:spacing w:line="268" w:lineRule="exact" w:before="346" w:after="0"/>
        <w:ind w:left="202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Over/Under Object Class Codes are Not Allowed.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DLA’s will not be processed for any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over/under distribution object class codes 77-87-89-99, 77-88-79-99, 77-88-89-99, 77-89-89-99,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77-11- 89-99, or 77-12-89-99. </w:t>
      </w:r>
    </w:p>
    <w:p>
      <w:pPr>
        <w:autoSpaceDN w:val="0"/>
        <w:autoSpaceDE w:val="0"/>
        <w:widowControl/>
        <w:spacing w:line="270" w:lineRule="exact" w:before="296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Leave/Benefit Surcharge Object Class Codes are Not Allowed.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DLA’s are not allowed for any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following surcharge object classes: 11-60-00-00 or 12-10-00-00. Using these object classes would cause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 duplication of surcharges. </w:t>
      </w:r>
    </w:p>
    <w:p>
      <w:pPr>
        <w:autoSpaceDN w:val="0"/>
        <w:autoSpaceDE w:val="0"/>
        <w:widowControl/>
        <w:spacing w:line="270" w:lineRule="exact" w:before="298" w:after="0"/>
        <w:ind w:left="20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Overhead Surcharge Object Class Codes are Not Allowed.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DLA’s will NOT be processed for any of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following surcharge object classes:  77-87-00-00, 77-88-00-00, 77-88-19-00, 77-89-00-00,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77-11-00-00, 77-12-25-17, or 77-12-25-35. Contact NOAA or BIS BEX for guidance on making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adjustments to these object classes. </w:t>
      </w:r>
    </w:p>
    <w:p>
      <w:pPr>
        <w:autoSpaceDN w:val="0"/>
        <w:autoSpaceDE w:val="0"/>
        <w:widowControl/>
        <w:spacing w:line="270" w:lineRule="exact" w:before="296" w:after="0"/>
        <w:ind w:left="20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Accounting Data must be Valid. 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The system requires that each DLA transaction include active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accounting data. This includes the Fund Code, Fiscal Year, Program Code, Project Code, Task Code,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Organization Code, and Object Class Code. </w:t>
      </w:r>
    </w:p>
    <w:p>
      <w:pPr>
        <w:autoSpaceDN w:val="0"/>
        <w:autoSpaceDE w:val="0"/>
        <w:widowControl/>
        <w:spacing w:line="274" w:lineRule="exact" w:before="244" w:after="0"/>
        <w:ind w:left="202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ALL DLA’S must have a clear crosswalk between the ‘From’ and ‘To’ side of the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transaction. Only one of the following combinations will be accepted: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214" w:after="0"/>
        <w:ind w:left="922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One ‘From’ Line Item to One ‘To’ Line Item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One ‘From’ Line Item to Multiple ‘To’ Line Items: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Transaction amounts must match the amount recorded in CBS. If partial amounts are being adjusted,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the ‘To’ lines will reflect the amounts that change and the amounts that are not changing.</w:t>
      </w:r>
    </w:p>
    <w:p>
      <w:pPr>
        <w:autoSpaceDN w:val="0"/>
        <w:autoSpaceDE w:val="0"/>
        <w:widowControl/>
        <w:spacing w:line="318" w:lineRule="exact" w:before="252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The following document types will </w:t>
      </w: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>NOT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be processed:</w:t>
      </w:r>
    </w:p>
    <w:p>
      <w:pPr>
        <w:autoSpaceDN w:val="0"/>
        <w:autoSpaceDE w:val="0"/>
        <w:widowControl/>
        <w:spacing w:line="264" w:lineRule="exact" w:before="256" w:after="790"/>
        <w:ind w:left="922" w:right="82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GJ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ST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Grants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Labor Charges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/25/201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4" w:right="670" w:bottom="674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32"/>
        </w:rPr>
        <w:t xml:space="preserve">Document Level Adjustment Business Rules </w:t>
      </w:r>
    </w:p>
    <w:p>
      <w:pPr>
        <w:autoSpaceDN w:val="0"/>
        <w:autoSpaceDE w:val="0"/>
        <w:widowControl/>
        <w:spacing w:line="388" w:lineRule="exact" w:before="278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DLA Submission Package Guidance</w:t>
      </w:r>
    </w:p>
    <w:p>
      <w:pPr>
        <w:autoSpaceDN w:val="0"/>
        <w:autoSpaceDE w:val="0"/>
        <w:widowControl/>
        <w:spacing w:line="282" w:lineRule="exact" w:before="192" w:after="0"/>
        <w:ind w:left="202" w:right="576" w:firstLine="5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All DLA requests MUST be submitted to your servicing finance office; either 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  <w:u w:val="single"/>
        </w:rPr>
        <w:t>DLASubmissions@noaa.gov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(Eastern Operations Branch) or 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  <w:u w:val="single"/>
        </w:rPr>
        <w:t>WOBDLASubmissions@noaa.gov</w:t>
      </w:r>
      <w:r>
        <w:rPr>
          <w:rFonts w:ascii="TimesNewRomanPSMT" w:hAnsi="TimesNewRomanPSMT" w:eastAsia="TimesNewRomanPSMT"/>
          <w:b w:val="0"/>
          <w:i w:val="0"/>
          <w:color w:val="0000FF"/>
          <w:sz w:val="23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(Western O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perations Branch). Please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note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in the subject line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 The email </w:t>
      </w:r>
      <w:r>
        <w:rPr>
          <w:u w:val="single" w:color="0000ff"/>
          <w:rFonts w:ascii="TimesNewRomanPS" w:hAnsi="TimesNewRomanPS" w:eastAsia="TimesNewRomanPS"/>
          <w:b/>
          <w:i w:val="0"/>
          <w:color w:val="000000"/>
          <w:sz w:val="23"/>
        </w:rPr>
        <w:t xml:space="preserve">MUST </w:t>
      </w:r>
      <w:r>
        <w:rPr>
          <w:u w:val="single" w:color="0000ff"/>
          <w:rFonts w:ascii="TimesNewRomanPSMT" w:hAnsi="TimesNewRomanPSMT" w:eastAsia="TimesNewRomanPSMT"/>
          <w:b w:val="0"/>
          <w:i w:val="0"/>
          <w:color w:val="000000"/>
          <w:sz w:val="23"/>
        </w:rPr>
        <w:t>include the foll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owing supporting documentation: </w:t>
      </w:r>
    </w:p>
    <w:p>
      <w:pPr>
        <w:autoSpaceDN w:val="0"/>
        <w:autoSpaceDE w:val="0"/>
        <w:widowControl/>
        <w:spacing w:line="276" w:lineRule="exact" w:before="282" w:after="0"/>
        <w:ind w:left="202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If any of the required supporting documentation is not included the entire DLA batch will be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disapproved and returned.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254" w:after="0"/>
        <w:ind w:left="92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Signed CBS Document Level Adjustment Approval Form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 clear and concise reason for the DLA (on the DLA Approval Form) which references the supporting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documentation provided.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44" w:after="0"/>
        <w:ind w:left="922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Document Level Adjustment Request Form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Adequate supporting documentation consisting of budget reports and/or any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documentation (i.e., invoices, contracts, etc.) that provides sufficient justification for the DLA.</w:t>
      </w:r>
    </w:p>
    <w:p>
      <w:pPr>
        <w:autoSpaceDN w:val="0"/>
        <w:autoSpaceDE w:val="0"/>
        <w:widowControl/>
        <w:spacing w:line="264" w:lineRule="exact" w:before="44" w:after="0"/>
        <w:ind w:left="128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This documentation should be available for audit by internal and external auditors when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necessary.</w:t>
      </w:r>
    </w:p>
    <w:p>
      <w:pPr>
        <w:autoSpaceDN w:val="0"/>
        <w:autoSpaceDE w:val="0"/>
        <w:widowControl/>
        <w:spacing w:line="388" w:lineRule="exact" w:before="224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 xml:space="preserve">Documentation Retention Requirements </w:t>
      </w:r>
    </w:p>
    <w:p>
      <w:pPr>
        <w:autoSpaceDN w:val="0"/>
        <w:autoSpaceDE w:val="0"/>
        <w:widowControl/>
        <w:spacing w:line="318" w:lineRule="exact" w:before="176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  <w:u w:val="single"/>
        </w:rPr>
        <w:t xml:space="preserve">The Office Originating the DLA and AOD Must Retain the Following Documentation: </w:t>
      </w:r>
    </w:p>
    <w:p>
      <w:pPr>
        <w:autoSpaceDN w:val="0"/>
        <w:tabs>
          <w:tab w:pos="1282" w:val="left"/>
        </w:tabs>
        <w:autoSpaceDE w:val="0"/>
        <w:widowControl/>
        <w:spacing w:line="264" w:lineRule="exact" w:before="184" w:after="5546"/>
        <w:ind w:left="9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Signed CBS Document Level Adjustment Approval Form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Document Level Adjustment Request Form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3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Adequate supporting documentation consisting of budget reports and/or any other documentation (i.e.,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invoices, contracts, etc.) that provides sufficient justification for the DLA. This documentation should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available for audit by internal and external auditors when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0"/>
        <w:gridCol w:w="5440"/>
      </w:tblGrid>
      <w:tr>
        <w:trPr>
          <w:trHeight w:hRule="exact" w:val="240"/>
        </w:trPr>
        <w:tc>
          <w:tcPr>
            <w:tcW w:type="dxa" w:w="599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Last updated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/2016</w:t>
            </w:r>
          </w:p>
        </w:tc>
        <w:tc>
          <w:tcPr>
            <w:tcW w:type="dxa" w:w="487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 Page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84" w:right="670" w:bottom="674" w:left="6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