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</wp:posOffset>
            </wp:positionH>
            <wp:positionV relativeFrom="page">
              <wp:posOffset>8427720</wp:posOffset>
            </wp:positionV>
            <wp:extent cx="7508239" cy="2265074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08239" cy="22650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40" w:after="0"/>
        <w:ind w:left="0" w:right="7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133600" cy="31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9040" cy="990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99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2" w:after="0"/>
        <w:ind w:left="700" w:right="720" w:firstLine="0"/>
        <w:jc w:val="left"/>
      </w:pPr>
      <w:r>
        <w:rPr>
          <w:rFonts w:ascii="BrandonGrotesque" w:hAnsi="BrandonGrotesque" w:eastAsia="BrandonGrotesque"/>
          <w:b/>
          <w:i w:val="0"/>
          <w:color w:val="005591"/>
          <w:sz w:val="39"/>
        </w:rPr>
        <w:t xml:space="preserve">FICHE CONSEIL SUR LA SÉCURITÉ DES DONNÉES DANS </w:t>
      </w:r>
      <w:r>
        <w:rPr>
          <w:rFonts w:ascii="BrandonGrotesque" w:hAnsi="BrandonGrotesque" w:eastAsia="BrandonGrotesque"/>
          <w:b/>
          <w:i w:val="0"/>
          <w:color w:val="005591"/>
          <w:sz w:val="39"/>
        </w:rPr>
        <w:t xml:space="preserve">LE CADRE DE LA GESTION DES DONNÉES </w:t>
      </w:r>
      <w:r>
        <w:br/>
      </w:r>
      <w:r>
        <w:rPr>
          <w:rFonts w:ascii="BrandonGrotesque" w:hAnsi="BrandonGrotesque" w:eastAsia="BrandonGrotesque"/>
          <w:b/>
          <w:i w:val="0"/>
          <w:color w:val="005591"/>
          <w:sz w:val="39"/>
        </w:rPr>
        <w:t>OPÉRATIONNELLES</w:t>
      </w:r>
    </w:p>
    <w:p>
      <w:pPr>
        <w:autoSpaceDN w:val="0"/>
        <w:autoSpaceDE w:val="0"/>
        <w:widowControl/>
        <w:spacing w:line="240" w:lineRule="auto" w:before="22" w:after="0"/>
        <w:ind w:left="728" w:right="0" w:firstLine="0"/>
        <w:jc w:val="left"/>
      </w:pPr>
      <w:r>
        <w:rPr>
          <w:rFonts w:ascii="BrandonGrotesque" w:hAnsi="BrandonGrotesque" w:eastAsia="BrandonGrotesque"/>
          <w:b/>
          <w:i w:val="0"/>
          <w:color w:val="4A8BC9"/>
          <w:sz w:val="24"/>
        </w:rPr>
        <w:t>CENTRE DE DONNÉES HUMANITAIRES D’OCHA</w:t>
      </w:r>
    </w:p>
    <w:p>
      <w:pPr>
        <w:autoSpaceDN w:val="0"/>
        <w:autoSpaceDE w:val="0"/>
        <w:widowControl/>
        <w:spacing w:line="245" w:lineRule="auto" w:before="394" w:after="0"/>
        <w:ind w:left="700" w:right="864" w:firstLine="0"/>
        <w:jc w:val="left"/>
      </w:pPr>
      <w:r>
        <w:rPr>
          <w:rFonts w:ascii="SourceSansPro" w:hAnsi="SourceSansPro" w:eastAsia="SourceSansPro"/>
          <w:b w:val="0"/>
          <w:i/>
          <w:color w:val="000000"/>
          <w:sz w:val="22"/>
        </w:rPr>
        <w:t xml:space="preserve">CartONG a assuré la traduction de cette fiche conseil, grâce au soutien de CLEAR Global et du ministère français de </w:t>
      </w:r>
      <w:r>
        <w:rPr>
          <w:rFonts w:ascii="SourceSansPro" w:hAnsi="SourceSansPro" w:eastAsia="SourceSansPro"/>
          <w:b w:val="0"/>
          <w:i/>
          <w:color w:val="000000"/>
          <w:sz w:val="22"/>
        </w:rPr>
        <w:t>l'Europe et des Affaires étrangères.</w:t>
      </w:r>
    </w:p>
    <w:p>
      <w:pPr>
        <w:autoSpaceDN w:val="0"/>
        <w:autoSpaceDE w:val="0"/>
        <w:widowControl/>
        <w:spacing w:line="252" w:lineRule="auto" w:before="222" w:after="0"/>
        <w:ind w:left="716" w:right="0" w:firstLine="0"/>
        <w:jc w:val="left"/>
      </w:pPr>
      <w:r>
        <w:rPr>
          <w:rFonts w:ascii="SourceSansPro" w:hAnsi="SourceSansPro" w:eastAsia="SourceSansPro"/>
          <w:b/>
          <w:i w:val="0"/>
          <w:color w:val="005591"/>
          <w:sz w:val="28"/>
        </w:rPr>
        <w:t xml:space="preserve">INTRODUCTION </w:t>
      </w:r>
    </w:p>
    <w:p>
      <w:pPr>
        <w:autoSpaceDN w:val="0"/>
        <w:autoSpaceDE w:val="0"/>
        <w:widowControl/>
        <w:spacing w:line="245" w:lineRule="auto" w:before="74" w:after="0"/>
        <w:ind w:left="716" w:right="576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La sécurité des données est un élément clé de </w:t>
      </w:r>
      <w:r>
        <w:rPr>
          <w:rFonts w:ascii="SourceSansPro" w:hAnsi="SourceSansPro" w:eastAsia="SourceSansPro"/>
          <w:b/>
          <w:i w:val="0"/>
          <w:color w:val="4A8BC9"/>
          <w:sz w:val="22"/>
        </w:rPr>
        <w:hyperlink r:id="rId11" w:history="1">
          <w:r>
            <w:rPr>
              <w:rStyle w:val="Hyperlink"/>
            </w:rPr>
            <w:t>la responsabilité en matière de données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: la gestion sécurisée,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éthique et efficace des données en vue d'une r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>éponse opérationnelle. Elle implique un e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nsemble de mesures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physiques, technologiques et procédurales qui protègent la confidentialité, l'intégrité et la disponibilité des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données et empêchent leur perte, leur destruction, leur altération, leur acquisition ou leur divulgation accidentelles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ou intentionnelles, illégales ou non autorisées de quelque manière que ce soit. </w:t>
      </w:r>
    </w:p>
    <w:p>
      <w:pPr>
        <w:autoSpaceDN w:val="0"/>
        <w:autoSpaceDE w:val="0"/>
        <w:widowControl/>
        <w:spacing w:line="245" w:lineRule="auto" w:before="252" w:after="0"/>
        <w:ind w:left="716" w:right="1008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Cette fiche conseil propose une série d'actions recommandées pour la sécurité des données dans le cadre de la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gestion des données opérationnelles. Ces actions doivent être mises en œuvre conformément aux mandats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institutionnels, aux politiques et aux cadres juridiques et réglementaires applicables.</w:t>
      </w:r>
    </w:p>
    <w:p>
      <w:pPr>
        <w:autoSpaceDN w:val="0"/>
        <w:autoSpaceDE w:val="0"/>
        <w:widowControl/>
        <w:spacing w:line="252" w:lineRule="auto" w:before="290" w:after="0"/>
        <w:ind w:left="716" w:right="0" w:firstLine="0"/>
        <w:jc w:val="left"/>
      </w:pPr>
      <w:r>
        <w:rPr>
          <w:rFonts w:ascii="SourceSansPro" w:hAnsi="SourceSansPro" w:eastAsia="SourceSansPro"/>
          <w:b/>
          <w:i w:val="0"/>
          <w:color w:val="005591"/>
          <w:sz w:val="28"/>
        </w:rPr>
        <w:t xml:space="preserve">ADOPTEZ DE BONNES PRATIQUES DE GESTION DES MOTS DE PASSE </w:t>
      </w:r>
    </w:p>
    <w:p>
      <w:pPr>
        <w:autoSpaceDN w:val="0"/>
        <w:tabs>
          <w:tab w:pos="1282" w:val="left"/>
        </w:tabs>
        <w:autoSpaceDE w:val="0"/>
        <w:widowControl/>
        <w:spacing w:line="245" w:lineRule="auto" w:before="100" w:after="0"/>
        <w:ind w:left="1000" w:right="86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Sécurisez vos appareils et vos comptes à l'aide de mots de passe forts comprenant des chiffres, des lettres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majuscules et minuscules, des symboles et au moins 16 caractères par mot de passe.</w:t>
      </w:r>
    </w:p>
    <w:p>
      <w:pPr>
        <w:autoSpaceDN w:val="0"/>
        <w:autoSpaceDE w:val="0"/>
        <w:widowControl/>
        <w:spacing w:line="240" w:lineRule="auto" w:before="124" w:after="0"/>
        <w:ind w:left="100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• Activez l'authentification multifacteurs pour tous les comptes.</w:t>
      </w:r>
    </w:p>
    <w:p>
      <w:pPr>
        <w:autoSpaceDN w:val="0"/>
        <w:autoSpaceDE w:val="0"/>
        <w:widowControl/>
        <w:spacing w:line="240" w:lineRule="auto" w:before="124" w:after="0"/>
        <w:ind w:left="100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• Ne réutilisez pas le même mot de passe pour plusieurs comptes.</w:t>
      </w:r>
    </w:p>
    <w:p>
      <w:pPr>
        <w:autoSpaceDN w:val="0"/>
        <w:tabs>
          <w:tab w:pos="1282" w:val="left"/>
        </w:tabs>
        <w:autoSpaceDE w:val="0"/>
        <w:widowControl/>
        <w:spacing w:line="245" w:lineRule="auto" w:before="124" w:after="0"/>
        <w:ind w:left="1000" w:right="72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Ne stockez pas vos mots de passe physiquement (par exemple sur des post-its) ou numériquement (dans un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fichier sur votre appareil) et ne partagez pas votre mot de passe avec d'autres personnes.</w:t>
      </w:r>
    </w:p>
    <w:p>
      <w:pPr>
        <w:autoSpaceDN w:val="0"/>
        <w:autoSpaceDE w:val="0"/>
        <w:widowControl/>
        <w:spacing w:line="240" w:lineRule="auto" w:before="124" w:after="0"/>
        <w:ind w:left="100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• N'activez pas la fonction "Se souvenir de moi" dans les applications et les navigateurs.</w:t>
      </w:r>
    </w:p>
    <w:p>
      <w:pPr>
        <w:autoSpaceDN w:val="0"/>
        <w:tabs>
          <w:tab w:pos="1282" w:val="left"/>
        </w:tabs>
        <w:autoSpaceDE w:val="0"/>
        <w:widowControl/>
        <w:spacing w:line="245" w:lineRule="auto" w:before="124" w:after="0"/>
        <w:ind w:left="1000" w:right="1152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Changez immédiatement les mots de passe de vos comptes en ligne en cas de perte ou de vol de votre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appareil.</w:t>
      </w:r>
    </w:p>
    <w:p>
      <w:pPr>
        <w:autoSpaceDN w:val="0"/>
        <w:autoSpaceDE w:val="0"/>
        <w:widowControl/>
        <w:spacing w:line="252" w:lineRule="auto" w:before="290" w:after="0"/>
        <w:ind w:left="716" w:right="0" w:firstLine="0"/>
        <w:jc w:val="left"/>
      </w:pPr>
      <w:r>
        <w:rPr>
          <w:rFonts w:ascii="SourceSansPro" w:hAnsi="SourceSansPro" w:eastAsia="SourceSansPro"/>
          <w:b/>
          <w:i w:val="0"/>
          <w:color w:val="005591"/>
          <w:sz w:val="28"/>
        </w:rPr>
        <w:t xml:space="preserve">UTILISEZ UN LOGICIEL ANTIVIRUS/ANTI-MALWARE </w:t>
      </w:r>
    </w:p>
    <w:p>
      <w:pPr>
        <w:autoSpaceDN w:val="0"/>
        <w:autoSpaceDE w:val="0"/>
        <w:widowControl/>
        <w:spacing w:line="240" w:lineRule="auto" w:before="100" w:after="0"/>
        <w:ind w:left="100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Assurez-vous que vos appareils sont équipés d'un logiciel antivirus/anti-malware adéquat. </w:t>
      </w:r>
    </w:p>
    <w:p>
      <w:pPr>
        <w:autoSpaceDN w:val="0"/>
        <w:tabs>
          <w:tab w:pos="1282" w:val="left"/>
        </w:tabs>
        <w:autoSpaceDE w:val="0"/>
        <w:widowControl/>
        <w:spacing w:line="245" w:lineRule="auto" w:before="124" w:after="0"/>
        <w:ind w:left="1000" w:right="576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Si vous avez des questions sur les outils adéquats ou sur la manière de les configurer, consultez le spécialiste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informatique de votre bureau.</w:t>
      </w:r>
    </w:p>
    <w:p>
      <w:pPr>
        <w:autoSpaceDN w:val="0"/>
        <w:autoSpaceDE w:val="0"/>
        <w:widowControl/>
        <w:spacing w:line="252" w:lineRule="auto" w:before="290" w:after="0"/>
        <w:ind w:left="716" w:right="0" w:firstLine="0"/>
        <w:jc w:val="left"/>
      </w:pPr>
      <w:r>
        <w:rPr>
          <w:rFonts w:ascii="SourceSansPro" w:hAnsi="SourceSansPro" w:eastAsia="SourceSansPro"/>
          <w:b/>
          <w:i w:val="0"/>
          <w:color w:val="005591"/>
          <w:sz w:val="28"/>
        </w:rPr>
        <w:t xml:space="preserve">MAINTENEZ LES LOGICIELS ET LES SYSTÈMES D’EXPLOITATION À JOUR </w:t>
      </w:r>
    </w:p>
    <w:p>
      <w:pPr>
        <w:autoSpaceDN w:val="0"/>
        <w:tabs>
          <w:tab w:pos="1282" w:val="left"/>
        </w:tabs>
        <w:autoSpaceDE w:val="0"/>
        <w:widowControl/>
        <w:spacing w:line="245" w:lineRule="auto" w:before="100" w:after="0"/>
        <w:ind w:left="1000" w:right="86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Vérifiez régulièrement que votre appareil, vos logiciels, vos applications et les plug-ins de votre navigateur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sont à jour et activez les mises à jour automatiques de votre système d'exploitation.</w:t>
      </w:r>
    </w:p>
    <w:p>
      <w:pPr>
        <w:autoSpaceDN w:val="0"/>
        <w:tabs>
          <w:tab w:pos="1282" w:val="left"/>
        </w:tabs>
        <w:autoSpaceDE w:val="0"/>
        <w:widowControl/>
        <w:spacing w:line="245" w:lineRule="auto" w:before="124" w:after="0"/>
        <w:ind w:left="1000" w:right="158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Utilisez des navigateurs web tels que Chrome ou Firefox qui reçoivent des mises à jour de sécurité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automatiques.</w:t>
      </w:r>
    </w:p>
    <w:p>
      <w:pPr>
        <w:autoSpaceDN w:val="0"/>
        <w:tabs>
          <w:tab w:pos="1282" w:val="left"/>
        </w:tabs>
        <w:autoSpaceDE w:val="0"/>
        <w:widowControl/>
        <w:spacing w:line="245" w:lineRule="auto" w:before="124" w:after="632"/>
        <w:ind w:left="1000" w:right="1296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Éteignez vos appareils à la fin de la journée pour permettre les mises à jour et vous protéger contre les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attaques.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3969"/>
        <w:gridCol w:w="3969"/>
        <w:gridCol w:w="3969"/>
      </w:tblGrid>
      <w:tr>
        <w:trPr>
          <w:trHeight w:hRule="exact" w:val="260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74" w:right="0" w:firstLine="0"/>
              <w:jc w:val="left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t>Mars 2024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32" w:right="0" w:firstLine="0"/>
              <w:jc w:val="left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2" w:history="1">
                <w:r>
                  <w:rPr>
                    <w:rStyle w:val="Hyperlink"/>
                  </w:rPr>
                  <w:t>OCHA Centre for Humanitarian Data</w:t>
                </w:r>
              </w:hyperlink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354" w:firstLine="0"/>
              <w:jc w:val="right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40" w:right="0" w:bottom="22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</wp:posOffset>
            </wp:positionH>
            <wp:positionV relativeFrom="page">
              <wp:posOffset>8427720</wp:posOffset>
            </wp:positionV>
            <wp:extent cx="7508239" cy="2265074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08239" cy="22650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84" w:val="left"/>
          <w:tab w:pos="568" w:val="left"/>
        </w:tabs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SourceSansPro" w:hAnsi="SourceSansPro" w:eastAsia="SourceSansPro"/>
          <w:b/>
          <w:i w:val="0"/>
          <w:color w:val="005591"/>
          <w:sz w:val="28"/>
        </w:rPr>
        <w:t xml:space="preserve">ÉVITEZ LES ESCROQUERIES PAR HAMEÇONNAGE ET FAITES ATTENTION À CE SUR QUOI </w:t>
      </w:r>
      <w:r>
        <w:rPr>
          <w:rFonts w:ascii="SourceSansPro" w:hAnsi="SourceSansPro" w:eastAsia="SourceSansPro"/>
          <w:b/>
          <w:i w:val="0"/>
          <w:color w:val="005591"/>
          <w:sz w:val="28"/>
        </w:rPr>
        <w:t xml:space="preserve">VOUS CLIQUEZ </w:t>
      </w:r>
      <w:r>
        <w:br/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Lorsque vous recevez des courriels ou des messages suspects, vérifiez toujours l'adresse ou les coordonnées </w:t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de l'expéditeur et ne cliquez sur les liens ou les pièces jointes que si vous avez confiance en l'expéditeur.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Ne répondez pas aux courriels suspects et ne les transmettez pas à vos collègues. </w:t>
      </w:r>
    </w:p>
    <w:p>
      <w:pPr>
        <w:autoSpaceDN w:val="0"/>
        <w:autoSpaceDE w:val="0"/>
        <w:widowControl/>
        <w:spacing w:line="242" w:lineRule="auto" w:before="122" w:after="0"/>
        <w:ind w:left="28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• Signalez toute activité suspecte à votre équipe d'assistance informatique.</w:t>
      </w:r>
    </w:p>
    <w:p>
      <w:pPr>
        <w:autoSpaceDN w:val="0"/>
        <w:tabs>
          <w:tab w:pos="284" w:val="left"/>
          <w:tab w:pos="568" w:val="left"/>
        </w:tabs>
        <w:autoSpaceDE w:val="0"/>
        <w:widowControl/>
        <w:spacing w:line="269" w:lineRule="auto" w:before="324" w:after="0"/>
        <w:ind w:left="0" w:right="144" w:firstLine="0"/>
        <w:jc w:val="left"/>
      </w:pPr>
      <w:r>
        <w:rPr>
          <w:rFonts w:ascii="SourceSansPro" w:hAnsi="SourceSansPro" w:eastAsia="SourceSansPro"/>
          <w:b/>
          <w:i w:val="0"/>
          <w:color w:val="005591"/>
          <w:sz w:val="28"/>
        </w:rPr>
        <w:t>UTILISEZ LES APPAREILS MOBILES DE MANIÈRE RESPONSABLE</w:t>
      </w:r>
      <w:r>
        <w:br/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Dans la mesure du possible, utilisez des appareils spécifiques pour le travail. Conservez en permanence vos </w:t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appareils professionnels dans un endroit sûr et évitez de les trimbaler inutilement.</w:t>
      </w:r>
    </w:p>
    <w:p>
      <w:pPr>
        <w:autoSpaceDN w:val="0"/>
        <w:autoSpaceDE w:val="0"/>
        <w:widowControl/>
        <w:spacing w:line="295" w:lineRule="auto" w:before="122" w:after="0"/>
        <w:ind w:left="284" w:right="288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• Utilisez des outils de messagerie validés par votre organisation et qui offrent un cryptage de bout en bout.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• Désactivez ou réduisez au minimum la connectivité Bluetooth.</w:t>
      </w:r>
    </w:p>
    <w:p>
      <w:pPr>
        <w:autoSpaceDN w:val="0"/>
        <w:autoSpaceDE w:val="0"/>
        <w:widowControl/>
        <w:spacing w:line="242" w:lineRule="auto" w:before="122" w:after="0"/>
        <w:ind w:left="28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Utilisez un réseau privé virtuel (VPN) validé par votre organisation lorsque vous travaillez en ligne. </w:t>
      </w: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center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Déconnectez-vous toujours de votre/vos compte(s) si vous utilisez un ordinateur ou un appareil partagé.</w:t>
      </w:r>
    </w:p>
    <w:p>
      <w:pPr>
        <w:autoSpaceDN w:val="0"/>
        <w:autoSpaceDE w:val="0"/>
        <w:widowControl/>
        <w:spacing w:line="242" w:lineRule="auto" w:before="122" w:after="0"/>
        <w:ind w:left="28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• Désactivez les fonctions de déverrouillage biométrique, en particulier lorsque vous êtes en transit.</w:t>
      </w:r>
    </w:p>
    <w:p>
      <w:pPr>
        <w:autoSpaceDN w:val="0"/>
        <w:tabs>
          <w:tab w:pos="284" w:val="left"/>
          <w:tab w:pos="568" w:val="left"/>
        </w:tabs>
        <w:autoSpaceDE w:val="0"/>
        <w:widowControl/>
        <w:spacing w:line="259" w:lineRule="auto" w:before="288" w:after="0"/>
        <w:ind w:left="0" w:right="0" w:firstLine="0"/>
        <w:jc w:val="left"/>
      </w:pPr>
      <w:r>
        <w:rPr>
          <w:rFonts w:ascii="SourceSansPro" w:hAnsi="SourceSansPro" w:eastAsia="SourceSansPro"/>
          <w:b/>
          <w:i w:val="0"/>
          <w:color w:val="005591"/>
          <w:sz w:val="28"/>
        </w:rPr>
        <w:t xml:space="preserve">PROTÉGEZ LES DONNÉES SENSIBLES ET MINIMISEZ LES DONNÉES </w:t>
      </w:r>
      <w:r>
        <w:br/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Tenez </w:t>
      </w:r>
      <w:r>
        <w:rPr>
          <w:rFonts w:ascii="SourceSansPro" w:hAnsi="SourceSansPro" w:eastAsia="SourceSansPro"/>
          <w:b/>
          <w:i w:val="0"/>
          <w:color w:val="4A8BC9"/>
          <w:sz w:val="22"/>
        </w:rPr>
        <w:hyperlink r:id="rId14" w:history="1">
          <w:r>
            <w:rPr>
              <w:rStyle w:val="Hyperlink"/>
            </w:rPr>
            <w:t>un registre des traitements de données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qui indique le niveau de sensibilité de chaque type de </w:t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donné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hyperlink r:id="rId14" w:history="1">
          <w:r>
            <w:rPr>
              <w:rStyle w:val="Hyperlink"/>
            </w:rPr>
            <w:t>es géré par votre bureau. Révisez réguliè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rement les niveaux de sensibilité en fonction de l'évolution du </w:t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contexte.</w:t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2" w:after="0"/>
        <w:ind w:left="284" w:right="14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Ne collectez que la quantité minimale de données nécessaires pour atteindre l'objectif et les finalités d'une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activité particulière de gestion de données.</w:t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2" w:after="0"/>
        <w:ind w:left="284" w:right="288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Ne conservez les données sensibles que le temps nécessaire à la réalisation de l'objectif pour lequel elles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sont traitées et conformément aux directives, lois et réglementations applicables.</w:t>
      </w:r>
    </w:p>
    <w:p>
      <w:pPr>
        <w:autoSpaceDN w:val="0"/>
        <w:autoSpaceDE w:val="0"/>
        <w:widowControl/>
        <w:spacing w:line="245" w:lineRule="auto" w:before="122" w:after="0"/>
        <w:ind w:left="568" w:right="0" w:hanging="284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Transférez et stockez les données à l'aide d'outils et de canaux validés par votre organisation (localement sur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un serveur ou un ordinateur fixe ou portable de l'organisation ; ou sur des serveurs et des systèmes gérés à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distance par le biais d'applications telles que OneDrive, SharePoint et Teams).</w:t>
      </w:r>
    </w:p>
    <w:p>
      <w:pPr>
        <w:autoSpaceDN w:val="0"/>
        <w:autoSpaceDE w:val="0"/>
        <w:widowControl/>
        <w:spacing w:line="245" w:lineRule="auto" w:before="122" w:after="0"/>
        <w:ind w:left="568" w:right="0" w:hanging="284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Protégez par mot de passe les fichiers (Word, Excel, PDF) contenant des données sensibles et partagez les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mots de passe des documents par des canaux distincts (par exemple, envoyez par SMS un mot de passe pour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un document envoyé par courriel).</w:t>
      </w:r>
    </w:p>
    <w:p>
      <w:pPr>
        <w:autoSpaceDN w:val="0"/>
        <w:autoSpaceDE w:val="0"/>
        <w:widowControl/>
        <w:spacing w:line="242" w:lineRule="auto" w:before="122" w:after="0"/>
        <w:ind w:left="28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• Limitez et contrôlez soigneusement le nombre de personnes ayant accès aux données sensibles.</w:t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2" w:after="0"/>
        <w:ind w:left="284" w:right="432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Définissez un calendrier de conservation et de destruction pour toutes les données gérées et utilisez des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outils adéquats pour la destruction des données.</w:t>
      </w:r>
    </w:p>
    <w:p>
      <w:pPr>
        <w:autoSpaceDN w:val="0"/>
        <w:autoSpaceDE w:val="0"/>
        <w:widowControl/>
        <w:spacing w:line="242" w:lineRule="auto" w:before="122" w:after="276"/>
        <w:ind w:left="28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• Cryptez vos courriels.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546"/>
      </w:tblGrid>
      <w:tr>
        <w:trPr>
          <w:trHeight w:hRule="exact" w:val="640"/>
        </w:trPr>
        <w:tc>
          <w:tcPr>
            <w:tcW w:type="dxa" w:w="10460"/>
            <w:tcBorders/>
            <w:shd w:fill="e8ee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24" w:after="0"/>
              <w:ind w:left="268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64171"/>
                <w:sz w:val="28"/>
              </w:rPr>
              <w:t>RESSOURCES CLÉS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2.0" w:type="dxa"/>
      </w:tblPr>
      <w:tblGrid>
        <w:gridCol w:w="10546"/>
      </w:tblGrid>
      <w:tr>
        <w:trPr>
          <w:trHeight w:hRule="exact" w:val="656"/>
        </w:trPr>
        <w:tc>
          <w:tcPr>
            <w:tcW w:type="dxa" w:w="9840"/>
            <w:tcBorders/>
            <w:shd w:fill="e8eef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6" w:val="left"/>
              </w:tabs>
              <w:autoSpaceDE w:val="0"/>
              <w:widowControl/>
              <w:spacing w:line="245" w:lineRule="auto" w:before="48" w:after="0"/>
              <w:ind w:left="292" w:right="288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4416F"/>
                <w:sz w:val="22"/>
              </w:rPr>
              <w:t xml:space="preserve">• </w:t>
            </w:r>
            <w:r>
              <w:rPr>
                <w:rFonts w:ascii="SourceSansPro" w:hAnsi="SourceSansPro" w:eastAsia="SourceSansPro"/>
                <w:b/>
                <w:i w:val="0"/>
                <w:color w:val="14416F"/>
                <w:sz w:val="22"/>
              </w:rPr>
              <w:hyperlink r:id="rId15" w:history="1">
                <w:r>
                  <w:rPr>
                    <w:rStyle w:val="Hyperlink"/>
                  </w:rPr>
                  <w:t>Lignes directrices opérationne</w:t>
                </w:r>
              </w:hyperlink>
            </w:r>
            <w:r>
              <w:rPr>
                <w:rFonts w:ascii="SourceSansPro" w:hAnsi="SourceSansPro" w:eastAsia="SourceSansPro"/>
                <w:b/>
                <w:i w:val="0"/>
                <w:color w:val="14416F"/>
                <w:sz w:val="22"/>
              </w:rPr>
              <w:hyperlink r:id="rId15" w:history="1">
                <w:r>
                  <w:rPr>
                    <w:rStyle w:val="Hyperlink"/>
                  </w:rPr>
                  <w:t xml:space="preserve">lles du IASC sur la responsabilité en matière de données dans le </w:t>
                </w:r>
              </w:hyperlink>
            </w:r>
            <w:r>
              <w:rPr>
                <w:rFonts w:ascii="SourceSansPro" w:hAnsi="SourceSansPro" w:eastAsia="SourceSansPro"/>
                <w:b/>
                <w:i w:val="0"/>
                <w:color w:val="14416F"/>
                <w:sz w:val="22"/>
              </w:rPr>
              <w:hyperlink r:id="rId15" w:history="1">
                <w:r>
                  <w:rPr>
                    <w:rStyle w:val="Hyperlink"/>
                  </w:rPr>
                  <w:t>cadre de l'action humanitaire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2.0" w:type="dxa"/>
      </w:tblPr>
      <w:tblGrid>
        <w:gridCol w:w="10546"/>
      </w:tblGrid>
      <w:tr>
        <w:trPr>
          <w:trHeight w:hRule="exact" w:val="400"/>
        </w:trPr>
        <w:tc>
          <w:tcPr>
            <w:tcW w:type="dxa" w:w="8380"/>
            <w:tcBorders/>
            <w:shd w:fill="e8ee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6" w:after="0"/>
              <w:ind w:left="292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54170"/>
                <w:sz w:val="22"/>
              </w:rPr>
              <w:t xml:space="preserve">• </w:t>
            </w:r>
            <w:r>
              <w:rPr>
                <w:rFonts w:ascii="SourceSansPro" w:hAnsi="SourceSansPro" w:eastAsia="SourceSansPro"/>
                <w:b/>
                <w:i w:val="0"/>
                <w:color w:val="154170"/>
                <w:sz w:val="22"/>
              </w:rPr>
              <w:hyperlink r:id="rId16" w:history="1">
                <w:r>
                  <w:rPr>
                    <w:rStyle w:val="Hyperlink"/>
                  </w:rPr>
                  <w:t>Note d'orientation sur la gestion des incidents liés aux données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2.0" w:type="dxa"/>
      </w:tblPr>
      <w:tblGrid>
        <w:gridCol w:w="10546"/>
      </w:tblGrid>
      <w:tr>
        <w:trPr>
          <w:trHeight w:hRule="exact" w:val="400"/>
        </w:trPr>
        <w:tc>
          <w:tcPr>
            <w:tcW w:type="dxa" w:w="9100"/>
            <w:tcBorders/>
            <w:shd w:fill="e8ee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6" w:after="0"/>
              <w:ind w:left="292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54170"/>
                <w:sz w:val="22"/>
              </w:rPr>
              <w:t xml:space="preserve">• </w:t>
            </w:r>
            <w:r>
              <w:rPr>
                <w:rFonts w:ascii="SourceSansPro" w:hAnsi="SourceSansPro" w:eastAsia="SourceSansPro"/>
                <w:b/>
                <w:i w:val="0"/>
                <w:color w:val="154170"/>
                <w:sz w:val="22"/>
              </w:rPr>
              <w:hyperlink r:id="rId17" w:history="1">
                <w:r>
                  <w:rPr>
                    <w:rStyle w:val="Hyperlink"/>
                  </w:rPr>
                  <w:t>Fiche de conseils sur l'utilisation responsable des outils de conférence en ligne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5" w:lineRule="auto" w:before="504" w:after="0"/>
        <w:ind w:left="12" w:right="0" w:firstLine="0"/>
        <w:jc w:val="left"/>
      </w:pPr>
      <w:r>
        <w:rPr>
          <w:rFonts w:ascii="SourceSansPro" w:hAnsi="SourceSansPro" w:eastAsia="SourceSansPro"/>
          <w:b w:val="0"/>
          <w:i/>
          <w:color w:val="000000"/>
          <w:sz w:val="22"/>
        </w:rPr>
        <w:hyperlink r:id="rId11" w:history="1">
          <w:r>
            <w:rPr>
              <w:rStyle w:val="Hyperlink"/>
            </w:rPr>
            <w:t>Pour en savoir plus sur la ges</w:t>
          </w:r>
        </w:hyperlink>
      </w:r>
      <w:r>
        <w:rPr>
          <w:rFonts w:ascii="SourceSansPro" w:hAnsi="SourceSansPro" w:eastAsia="SourceSansPro"/>
          <w:b w:val="0"/>
          <w:i/>
          <w:color w:val="000000"/>
          <w:sz w:val="22"/>
        </w:rPr>
        <w:t>tion des données sensibles dans les opérations humanitaires, c</w:t>
      </w:r>
      <w:r>
        <w:rPr>
          <w:rFonts w:ascii="SourceSansPro" w:hAnsi="SourceSansPro" w:eastAsia="SourceSansPro"/>
          <w:b w:val="0"/>
          <w:i/>
          <w:color w:val="000000"/>
          <w:sz w:val="22"/>
        </w:rPr>
        <w:hyperlink r:id="rId18" w:history="1">
          <w:r>
            <w:rPr>
              <w:rStyle w:val="Hyperlink"/>
            </w:rPr>
            <w:t xml:space="preserve">onsultez la page </w:t>
          </w:r>
        </w:hyperlink>
      </w:r>
      <w:r>
        <w:rPr>
          <w:rFonts w:ascii="SourceSansPro" w:hAnsi="SourceSansPro" w:eastAsia="SourceSansPro"/>
          <w:b/>
          <w:i/>
          <w:color w:val="468BC9"/>
          <w:sz w:val="22"/>
        </w:rPr>
        <w:hyperlink r:id="rId11" w:history="1">
          <w:r>
            <w:rPr>
              <w:rStyle w:val="Hyperlink"/>
            </w:rPr>
            <w:t xml:space="preserve">Responsabilité des données </w:t>
          </w:r>
        </w:hyperlink>
      </w:r>
      <w:r>
        <w:rPr>
          <w:rFonts w:ascii="SourceSansPro" w:hAnsi="SourceSansPro" w:eastAsia="SourceSansPro"/>
          <w:b w:val="0"/>
          <w:i/>
          <w:color w:val="000000"/>
          <w:sz w:val="22"/>
        </w:rPr>
        <w:t xml:space="preserve">sur le site web du Centre ou contactez notre équipe à l'adresse </w:t>
      </w:r>
      <w:r>
        <w:rPr>
          <w:rFonts w:ascii="SourceSansPro" w:hAnsi="SourceSansPro" w:eastAsia="SourceSansPro"/>
          <w:b/>
          <w:i/>
          <w:color w:val="468BC9"/>
          <w:sz w:val="22"/>
        </w:rPr>
        <w:hyperlink r:id="rId18" w:history="1">
          <w:r>
            <w:rPr>
              <w:rStyle w:val="Hyperlink"/>
            </w:rPr>
            <w:t>centrehumdata@un.org</w:t>
          </w:r>
        </w:hyperlink>
      </w:r>
      <w:r>
        <w:rPr>
          <w:rFonts w:ascii="SourceSansPro" w:hAnsi="SourceSansPro" w:eastAsia="SourceSansPro"/>
          <w:b w:val="0"/>
          <w:i/>
          <w:color w:val="000000"/>
          <w:sz w:val="22"/>
        </w:rPr>
        <w:t>.</w:t>
      </w:r>
    </w:p>
    <w:sectPr w:rsidR="00FC693F" w:rsidRPr="0006063C" w:rsidSect="00034616">
      <w:pgSz w:w="11906" w:h="16838"/>
      <w:pgMar w:top="322" w:right="652" w:bottom="608" w:left="70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centre.humdata.org/data-responsibility/" TargetMode="External"/><Relationship Id="rId12" Type="http://schemas.openxmlformats.org/officeDocument/2006/relationships/hyperlink" Target="https://centre.humdata.org/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s://docs.google.com/document/d/14tgsFg1WvBFNwc1qSPDx3s5Kuep-erDklnyN2iXSufI/edit?usp=sharing" TargetMode="External"/><Relationship Id="rId15" Type="http://schemas.openxmlformats.org/officeDocument/2006/relationships/hyperlink" Target="https://interagencystandingcommittee.org/operational-response/iasc-operational-guidance-data-responsibility-humanitarian-action" TargetMode="External"/><Relationship Id="rId16" Type="http://schemas.openxmlformats.org/officeDocument/2006/relationships/hyperlink" Target="https://centre.humdata.org/guidance-note-data-incident-management/" TargetMode="External"/><Relationship Id="rId17" Type="http://schemas.openxmlformats.org/officeDocument/2006/relationships/hyperlink" Target="https://shop.icrc.org/tip-sheet-on-the-responsible-use-of-online-conferencing-tools-en-pdf.html" TargetMode="External"/><Relationship Id="rId18" Type="http://schemas.openxmlformats.org/officeDocument/2006/relationships/hyperlink" Target="mailto:centrehumdata%40un.org?subjec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