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Hinchey Announces $3.6 Million in Economic Recovery Funding For Local Housing Authorities</w:t>
      </w:r>
    </w:p>
    <w:p>
      <w:pPr>
        <w:autoSpaceDN w:val="0"/>
        <w:autoSpaceDE w:val="0"/>
        <w:widowControl/>
        <w:spacing w:line="240" w:lineRule="auto" w:before="0" w:after="0"/>
        <w:ind w:left="6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>Tuesday, 24 March 2009 19:00</w:t>
      </w:r>
    </w:p>
    <w:p>
      <w:pPr>
        <w:autoSpaceDN w:val="0"/>
        <w:autoSpaceDE w:val="0"/>
        <w:widowControl/>
        <w:spacing w:line="245" w:lineRule="auto" w:before="1268" w:after="0"/>
        <w:ind w:left="14" w:right="0" w:firstLine="0"/>
        <w:jc w:val="left"/>
      </w:pPr>
      <w:r>
        <w:rPr>
          <w:rFonts w:ascii="FreeSans" w:hAnsi="FreeSans" w:eastAsia="FreeSans"/>
          <w:b w:val="0"/>
          <w:i/>
          <w:color w:val="000000"/>
          <w:sz w:val="24"/>
        </w:rPr>
        <w:t>Washington, DC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- Congressman Maurice Hinchey (D-NY) today announced that the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Binghamton, Ithaca, Kingston, Newburgh, Poughkeepsie, Monticello, and Woodridge Housing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Authorities will receive a total of $1.65 million in federal funds from the recently-approved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economic recovery bill. The funds, which Hinchey voted for, will be used to pay for a variety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public housing projects that have been delayed due to a lack of funding. The Kingston Housing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Authority will receive $281,757 from the economic recovery package; the Housing Authority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Newburgh will receive $224,341; the Binghamton Housing Authority will receive $1,308,424; the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Ithaca Housing Authority will receive $649,230; the Poughkeepsie Housing Authority will receive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$869,736; the Monticello Housing Authority will receive $193,712; and the Woodridge Housing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Authority will receive $81,855.</w:t>
      </w:r>
    </w:p>
    <w:p>
      <w:pPr>
        <w:autoSpaceDN w:val="0"/>
        <w:autoSpaceDE w:val="0"/>
        <w:widowControl/>
        <w:spacing w:line="245" w:lineRule="auto" w:before="816" w:after="0"/>
        <w:ind w:left="14" w:right="14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"These federal funds will help make improvements to local public housing units that have been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needed for some time, but have lacked the necessary federal funding," Hinchey said. "This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economic recovery funding nearly doubles the amount of federal support given to local housing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authorities on an annual basis. These improvements and modernizations will help improve the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lives of the residents and the quality of public housing abroad."</w:t>
      </w:r>
    </w:p>
    <w:p>
      <w:pPr>
        <w:autoSpaceDN w:val="0"/>
        <w:autoSpaceDE w:val="0"/>
        <w:widowControl/>
        <w:spacing w:line="245" w:lineRule="auto" w:before="81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Allocated through an established formula, this funding will allow local housing agencies to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address long-standing improvement needs to public housing units. It will also help to create jobs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in the area and increase energy efficiency within public housing units. HUD's Capital Fund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Program provides annual funding to public housing authorities to develop, finance,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modernize the public housing in their communities. This funding can also be used to make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large-scale improvements such as new roofs; and for the replacement of plumbing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electrical systems to more energy efficient standards.</w:t>
      </w:r>
    </w:p>
    <w:p>
      <w:pPr>
        <w:autoSpaceDN w:val="0"/>
        <w:autoSpaceDE w:val="0"/>
        <w:widowControl/>
        <w:spacing w:line="245" w:lineRule="auto" w:before="816" w:after="0"/>
        <w:ind w:left="14" w:right="576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In addition to the funds announced today, the U.S. Department of Housing and Urban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Development (HUD) will soon make an additional $1 billion available nationwide through a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competitive grant process.</w:t>
      </w:r>
    </w:p>
    <w:p>
      <w:pPr>
        <w:autoSpaceDN w:val="0"/>
        <w:autoSpaceDE w:val="0"/>
        <w:widowControl/>
        <w:spacing w:line="240" w:lineRule="auto" w:before="3674" w:after="0"/>
        <w:ind w:left="0" w:right="282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1 / 1</w:t>
      </w:r>
    </w:p>
    <w:sectPr w:rsidR="00FC693F" w:rsidRPr="0006063C" w:rsidSect="00034616">
      <w:pgSz w:w="11906" w:h="16838"/>
      <w:pgMar w:top="110" w:right="822" w:bottom="272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