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58" w:lineRule="exact" w:before="6" w:after="942"/>
        <w:ind w:left="1440" w:right="1584" w:firstLine="0"/>
        <w:jc w:val="center"/>
      </w:pP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 xml:space="preserve">ALASKA DIVISION OF INSURANCE </w:t>
      </w:r>
      <w:r>
        <w:br/>
      </w: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 xml:space="preserve">INSTRUCTIONS FOR FILING ANNUAL STATEMENT AND PREMIUM TAX REPORT </w:t>
      </w: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>RISK RETENTION GROUP</w:t>
      </w:r>
    </w:p>
    <w:p>
      <w:pPr>
        <w:sectPr>
          <w:pgSz w:w="12240" w:h="15840"/>
          <w:pgMar w:top="172" w:right="808" w:bottom="124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8" w:lineRule="exact" w:before="8" w:after="0"/>
        <w:ind w:left="372" w:right="720" w:firstLine="0"/>
        <w:jc w:val="left"/>
      </w:pPr>
      <w:r>
        <w:rPr>
          <w:w w:val="101.05263559441818"/>
          <w:rFonts w:ascii="Arial" w:hAnsi="Arial" w:eastAsia="Arial"/>
          <w:b/>
          <w:i w:val="0"/>
          <w:color w:val="000000"/>
          <w:sz w:val="19"/>
          <w:u w:val="single"/>
        </w:rPr>
        <w:t xml:space="preserve">First Class Mail (including Registered and Certified) </w:t>
      </w: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 xml:space="preserve">Alaska Division of Insurance </w:t>
      </w:r>
      <w:r>
        <w:br/>
      </w: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 xml:space="preserve">P.O. Box 110805 </w:t>
      </w:r>
      <w:r>
        <w:br/>
      </w: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>Juneau, AK 99811-0805</w:t>
      </w:r>
    </w:p>
    <w:p>
      <w:pPr>
        <w:sectPr>
          <w:type w:val="continuous"/>
          <w:pgSz w:w="12240" w:h="15840"/>
          <w:pgMar w:top="172" w:right="808" w:bottom="124" w:left="902" w:header="720" w:footer="720" w:gutter="0"/>
          <w:cols w:num="2" w:equalWidth="0">
            <w:col w:w="5885" w:space="0"/>
            <w:col w:w="46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4" w:after="238"/>
        <w:ind w:left="798" w:right="864" w:firstLine="0"/>
        <w:jc w:val="left"/>
      </w:pPr>
      <w:r>
        <w:rPr>
          <w:w w:val="101.05263559441818"/>
          <w:rFonts w:ascii="Arial" w:hAnsi="Arial" w:eastAsia="Arial"/>
          <w:b/>
          <w:i w:val="0"/>
          <w:color w:val="000000"/>
          <w:sz w:val="19"/>
          <w:u w:val="single"/>
        </w:rPr>
        <w:t xml:space="preserve">Express Delivery Only </w:t>
      </w:r>
      <w:r>
        <w:br/>
      </w: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 xml:space="preserve">Alaska Division of Insurance </w:t>
      </w:r>
      <w:r>
        <w:br/>
      </w: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 xml:space="preserve">333 Willoughby Avenue, 9th Floor </w:t>
      </w: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>Juneau, AK 99801</w:t>
      </w:r>
    </w:p>
    <w:p>
      <w:pPr>
        <w:sectPr>
          <w:type w:val="nextColumn"/>
          <w:pgSz w:w="12240" w:h="15840"/>
          <w:pgMar w:top="172" w:right="808" w:bottom="124" w:left="902" w:header="720" w:footer="720" w:gutter="0"/>
          <w:cols w:num="2" w:equalWidth="0">
            <w:col w:w="5885" w:space="0"/>
            <w:col w:w="46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265"/>
        <w:gridCol w:w="5265"/>
      </w:tblGrid>
      <w:tr>
        <w:trPr>
          <w:trHeight w:hRule="exact" w:val="1208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A.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B.</w:t>
            </w:r>
          </w:p>
        </w:tc>
        <w:tc>
          <w:tcPr>
            <w:tcW w:type="dxa" w:w="10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74" w:right="144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The Annual Statement, supplements, exhibits and schedules must be filed electronically with the NAIC by March 1,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2010, per Alaska Statute 21.09.200.</w:t>
            </w:r>
          </w:p>
          <w:p>
            <w:pPr>
              <w:autoSpaceDN w:val="0"/>
              <w:autoSpaceDE w:val="0"/>
              <w:widowControl/>
              <w:spacing w:line="238" w:lineRule="exact" w:before="170" w:after="0"/>
              <w:ind w:left="74" w:right="288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The Annual Premium Tax Report Form 08-203 RRG must be mailed to the above address and postmarked on or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before March 1, 2010.</w:t>
            </w:r>
          </w:p>
        </w:tc>
      </w:tr>
    </w:tbl>
    <w:p>
      <w:pPr>
        <w:autoSpaceDN w:val="0"/>
        <w:autoSpaceDE w:val="0"/>
        <w:widowControl/>
        <w:spacing w:line="248" w:lineRule="exact" w:before="232" w:after="0"/>
        <w:ind w:left="0" w:right="0" w:firstLine="0"/>
        <w:jc w:val="left"/>
      </w:pPr>
      <w:r>
        <w:rPr>
          <w:w w:val="101.05263559441818"/>
          <w:rFonts w:ascii="Arial" w:hAnsi="Arial" w:eastAsia="Arial"/>
          <w:b/>
          <w:i w:val="0"/>
          <w:color w:val="FF0000"/>
          <w:sz w:val="19"/>
          <w:u w:val="single"/>
        </w:rPr>
        <w:t>The Premium Tax payment must be postmarked on or before March 1, 2010 per AS 21.09.210.  The payment can be</w:t>
      </w:r>
      <w:r>
        <w:rPr>
          <w:w w:val="101.05263559441818"/>
          <w:rFonts w:ascii="Arial" w:hAnsi="Arial" w:eastAsia="Arial"/>
          <w:b/>
          <w:i w:val="0"/>
          <w:color w:val="FF0000"/>
          <w:sz w:val="19"/>
        </w:rPr>
        <w:t xml:space="preserve"> </w:t>
      </w:r>
      <w:r>
        <w:rPr>
          <w:w w:val="101.05263559441818"/>
          <w:rFonts w:ascii="Arial" w:hAnsi="Arial" w:eastAsia="Arial"/>
          <w:b/>
          <w:i w:val="0"/>
          <w:color w:val="FF0000"/>
          <w:sz w:val="19"/>
          <w:u w:val="single"/>
        </w:rPr>
        <w:t>made by the Automated Clearing House payment method</w:t>
      </w:r>
      <w:r>
        <w:rPr>
          <w:w w:val="101.05263559441818"/>
          <w:rFonts w:ascii="Arial" w:hAnsi="Arial" w:eastAsia="Arial"/>
          <w:b/>
          <w:i w:val="0"/>
          <w:color w:val="FF0000"/>
          <w:sz w:val="19"/>
        </w:rPr>
        <w:t>.</w:t>
      </w:r>
    </w:p>
    <w:p>
      <w:pPr>
        <w:autoSpaceDN w:val="0"/>
        <w:autoSpaceDE w:val="0"/>
        <w:widowControl/>
        <w:spacing w:line="266" w:lineRule="exact" w:before="232" w:after="50"/>
        <w:ind w:left="0" w:right="0" w:firstLine="0"/>
        <w:jc w:val="left"/>
      </w:pP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>Other Important Notes: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5265"/>
        <w:gridCol w:w="5265"/>
      </w:tblGrid>
      <w:tr>
        <w:trPr>
          <w:trHeight w:hRule="exact" w:val="538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8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1</w:t>
            </w:r>
          </w:p>
          <w:p>
            <w:pPr>
              <w:autoSpaceDN w:val="0"/>
              <w:autoSpaceDE w:val="0"/>
              <w:widowControl/>
              <w:spacing w:line="264" w:lineRule="exact" w:before="734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2</w:t>
            </w:r>
          </w:p>
          <w:p>
            <w:pPr>
              <w:autoSpaceDN w:val="0"/>
              <w:autoSpaceDE w:val="0"/>
              <w:widowControl/>
              <w:spacing w:line="264" w:lineRule="exact" w:before="1006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3</w:t>
            </w:r>
          </w:p>
          <w:p>
            <w:pPr>
              <w:autoSpaceDN w:val="0"/>
              <w:autoSpaceDE w:val="0"/>
              <w:widowControl/>
              <w:spacing w:line="264" w:lineRule="exact" w:before="466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4</w:t>
            </w:r>
          </w:p>
          <w:p>
            <w:pPr>
              <w:autoSpaceDN w:val="0"/>
              <w:autoSpaceDE w:val="0"/>
              <w:widowControl/>
              <w:spacing w:line="514" w:lineRule="exact" w:before="472" w:after="0"/>
              <w:ind w:left="68" w:right="66" w:firstLine="0"/>
              <w:jc w:val="both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5 </w:t>
            </w:r>
            <w:r>
              <w:br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6 </w:t>
            </w:r>
            <w:r>
              <w:br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7</w:t>
            </w:r>
          </w:p>
        </w:tc>
        <w:tc>
          <w:tcPr>
            <w:tcW w:type="dxa" w:w="10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94" w:right="144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FF0000"/>
                <w:sz w:val="19"/>
              </w:rPr>
              <w:t xml:space="preserve">NOTE: Report written premium for the insurance of risks resident or located in Alaska as required by Alaska </w:t>
            </w:r>
            <w:r>
              <w:rPr>
                <w:w w:val="101.05263559441818"/>
                <w:rFonts w:ascii="Arial" w:hAnsi="Arial" w:eastAsia="Arial"/>
                <w:b/>
                <w:i w:val="0"/>
                <w:color w:val="FF0000"/>
                <w:sz w:val="19"/>
              </w:rPr>
              <w:t xml:space="preserve">statute 21.09.210.  When a policy or contract covers subjects or risks located or resident in more than one </w:t>
            </w:r>
            <w:r>
              <w:rPr>
                <w:w w:val="101.05263559441818"/>
                <w:rFonts w:ascii="Arial" w:hAnsi="Arial" w:eastAsia="Arial"/>
                <w:b/>
                <w:i w:val="0"/>
                <w:color w:val="FF0000"/>
                <w:sz w:val="19"/>
              </w:rPr>
              <w:t>state, allocate premium and report that portion that covers Alaska subjects or risks</w:t>
            </w:r>
          </w:p>
          <w:p>
            <w:pPr>
              <w:autoSpaceDN w:val="0"/>
              <w:autoSpaceDE w:val="0"/>
              <w:widowControl/>
              <w:spacing w:line="238" w:lineRule="exact" w:before="266" w:after="0"/>
              <w:ind w:left="94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In order to continue your registration as a risk retention group in Alaska, you must be in compliance with Alaska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Regulation 3 AAC 24.060.  The annual continuation application must be filed with a payment of the $200 continuation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fee by December 31, 2009.  Failure to send the completed application of continuation to our office by January 31, 2010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will result in the discontinuation of the risk retention group’s registration as of December 31, 2009.</w:t>
            </w:r>
          </w:p>
          <w:p>
            <w:pPr>
              <w:autoSpaceDN w:val="0"/>
              <w:autoSpaceDE w:val="0"/>
              <w:widowControl/>
              <w:spacing w:line="236" w:lineRule="exact" w:before="326" w:after="0"/>
              <w:ind w:left="94" w:right="576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Unless properly registered, a risk retention group cannot transact insurance in accordance with the Liability Risk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Retention Act of 1986.</w:t>
            </w:r>
          </w:p>
          <w:p>
            <w:pPr>
              <w:autoSpaceDN w:val="0"/>
              <w:autoSpaceDE w:val="0"/>
              <w:widowControl/>
              <w:spacing w:line="238" w:lineRule="exact" w:before="250" w:after="0"/>
              <w:ind w:left="94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If the Risk Retention Group provides documentation that the proper collection, reporting and payment of applicable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taxes has been done by an Alaska Licensed Surplus Lines Broker (resident or nonresident) (AS 21.34.180), the liability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for the payment of that portion of the tax is waived.</w:t>
            </w:r>
          </w:p>
          <w:p>
            <w:pPr>
              <w:autoSpaceDN w:val="0"/>
              <w:autoSpaceDE w:val="0"/>
              <w:widowControl/>
              <w:spacing w:line="264" w:lineRule="exact" w:before="254" w:after="0"/>
              <w:ind w:left="94" w:right="0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If the due date falls on a weekend or holiday, payment is due the next business day.</w:t>
            </w:r>
          </w:p>
          <w:p>
            <w:pPr>
              <w:autoSpaceDN w:val="0"/>
              <w:autoSpaceDE w:val="0"/>
              <w:widowControl/>
              <w:spacing w:line="264" w:lineRule="exact" w:before="242" w:after="0"/>
              <w:ind w:left="94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Premium tax refunds must be requested by letter and include supporting documentation.</w:t>
            </w:r>
          </w:p>
          <w:p>
            <w:pPr>
              <w:autoSpaceDN w:val="0"/>
              <w:autoSpaceDE w:val="0"/>
              <w:widowControl/>
              <w:spacing w:line="262" w:lineRule="exact" w:before="248" w:after="0"/>
              <w:ind w:left="94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The official premium tax/fees contact name, address, phone, fax, &amp; email will change to the information on the report.</w:t>
            </w:r>
          </w:p>
        </w:tc>
      </w:tr>
    </w:tbl>
    <w:p>
      <w:pPr>
        <w:autoSpaceDN w:val="0"/>
        <w:autoSpaceDE w:val="0"/>
        <w:widowControl/>
        <w:spacing w:line="256" w:lineRule="exact" w:before="410" w:after="0"/>
        <w:ind w:left="0" w:right="1584" w:firstLine="0"/>
        <w:jc w:val="left"/>
      </w:pPr>
      <w:r>
        <w:rPr>
          <w:w w:val="101.05263559441818"/>
          <w:rFonts w:ascii="Arial" w:hAnsi="Arial" w:eastAsia="Arial"/>
          <w:b/>
          <w:i w:val="0"/>
          <w:color w:val="FF0000"/>
          <w:sz w:val="19"/>
        </w:rPr>
        <w:hyperlink r:id="rId9" w:history="1">
          <w:r>
            <w:rPr>
              <w:rStyle w:val="Hyperlink"/>
            </w:rPr>
            <w:t>IF YOU HAVE ANY QUESTION</w:t>
          </w:r>
        </w:hyperlink>
      </w:r>
      <w:r>
        <w:rPr>
          <w:w w:val="101.05263559441818"/>
          <w:rFonts w:ascii="Arial" w:hAnsi="Arial" w:eastAsia="Arial"/>
          <w:b/>
          <w:i w:val="0"/>
          <w:color w:val="FF0000"/>
          <w:sz w:val="19"/>
        </w:rPr>
        <w:t xml:space="preserve">S, PLEASE CALL REBECCA NESHEIM AT (907) 465-2584 OR EMAIL </w:t>
      </w:r>
      <w:r>
        <w:rPr>
          <w:w w:val="101.05263559441818"/>
          <w:rFonts w:ascii="Arial" w:hAnsi="Arial" w:eastAsia="Arial"/>
          <w:b/>
          <w:i w:val="0"/>
          <w:color w:val="FF0000"/>
          <w:sz w:val="19"/>
        </w:rPr>
        <w:hyperlink r:id="rId9" w:history="1">
          <w:r>
            <w:rPr>
              <w:rStyle w:val="Hyperlink"/>
            </w:rPr>
            <w:t>rebecca.nesheim@alaska.gov</w:t>
          </w:r>
        </w:hyperlink>
      </w:r>
    </w:p>
    <w:p>
      <w:pPr>
        <w:autoSpaceDN w:val="0"/>
        <w:autoSpaceDE w:val="0"/>
        <w:widowControl/>
        <w:spacing w:line="262" w:lineRule="exact" w:before="3188" w:after="0"/>
        <w:ind w:left="192" w:right="0" w:firstLine="0"/>
        <w:jc w:val="left"/>
      </w:pP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 xml:space="preserve"> 08-203RRG (Rev. 10/09)</w:t>
      </w:r>
    </w:p>
    <w:p>
      <w:pPr>
        <w:sectPr>
          <w:type w:val="continuous"/>
          <w:pgSz w:w="12240" w:h="15840"/>
          <w:pgMar w:top="172" w:right="808" w:bottom="124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autoSpaceDE w:val="0"/>
        <w:widowControl/>
        <w:spacing w:line="250" w:lineRule="exact" w:before="60" w:after="0"/>
        <w:ind w:left="3312" w:right="3312" w:firstLine="0"/>
        <w:jc w:val="center"/>
      </w:pPr>
      <w:r>
        <w:rPr>
          <w:w w:val="98.08695419974948"/>
          <w:rFonts w:ascii="Arial" w:hAnsi="Arial" w:eastAsia="Arial"/>
          <w:b/>
          <w:i w:val="0"/>
          <w:color w:val="000000"/>
          <w:sz w:val="23"/>
        </w:rPr>
        <w:t xml:space="preserve">ALASKA DIVISION OF INSURANCE </w:t>
      </w:r>
      <w:r>
        <w:br/>
      </w: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 xml:space="preserve">2009 ANNUAL PREMIUM TAX REPORT </w:t>
      </w:r>
      <w:r>
        <w:br/>
      </w: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>RISK RETENTION GROUP</w:t>
      </w:r>
    </w:p>
    <w:p>
      <w:pPr>
        <w:autoSpaceDN w:val="0"/>
        <w:autoSpaceDE w:val="0"/>
        <w:widowControl/>
        <w:spacing w:line="240" w:lineRule="exact" w:before="64" w:after="96"/>
        <w:ind w:left="0" w:right="0" w:firstLine="0"/>
        <w:jc w:val="center"/>
      </w:pPr>
      <w:r>
        <w:rPr>
          <w:w w:val="97.33333587646484"/>
          <w:rFonts w:ascii="Arial" w:hAnsi="Arial" w:eastAsia="Arial"/>
          <w:b/>
          <w:i w:val="0"/>
          <w:color w:val="000000"/>
          <w:sz w:val="18"/>
        </w:rPr>
        <w:t>Must be Postmarked on or before March 1, 2010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507"/>
        <w:gridCol w:w="3507"/>
        <w:gridCol w:w="3507"/>
      </w:tblGrid>
      <w:tr>
        <w:trPr>
          <w:trHeight w:hRule="exact" w:val="538"/>
        </w:trPr>
        <w:tc>
          <w:tcPr>
            <w:tcW w:type="dxa" w:w="5416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Risk Retention Group Name</w:t>
            </w:r>
          </w:p>
        </w:tc>
        <w:tc>
          <w:tcPr>
            <w:tcW w:type="dxa" w:w="2584"/>
            <w:tcBorders>
              <w:start w:sz="6.400000000000091" w:val="single" w:color="#000000"/>
              <w:top w:sz="6.399999999999977" w:val="single" w:color="#000000"/>
              <w:end w:sz="7.199999999999818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Organized Under the Laws of:</w:t>
            </w:r>
          </w:p>
        </w:tc>
        <w:tc>
          <w:tcPr>
            <w:tcW w:type="dxa" w:w="2486"/>
            <w:tcBorders>
              <w:start w:sz="7.199999999999818" w:val="single" w:color="#000000"/>
              <w:top w:sz="6.399999999999977" w:val="single" w:color="#000000"/>
              <w:end w:sz="7.199999999999818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 NAIC #</w:t>
            </w:r>
          </w:p>
        </w:tc>
      </w:tr>
      <w:tr>
        <w:trPr>
          <w:trHeight w:hRule="exact" w:val="538"/>
        </w:trPr>
        <w:tc>
          <w:tcPr>
            <w:tcW w:type="dxa" w:w="10486"/>
            <w:gridSpan w:val="3"/>
            <w:tcBorders>
              <w:start w:sz="6.399999999999977" w:val="single" w:color="#000000"/>
              <w:top w:sz="6.399999999999977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Mailing Address                                                                                                                                    City, State, Zip Code</w:t>
            </w:r>
          </w:p>
        </w:tc>
      </w:tr>
      <w:tr>
        <w:trPr>
          <w:trHeight w:hRule="exact" w:val="562"/>
        </w:trPr>
        <w:tc>
          <w:tcPr>
            <w:tcW w:type="dxa" w:w="5416"/>
            <w:vMerge w:val="restart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2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Contact Name and Address, if different than above *</w:t>
            </w:r>
          </w:p>
        </w:tc>
        <w:tc>
          <w:tcPr>
            <w:tcW w:type="dxa" w:w="2584"/>
            <w:tcBorders>
              <w:start w:sz="6.400000000000091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28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Phone:</w:t>
            </w:r>
          </w:p>
        </w:tc>
        <w:tc>
          <w:tcPr>
            <w:tcW w:type="dxa" w:w="2486"/>
            <w:tcBorders>
              <w:start w:sz="7.199999999999818" w:val="single" w:color="#000000"/>
              <w:top w:sz="6.400000000000091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28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Fax:</w:t>
            </w:r>
          </w:p>
        </w:tc>
      </w:tr>
      <w:tr>
        <w:trPr>
          <w:trHeight w:hRule="exact" w:val="280"/>
        </w:trPr>
        <w:tc>
          <w:tcPr>
            <w:tcW w:type="dxa" w:w="3507"/>
            <w:vMerge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</w:tcPr>
          <w:p/>
        </w:tc>
        <w:tc>
          <w:tcPr>
            <w:tcW w:type="dxa" w:w="5070"/>
            <w:gridSpan w:val="2"/>
            <w:tcBorders>
              <w:start w:sz="6.400000000000091" w:val="single" w:color="#000000"/>
              <w:top w:sz="7.2000000000000455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Email:</w:t>
            </w:r>
          </w:p>
        </w:tc>
      </w:tr>
    </w:tbl>
    <w:p>
      <w:pPr>
        <w:autoSpaceDN w:val="0"/>
        <w:autoSpaceDE w:val="0"/>
        <w:widowControl/>
        <w:spacing w:line="192" w:lineRule="exact" w:before="28" w:after="0"/>
        <w:ind w:left="3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>* Changing official record - see instructions</w:t>
      </w:r>
    </w:p>
    <w:p>
      <w:pPr>
        <w:autoSpaceDN w:val="0"/>
        <w:autoSpaceDE w:val="0"/>
        <w:widowControl/>
        <w:spacing w:line="264" w:lineRule="exact" w:before="134" w:after="28"/>
        <w:ind w:left="414" w:right="0" w:firstLine="0"/>
        <w:jc w:val="left"/>
      </w:pP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 xml:space="preserve">PREMIUM TAX CALCULATION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754"/>
        <w:gridCol w:w="1754"/>
        <w:gridCol w:w="1754"/>
        <w:gridCol w:w="1754"/>
        <w:gridCol w:w="1754"/>
        <w:gridCol w:w="1754"/>
      </w:tblGrid>
      <w:tr>
        <w:trPr>
          <w:trHeight w:hRule="exact" w:val="292"/>
        </w:trPr>
        <w:tc>
          <w:tcPr>
            <w:tcW w:type="dxa" w:w="7950"/>
            <w:gridSpan w:val="5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" w:after="0"/>
              <w:ind w:left="62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1. Premium Tax</w:t>
            </w:r>
          </w:p>
        </w:tc>
        <w:tc>
          <w:tcPr>
            <w:tcW w:type="dxa" w:w="2484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" w:after="0"/>
              <w:ind w:left="144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x 2.7% =</w:t>
            </w:r>
          </w:p>
        </w:tc>
      </w:tr>
      <w:tr>
        <w:trPr>
          <w:trHeight w:hRule="exact" w:val="606"/>
        </w:trPr>
        <w:tc>
          <w:tcPr>
            <w:tcW w:type="dxa" w:w="7950"/>
            <w:gridSpan w:val="5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316" w:lineRule="exact" w:before="0" w:after="0"/>
              <w:ind w:left="62" w:right="1008" w:firstLine="0"/>
              <w:jc w:val="left"/>
            </w:pPr>
            <w:r>
              <w:tab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(Schedule A) Net Premium </w:t>
            </w:r>
            <w:r>
              <w:br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2. Have any of the above taxes been collected, reported, and paid by an Alaska</w:t>
            </w:r>
          </w:p>
        </w:tc>
        <w:tc>
          <w:tcPr>
            <w:tcW w:type="dxa" w:w="2484"/>
            <w:vMerge w:val="restart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354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Licensed Surplus Lines Broker?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82" w:firstLine="0"/>
              <w:jc w:val="righ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Yes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340"/>
            </w:tblGrid>
            <w:tr>
              <w:trPr>
                <w:trHeight w:hRule="exact" w:val="140"/>
              </w:trPr>
              <w:tc>
                <w:tcPr>
                  <w:tcW w:type="dxa" w:w="162"/>
                  <w:tcBorders>
                    <w:start w:sz="7.679999828338623" w:val="single" w:color="#000000"/>
                    <w:top w:sz="7.679999828338623" w:val="single" w:color="#000000"/>
                    <w:end w:sz="7.679999828338623" w:val="single" w:color="#000000"/>
                    <w:bottom w:sz="7.67999982833862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No</w:t>
            </w:r>
          </w:p>
        </w:tc>
        <w:tc>
          <w:tcPr>
            <w:tcW w:type="dxa" w:w="2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2190"/>
            </w:tblGrid>
            <w:tr>
              <w:trPr>
                <w:trHeight w:hRule="exact" w:val="140"/>
              </w:trPr>
              <w:tc>
                <w:tcPr>
                  <w:tcW w:type="dxa" w:w="160"/>
                  <w:tcBorders>
                    <w:start w:sz="7.679999828338623" w:val="single" w:color="#000000"/>
                    <w:top w:sz="7.679999828338623" w:val="single" w:color="#000000"/>
                    <w:end w:sz="7.679999828338623" w:val="single" w:color="#000000"/>
                    <w:bottom w:sz="7.67999982833862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54"/>
            <w:vMerge/>
            <w:tcBorders>
              <w:top w:sz="6.400000000000091" w:val="single" w:color="#000000"/>
            </w:tcBorders>
          </w:tcPr>
          <w:p/>
        </w:tc>
      </w:tr>
      <w:tr>
        <w:trPr>
          <w:trHeight w:hRule="exact" w:val="308"/>
        </w:trPr>
        <w:tc>
          <w:tcPr>
            <w:tcW w:type="dxa" w:w="795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354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If yes, complete Schedule B on the following page and provide documentation.</w:t>
            </w:r>
          </w:p>
        </w:tc>
        <w:tc>
          <w:tcPr>
            <w:tcW w:type="dxa" w:w="1754"/>
            <w:vMerge/>
            <w:tcBorders>
              <w:top w:sz="6.400000000000091" w:val="single" w:color="#000000"/>
            </w:tcBorders>
          </w:tcPr>
          <w:p/>
        </w:tc>
      </w:tr>
    </w:tbl>
    <w:p>
      <w:pPr>
        <w:autoSpaceDN w:val="0"/>
        <w:tabs>
          <w:tab w:pos="414" w:val="left"/>
        </w:tabs>
        <w:autoSpaceDE w:val="0"/>
        <w:widowControl/>
        <w:spacing w:line="246" w:lineRule="exact" w:before="70" w:after="54"/>
        <w:ind w:left="122" w:right="3456" w:firstLine="0"/>
        <w:jc w:val="left"/>
      </w:pP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 xml:space="preserve">3. Deduct any taxes collected, reported, and paid by an Alaska Licensed Surplus </w:t>
      </w:r>
      <w:r>
        <w:tab/>
      </w: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>Lines Broker (Schedule B) from your total tax liability on Line 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61"/>
        <w:gridCol w:w="5261"/>
      </w:tblGrid>
      <w:tr>
        <w:trPr>
          <w:trHeight w:hRule="exact" w:val="9340"/>
        </w:trPr>
        <w:tc>
          <w:tcPr>
            <w:tcW w:type="dxa" w:w="4586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2" w:after="0"/>
              <w:ind w:left="11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4. Less amounts already paid in Alaska (credits, etc.) </w:t>
            </w:r>
          </w:p>
          <w:p>
            <w:pPr>
              <w:autoSpaceDN w:val="0"/>
              <w:tabs>
                <w:tab w:pos="408" w:val="left"/>
              </w:tabs>
              <w:autoSpaceDE w:val="0"/>
              <w:widowControl/>
              <w:spacing w:line="262" w:lineRule="exact" w:before="168" w:after="0"/>
              <w:ind w:left="11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5. Net Tax Payable with Report (if overpayment, ple </w:t>
            </w:r>
            <w:r>
              <w:tab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refund or credit for tax year 2010).</w:t>
            </w:r>
          </w:p>
          <w:p>
            <w:pPr>
              <w:autoSpaceDN w:val="0"/>
              <w:autoSpaceDE w:val="0"/>
              <w:widowControl/>
              <w:spacing w:line="264" w:lineRule="exact" w:before="42" w:after="0"/>
              <w:ind w:left="408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(Lines 1 - 3 - 4)</w:t>
            </w:r>
          </w:p>
          <w:p>
            <w:pPr>
              <w:autoSpaceDN w:val="0"/>
              <w:autoSpaceDE w:val="0"/>
              <w:widowControl/>
              <w:spacing w:line="252" w:lineRule="exact" w:before="334" w:after="0"/>
              <w:ind w:left="36" w:right="0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 xml:space="preserve">SCHEDULE A.  RISK RETENTION GROUPS (AS 21.09.210) </w:t>
            </w:r>
            <w:r>
              <w:rPr>
                <w:w w:val="101.05263559441818"/>
                <w:rFonts w:ascii="Arial" w:hAnsi="Arial" w:eastAsia="Arial"/>
                <w:b/>
                <w:i/>
                <w:color w:val="FF0000"/>
                <w:sz w:val="19"/>
              </w:rPr>
              <w:t xml:space="preserve">NOTE: Report written premium for the insurance o </w:t>
            </w:r>
            <w:r>
              <w:br/>
            </w:r>
            <w:r>
              <w:rPr>
                <w:w w:val="101.05263559441818"/>
                <w:rFonts w:ascii="Arial" w:hAnsi="Arial" w:eastAsia="Arial"/>
                <w:b/>
                <w:i/>
                <w:color w:val="FF0000"/>
                <w:sz w:val="19"/>
              </w:rPr>
              <w:t xml:space="preserve">statute 21.09.210.  When a policy or contract cove </w:t>
            </w:r>
            <w:r>
              <w:br/>
            </w:r>
            <w:r>
              <w:rPr>
                <w:w w:val="101.05263559441818"/>
                <w:rFonts w:ascii="Arial" w:hAnsi="Arial" w:eastAsia="Arial"/>
                <w:b/>
                <w:i/>
                <w:color w:val="FF0000"/>
                <w:sz w:val="19"/>
              </w:rPr>
              <w:t>allocate premium and report that portion that cove</w:t>
            </w:r>
          </w:p>
          <w:p>
            <w:pPr>
              <w:autoSpaceDN w:val="0"/>
              <w:tabs>
                <w:tab w:pos="116" w:val="left"/>
                <w:tab w:pos="1992" w:val="left"/>
              </w:tabs>
              <w:autoSpaceDE w:val="0"/>
              <w:widowControl/>
              <w:spacing w:line="308" w:lineRule="exact" w:before="242" w:after="0"/>
              <w:ind w:left="36" w:right="0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 xml:space="preserve">GROSS PREMIUM INCOME: </w:t>
            </w:r>
            <w:r>
              <w:br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1. Total direct premium income written including pol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2. Finance and service charges </w:t>
            </w:r>
            <w:r>
              <w:br/>
            </w:r>
            <w:r>
              <w:tab/>
            </w:r>
            <w:r>
              <w:tab/>
            </w: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 xml:space="preserve">TOTAL DIRECT PREMIUMS 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320" w:lineRule="exact" w:before="294" w:after="0"/>
              <w:ind w:left="36" w:right="0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 xml:space="preserve">DEDUCTIONS ALLOWED: </w:t>
            </w:r>
            <w:r>
              <w:br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4. Unabsorbed premiums or dividends refunded or c</w:t>
            </w:r>
          </w:p>
          <w:p>
            <w:pPr>
              <w:autoSpaceDN w:val="0"/>
              <w:autoSpaceDE w:val="0"/>
              <w:widowControl/>
              <w:spacing w:line="282" w:lineRule="exact" w:before="1956" w:after="0"/>
              <w:ind w:left="36" w:right="24" w:firstLine="0"/>
              <w:jc w:val="both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of the above-named risk retention group and that the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premiums and fees on business written by said comp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property or risks resident or located in Alaska.</w:t>
            </w:r>
          </w:p>
          <w:p>
            <w:pPr>
              <w:autoSpaceDN w:val="0"/>
              <w:autoSpaceDE w:val="0"/>
              <w:widowControl/>
              <w:spacing w:line="264" w:lineRule="exact" w:before="1084" w:after="0"/>
              <w:ind w:left="228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 08-203RRG (Rev. 10/09)</w:t>
            </w:r>
          </w:p>
        </w:tc>
        <w:tc>
          <w:tcPr>
            <w:tcW w:type="dxa" w:w="590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6" w:after="0"/>
              <w:ind w:left="12" w:right="3456" w:hanging="12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.) </w:t>
            </w:r>
            <w:r>
              <w:br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ase send written request for</w:t>
            </w:r>
          </w:p>
          <w:p>
            <w:pPr>
              <w:autoSpaceDN w:val="0"/>
              <w:tabs>
                <w:tab w:pos="30" w:val="left"/>
                <w:tab w:pos="62" w:val="left"/>
              </w:tabs>
              <w:autoSpaceDE w:val="0"/>
              <w:widowControl/>
              <w:spacing w:line="252" w:lineRule="exact" w:before="902" w:after="0"/>
              <w:ind w:left="0" w:right="144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 xml:space="preserve">.09.210) </w:t>
            </w:r>
            <w:r>
              <w:br/>
            </w:r>
            <w:r>
              <w:rPr>
                <w:w w:val="101.05263559441818"/>
                <w:rFonts w:ascii="Arial" w:hAnsi="Arial" w:eastAsia="Arial"/>
                <w:b/>
                <w:i/>
                <w:color w:val="FF0000"/>
                <w:sz w:val="19"/>
              </w:rPr>
              <w:t xml:space="preserve">f risks resident or located in Alaska as required by Alaska </w:t>
            </w:r>
            <w:r>
              <w:rPr>
                <w:w w:val="101.05263559441818"/>
                <w:rFonts w:ascii="Arial" w:hAnsi="Arial" w:eastAsia="Arial"/>
                <w:b/>
                <w:i/>
                <w:color w:val="FF0000"/>
                <w:sz w:val="19"/>
              </w:rPr>
              <w:t xml:space="preserve">rs subjects or risks located or resident in more than one state, </w:t>
            </w:r>
            <w:r>
              <w:rPr>
                <w:w w:val="101.05263559441818"/>
                <w:rFonts w:ascii="Arial" w:hAnsi="Arial" w:eastAsia="Arial"/>
                <w:b/>
                <w:i/>
                <w:color w:val="FF0000"/>
                <w:sz w:val="19"/>
              </w:rPr>
              <w:t>rs Alaska subjects or risks</w:t>
            </w:r>
          </w:p>
          <w:p>
            <w:pPr>
              <w:autoSpaceDN w:val="0"/>
              <w:autoSpaceDE w:val="0"/>
              <w:widowControl/>
              <w:spacing w:line="264" w:lineRule="exact" w:before="606" w:after="0"/>
              <w:ind w:left="0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icy memberships and other fees</w:t>
            </w:r>
          </w:p>
          <w:p>
            <w:pPr>
              <w:autoSpaceDN w:val="0"/>
              <w:autoSpaceDE w:val="0"/>
              <w:widowControl/>
              <w:spacing w:line="266" w:lineRule="exact" w:before="336" w:after="0"/>
              <w:ind w:left="0" w:right="0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FOR RISKS RESIDENT OR LOCATED IN ALASKA</w:t>
            </w:r>
          </w:p>
          <w:p>
            <w:pPr>
              <w:autoSpaceDN w:val="0"/>
              <w:tabs>
                <w:tab w:pos="1426" w:val="left"/>
              </w:tabs>
              <w:autoSpaceDE w:val="0"/>
              <w:widowControl/>
              <w:spacing w:line="294" w:lineRule="exact" w:before="640" w:after="0"/>
              <w:ind w:left="38" w:right="2448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redited to policyholders </w:t>
            </w:r>
            <w:r>
              <w:br/>
            </w: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TOTAL DEDUCTIONS</w:t>
            </w:r>
          </w:p>
          <w:p>
            <w:pPr>
              <w:autoSpaceDN w:val="0"/>
              <w:autoSpaceDE w:val="0"/>
              <w:widowControl/>
              <w:spacing w:line="264" w:lineRule="exact" w:before="298" w:after="0"/>
              <w:ind w:left="0" w:right="1442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 xml:space="preserve">NET PREMIUM </w:t>
            </w:r>
          </w:p>
          <w:p>
            <w:pPr>
              <w:autoSpaceDN w:val="0"/>
              <w:autoSpaceDE w:val="0"/>
              <w:widowControl/>
              <w:spacing w:line="280" w:lineRule="exact" w:before="1100" w:after="0"/>
              <w:ind w:left="0" w:right="288" w:firstLine="12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premium tax report is a complete, true and correct statement of all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any during the year ending December 31, 2009, on insurance of</w:t>
            </w:r>
          </w:p>
          <w:p>
            <w:pPr>
              <w:autoSpaceDN w:val="0"/>
              <w:autoSpaceDE w:val="0"/>
              <w:widowControl/>
              <w:spacing w:line="264" w:lineRule="exact" w:before="580" w:after="0"/>
              <w:ind w:left="0" w:right="2114" w:firstLine="0"/>
              <w:jc w:val="righ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Signature</w:t>
            </w:r>
          </w:p>
          <w:p>
            <w:pPr>
              <w:autoSpaceDN w:val="0"/>
              <w:autoSpaceDE w:val="0"/>
              <w:widowControl/>
              <w:spacing w:line="286" w:lineRule="exact" w:before="500" w:after="0"/>
              <w:ind w:left="6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630"/>
        <w:gridCol w:w="2630"/>
        <w:gridCol w:w="2630"/>
        <w:gridCol w:w="2630"/>
      </w:tblGrid>
      <w:tr>
        <w:trPr>
          <w:trHeight w:hRule="exact" w:val="1040"/>
        </w:trPr>
        <w:tc>
          <w:tcPr>
            <w:tcW w:type="dxa" w:w="934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96" w:after="0"/>
              <w:ind w:left="3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I, </w:t>
            </w:r>
          </w:p>
        </w:tc>
        <w:tc>
          <w:tcPr>
            <w:tcW w:type="dxa" w:w="3000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78" w:after="0"/>
              <w:ind w:left="0" w:right="652" w:firstLine="0"/>
              <w:jc w:val="righ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(Company Official)</w:t>
            </w:r>
          </w:p>
        </w:tc>
        <w:tc>
          <w:tcPr>
            <w:tcW w:type="dxa" w:w="509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96" w:after="0"/>
              <w:ind w:left="68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, being duly sworn, say that I am the </w:t>
            </w:r>
          </w:p>
        </w:tc>
        <w:tc>
          <w:tcPr>
            <w:tcW w:type="dxa" w:w="146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78" w:after="0"/>
              <w:ind w:left="0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(Title)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62" w:right="858" w:bottom="124" w:left="8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"/>
        <w:ind w:left="0" w:right="0"/>
      </w:pPr>
    </w:p>
    <w:p>
      <w:pPr>
        <w:autoSpaceDN w:val="0"/>
        <w:autoSpaceDE w:val="0"/>
        <w:widowControl/>
        <w:spacing w:line="264" w:lineRule="exact" w:before="198" w:after="158"/>
        <w:ind w:left="42" w:right="0" w:firstLine="0"/>
        <w:jc w:val="left"/>
      </w:pPr>
      <w:r>
        <w:rPr>
          <w:w w:val="101.05263559441818"/>
          <w:rFonts w:ascii="Arial" w:hAnsi="Arial" w:eastAsia="Arial"/>
          <w:b/>
          <w:i w:val="0"/>
          <w:color w:val="000000"/>
          <w:sz w:val="19"/>
        </w:rPr>
        <w:t>Schedule B.  Report of Surplus Lines Broker Premiums and Taxes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104"/>
        <w:gridCol w:w="2104"/>
        <w:gridCol w:w="2104"/>
        <w:gridCol w:w="2104"/>
        <w:gridCol w:w="2104"/>
      </w:tblGrid>
      <w:tr>
        <w:trPr>
          <w:trHeight w:hRule="exact" w:val="554"/>
        </w:trPr>
        <w:tc>
          <w:tcPr>
            <w:tcW w:type="dxa" w:w="458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4" w:after="0"/>
              <w:ind w:left="26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Name of Surplus Lines Broker </w:t>
            </w:r>
          </w:p>
        </w:tc>
        <w:tc>
          <w:tcPr>
            <w:tcW w:type="dxa" w:w="832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License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Number</w:t>
            </w:r>
          </w:p>
        </w:tc>
        <w:tc>
          <w:tcPr>
            <w:tcW w:type="dxa" w:w="1268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144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Premiums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Written</w:t>
            </w:r>
          </w:p>
        </w:tc>
        <w:tc>
          <w:tcPr>
            <w:tcW w:type="dxa" w:w="1316"/>
            <w:tcBorders>
              <w:start w:sz="6.400000000000091" w:val="single" w:color="#000000"/>
              <w:top w:sz="6.399999999999977" w:val="single" w:color="#000000"/>
              <w:end w:sz="7.199999999999818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0" w:right="0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2.7% </w:t>
            </w:r>
            <w:r>
              <w:br/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Tax Collected</w:t>
            </w:r>
          </w:p>
        </w:tc>
        <w:tc>
          <w:tcPr>
            <w:tcW w:type="dxa" w:w="2486"/>
            <w:tcBorders>
              <w:start w:sz="7.199999999999818" w:val="single" w:color="#000000"/>
              <w:top w:sz="6.399999999999977" w:val="single" w:color="#000000"/>
              <w:end w:sz="7.199999999999818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2" w:after="0"/>
              <w:ind w:left="144" w:right="144" w:firstLine="0"/>
              <w:jc w:val="center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Date Taxes Reported &amp;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Paid to the Division</w:t>
            </w:r>
          </w:p>
        </w:tc>
      </w:tr>
      <w:tr>
        <w:trPr>
          <w:trHeight w:hRule="exact" w:val="590"/>
        </w:trPr>
        <w:tc>
          <w:tcPr>
            <w:tcW w:type="dxa" w:w="4584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start w:sz="6.400000000000091" w:val="single" w:color="#000000"/>
              <w:top w:sz="6.399999999999977" w:val="single" w:color="#000000"/>
              <w:end w:sz="7.199999999999818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6"/>
            <w:tcBorders>
              <w:start w:sz="7.199999999999818" w:val="single" w:color="#000000"/>
              <w:top w:sz="6.399999999999977" w:val="single" w:color="#000000"/>
              <w:end w:sz="7.199999999999818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2"/>
        </w:trPr>
        <w:tc>
          <w:tcPr>
            <w:tcW w:type="dxa" w:w="4584"/>
            <w:tcBorders>
              <w:start w:sz="6.399999999999977" w:val="single" w:color="#000000"/>
              <w:top w:sz="7.199999999999932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start w:sz="6.400000000000091" w:val="single" w:color="#000000"/>
              <w:top w:sz="7.199999999999932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6"/>
            <w:tcBorders>
              <w:start w:sz="7.199999999999818" w:val="single" w:color="#000000"/>
              <w:top w:sz="7.199999999999932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0"/>
        </w:trPr>
        <w:tc>
          <w:tcPr>
            <w:tcW w:type="dxa" w:w="4584"/>
            <w:tcBorders>
              <w:start w:sz="6.399999999999977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start w:sz="6.400000000000091" w:val="single" w:color="#000000"/>
              <w:top w:sz="7.2000000000000455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6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0"/>
        </w:trPr>
        <w:tc>
          <w:tcPr>
            <w:tcW w:type="dxa" w:w="4584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start w:sz="6.400000000000091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6"/>
            <w:tcBorders>
              <w:start w:sz="7.199999999999818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0"/>
        </w:trPr>
        <w:tc>
          <w:tcPr>
            <w:tcW w:type="dxa" w:w="4584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start w:sz="6.400000000000091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6"/>
            <w:tcBorders>
              <w:start w:sz="7.199999999999818" w:val="single" w:color="#000000"/>
              <w:top w:sz="6.400000000000091" w:val="single" w:color="#000000"/>
              <w:end w:sz="7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0"/>
        </w:trPr>
        <w:tc>
          <w:tcPr>
            <w:tcW w:type="dxa" w:w="4584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start w:sz="6.400000000000091" w:val="single" w:color="#000000"/>
              <w:top w:sz="6.400000000000091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6"/>
            <w:tcBorders>
              <w:start w:sz="7.199999999999818" w:val="single" w:color="#000000"/>
              <w:top w:sz="6.400000000000091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0"/>
        </w:trPr>
        <w:tc>
          <w:tcPr>
            <w:tcW w:type="dxa" w:w="4584"/>
            <w:tcBorders>
              <w:start w:sz="6.399999999999977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start w:sz="6.400000000000091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6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2" w:lineRule="exact" w:before="144" w:after="0"/>
        <w:ind w:left="42" w:right="0" w:firstLine="0"/>
        <w:jc w:val="left"/>
      </w:pPr>
      <w:r>
        <w:rPr>
          <w:w w:val="101.05263559441818"/>
          <w:rFonts w:ascii="ArialMT" w:hAnsi="ArialMT" w:eastAsia="ArialMT"/>
          <w:b w:val="0"/>
          <w:i w:val="0"/>
          <w:color w:val="000000"/>
          <w:sz w:val="19"/>
        </w:rPr>
        <w:t>Total Tax Collected by Surplus Lines Broker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61"/>
        <w:gridCol w:w="5261"/>
      </w:tblGrid>
      <w:tr>
        <w:trPr>
          <w:trHeight w:hRule="exact" w:val="9350"/>
        </w:trPr>
        <w:tc>
          <w:tcPr>
            <w:tcW w:type="dxa" w:w="3794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2" w:after="0"/>
              <w:ind w:left="36" w:right="0" w:firstLine="0"/>
              <w:jc w:val="lef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NOTE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: You must provide documentation fro 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collected and paid to the division.</w:t>
            </w:r>
          </w:p>
          <w:p>
            <w:pPr>
              <w:autoSpaceDN w:val="0"/>
              <w:autoSpaceDE w:val="0"/>
              <w:widowControl/>
              <w:spacing w:line="264" w:lineRule="exact" w:before="8308" w:after="0"/>
              <w:ind w:left="228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 08-203RRG (Rev. 10/09)</w:t>
            </w:r>
          </w:p>
        </w:tc>
        <w:tc>
          <w:tcPr>
            <w:tcW w:type="dxa" w:w="4210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50" w:after="0"/>
              <w:ind w:left="0" w:right="0" w:firstLine="0"/>
              <w:jc w:val="lef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>m the surplus lines broker verifying that the premi</w:t>
            </w:r>
          </w:p>
          <w:p>
            <w:pPr>
              <w:autoSpaceDN w:val="0"/>
              <w:autoSpaceDE w:val="0"/>
              <w:widowControl/>
              <w:spacing w:line="286" w:lineRule="exact" w:before="8562" w:after="0"/>
              <w:ind w:left="0" w:right="26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8" w:right="858" w:bottom="124" w:left="8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ebecca.nesheim@alask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