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4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62" w:lineRule="exact" w:before="22" w:after="0"/>
        <w:ind w:left="0" w:right="2736" w:firstLine="2"/>
        <w:jc w:val="left"/>
      </w:pPr>
      <w:r>
        <w:rPr>
          <w:rFonts w:ascii="BrandonGrotesque" w:hAnsi="BrandonGrotesque" w:eastAsia="BrandonGrotesque"/>
          <w:b/>
          <w:i w:val="0"/>
          <w:color w:val="FFFFFF"/>
          <w:sz w:val="34"/>
        </w:rPr>
        <w:t xml:space="preserve">THE CENTRE FOR HUMANITARIAN DATA </w:t>
      </w:r>
      <w:r>
        <w:rPr>
          <w:rFonts w:ascii="BrandonGrotesque" w:hAnsi="BrandonGrotesque" w:eastAsia="BrandonGrotesque"/>
          <w:b w:val="0"/>
          <w:i w:val="0"/>
          <w:color w:val="FFFFFF"/>
          <w:sz w:val="30"/>
        </w:rPr>
        <w:t>Connecting people and data to improve lives</w:t>
      </w:r>
    </w:p>
    <w:p>
      <w:pPr>
        <w:autoSpaceDN w:val="0"/>
        <w:autoSpaceDE w:val="0"/>
        <w:widowControl/>
        <w:spacing w:line="240" w:lineRule="auto" w:before="10496" w:after="0"/>
        <w:ind w:left="0" w:right="0" w:firstLine="0"/>
        <w:jc w:val="left"/>
      </w:pPr>
      <w:r>
        <w:rPr>
          <w:rFonts w:ascii="OpenSans" w:hAnsi="OpenSans" w:eastAsia="OpenSans"/>
          <w:b/>
          <w:i w:val="0"/>
          <w:color w:val="FFFFFF"/>
          <w:sz w:val="18"/>
        </w:rPr>
        <w:t xml:space="preserve">DECEMBER 2016 </w:t>
      </w:r>
    </w:p>
    <w:p>
      <w:pPr>
        <w:sectPr>
          <w:pgSz w:w="12240" w:h="15840"/>
          <w:pgMar w:top="1262" w:right="1440" w:bottom="814" w:left="7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4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0" w:right="3988" w:firstLine="0"/>
        <w:jc w:val="right"/>
      </w:pPr>
      <w:r>
        <w:rPr>
          <w:rFonts w:ascii="Stag" w:hAnsi="Stag" w:eastAsia="Stag"/>
          <w:b w:val="0"/>
          <w:i w:val="0"/>
          <w:color w:val="000000"/>
          <w:sz w:val="24"/>
        </w:rPr>
        <w:t>Overview</w:t>
      </w:r>
    </w:p>
    <w:p>
      <w:pPr>
        <w:autoSpaceDN w:val="0"/>
        <w:autoSpaceDE w:val="0"/>
        <w:widowControl/>
        <w:spacing w:line="278" w:lineRule="exact" w:before="202" w:after="0"/>
        <w:ind w:left="0" w:right="4500" w:firstLine="0"/>
        <w:jc w:val="right"/>
      </w:pPr>
      <w:r>
        <w:rPr>
          <w:rFonts w:ascii="Stag" w:hAnsi="Stag" w:eastAsia="Stag"/>
          <w:b w:val="0"/>
          <w:i w:val="0"/>
          <w:color w:val="000000"/>
          <w:sz w:val="24"/>
        </w:rPr>
        <w:t>—</w:t>
      </w:r>
    </w:p>
    <w:p>
      <w:pPr>
        <w:autoSpaceDN w:val="0"/>
        <w:autoSpaceDE w:val="0"/>
        <w:widowControl/>
        <w:spacing w:line="245" w:lineRule="auto" w:before="262" w:after="0"/>
        <w:ind w:left="1584" w:right="1296" w:firstLine="0"/>
        <w:jc w:val="center"/>
      </w:pP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The United Nations Office for the Coordination of Humanitarian Affairs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(OCHA) is establishing a Centre for Humanitarian Data in the Netherlands.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It will be operational by early 2017 for an initial three years. </w:t>
      </w:r>
    </w:p>
    <w:p>
      <w:pPr>
        <w:autoSpaceDN w:val="0"/>
        <w:autoSpaceDE w:val="0"/>
        <w:widowControl/>
        <w:spacing w:line="245" w:lineRule="auto" w:before="240" w:after="0"/>
        <w:ind w:left="1584" w:right="1296" w:firstLine="0"/>
        <w:jc w:val="center"/>
      </w:pP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The Centre’s mission is to increase the use and impact of data in the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humanitarian sector. The vision is to create a future where all people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involved in a humanitarian situation have access to the data they need,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when and how they need it, to make responsible and informed decisions. </w:t>
      </w:r>
    </w:p>
    <w:p>
      <w:pPr>
        <w:autoSpaceDN w:val="0"/>
        <w:autoSpaceDE w:val="0"/>
        <w:widowControl/>
        <w:spacing w:line="245" w:lineRule="auto" w:before="240" w:after="0"/>
        <w:ind w:left="1440" w:right="1152" w:firstLine="0"/>
        <w:jc w:val="center"/>
      </w:pP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The Centre will support humanitarian partners and OCHA staff in the field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and at headquarters with their data efforts. It will be part of the city of The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Hague’s Humanity Hub, a dedicated building for organizations working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on data and innovation in the social sector. The location offers OCHA and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partners a new, neutral setting where a hybrid culture can be created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>around data collaboration.</w:t>
      </w:r>
    </w:p>
    <w:p>
      <w:pPr>
        <w:autoSpaceDN w:val="0"/>
        <w:autoSpaceDE w:val="0"/>
        <w:widowControl/>
        <w:spacing w:line="245" w:lineRule="auto" w:before="240" w:after="0"/>
        <w:ind w:left="1584" w:right="1296" w:firstLine="0"/>
        <w:jc w:val="center"/>
      </w:pP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The Centre is a key contribution towards the Secretary-General’s Agenda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for Humanity under core commitment four -- changing the way we work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to end need. The Centre’s activities will accelerate the changes required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for the humanitarian system to become data driven. </w:t>
      </w:r>
    </w:p>
    <w:p>
      <w:pPr>
        <w:autoSpaceDN w:val="0"/>
        <w:autoSpaceDE w:val="0"/>
        <w:widowControl/>
        <w:spacing w:line="332" w:lineRule="exact" w:before="758" w:after="0"/>
        <w:ind w:left="2304" w:right="2016" w:firstLine="0"/>
        <w:jc w:val="center"/>
      </w:pPr>
      <w:r>
        <w:rPr>
          <w:rFonts w:ascii="Stag" w:hAnsi="Stag" w:eastAsia="Stag"/>
          <w:b/>
          <w:i w:val="0"/>
          <w:color w:val="1BB580"/>
          <w:sz w:val="36"/>
        </w:rPr>
        <w:t>“</w:t>
      </w:r>
      <w:r>
        <w:br/>
      </w:r>
      <w:r>
        <w:rPr>
          <w:rFonts w:ascii="Stag" w:hAnsi="Stag" w:eastAsia="Stag"/>
          <w:b w:val="0"/>
          <w:i w:val="0"/>
          <w:color w:val="1BB580"/>
          <w:sz w:val="30"/>
        </w:rPr>
        <w:t xml:space="preserve">HDX and the new Centre are a leading </w:t>
      </w:r>
    </w:p>
    <w:p>
      <w:pPr>
        <w:autoSpaceDN w:val="0"/>
        <w:autoSpaceDE w:val="0"/>
        <w:widowControl/>
        <w:spacing w:line="332" w:lineRule="exact" w:before="28" w:after="0"/>
        <w:ind w:left="2144" w:right="0" w:firstLine="0"/>
        <w:jc w:val="left"/>
      </w:pPr>
      <w:r>
        <w:rPr>
          <w:rFonts w:ascii="Stag" w:hAnsi="Stag" w:eastAsia="Stag"/>
          <w:b w:val="0"/>
          <w:i w:val="0"/>
          <w:color w:val="1BB580"/>
          <w:sz w:val="30"/>
        </w:rPr>
        <w:t xml:space="preserve">innovation in the trustworthy use of data </w:t>
      </w:r>
    </w:p>
    <w:p>
      <w:pPr>
        <w:autoSpaceDN w:val="0"/>
        <w:autoSpaceDE w:val="0"/>
        <w:widowControl/>
        <w:spacing w:line="332" w:lineRule="exact" w:before="28" w:after="0"/>
        <w:ind w:left="0" w:right="2094" w:firstLine="0"/>
        <w:jc w:val="right"/>
      </w:pPr>
      <w:r>
        <w:rPr>
          <w:rFonts w:ascii="Stag" w:hAnsi="Stag" w:eastAsia="Stag"/>
          <w:b w:val="0"/>
          <w:i w:val="0"/>
          <w:color w:val="1BB580"/>
          <w:sz w:val="30"/>
        </w:rPr>
        <w:t xml:space="preserve">for humanitarian outcomes. They are </w:t>
      </w:r>
    </w:p>
    <w:p>
      <w:pPr>
        <w:autoSpaceDN w:val="0"/>
        <w:autoSpaceDE w:val="0"/>
        <w:widowControl/>
        <w:spacing w:line="332" w:lineRule="exact" w:before="28" w:after="0"/>
        <w:ind w:left="0" w:right="2110" w:firstLine="0"/>
        <w:jc w:val="right"/>
      </w:pPr>
      <w:r>
        <w:rPr>
          <w:rFonts w:ascii="Stag" w:hAnsi="Stag" w:eastAsia="Stag"/>
          <w:b w:val="0"/>
          <w:i w:val="0"/>
          <w:color w:val="1BB580"/>
          <w:sz w:val="30"/>
        </w:rPr>
        <w:t xml:space="preserve">a tremendous example of putting the </w:t>
      </w:r>
    </w:p>
    <w:p>
      <w:pPr>
        <w:autoSpaceDN w:val="0"/>
        <w:autoSpaceDE w:val="0"/>
        <w:widowControl/>
        <w:spacing w:line="332" w:lineRule="exact" w:before="28" w:after="0"/>
        <w:ind w:left="0" w:right="2104" w:firstLine="0"/>
        <w:jc w:val="right"/>
      </w:pPr>
      <w:r>
        <w:rPr>
          <w:rFonts w:ascii="Stag" w:hAnsi="Stag" w:eastAsia="Stag"/>
          <w:b w:val="0"/>
          <w:i w:val="0"/>
          <w:color w:val="1BB580"/>
          <w:sz w:val="30"/>
        </w:rPr>
        <w:t xml:space="preserve">principles of trust, accountability and </w:t>
      </w:r>
    </w:p>
    <w:p>
      <w:pPr>
        <w:autoSpaceDN w:val="0"/>
        <w:autoSpaceDE w:val="0"/>
        <w:widowControl/>
        <w:spacing w:line="332" w:lineRule="exact" w:before="28" w:after="0"/>
        <w:ind w:left="0" w:right="3294" w:firstLine="0"/>
        <w:jc w:val="right"/>
      </w:pPr>
      <w:r>
        <w:rPr>
          <w:rFonts w:ascii="Stag" w:hAnsi="Stag" w:eastAsia="Stag"/>
          <w:b w:val="0"/>
          <w:i w:val="0"/>
          <w:color w:val="1BB580"/>
          <w:sz w:val="30"/>
        </w:rPr>
        <w:t>action into practice.</w:t>
      </w:r>
    </w:p>
    <w:p>
      <w:pPr>
        <w:autoSpaceDN w:val="0"/>
        <w:autoSpaceDE w:val="0"/>
        <w:widowControl/>
        <w:spacing w:line="208" w:lineRule="exact" w:before="206" w:after="0"/>
        <w:ind w:left="0" w:right="2996" w:firstLine="0"/>
        <w:jc w:val="right"/>
      </w:pPr>
      <w:r>
        <w:rPr>
          <w:rFonts w:ascii="Stag" w:hAnsi="Stag" w:eastAsia="Stag"/>
          <w:b w:val="0"/>
          <w:i w:val="0"/>
          <w:color w:val="1BB580"/>
          <w:sz w:val="18"/>
        </w:rPr>
        <w:t xml:space="preserve"> -Bill Hoffman, World Economic Forum</w:t>
      </w:r>
    </w:p>
    <w:p>
      <w:pPr>
        <w:autoSpaceDN w:val="0"/>
        <w:autoSpaceDE w:val="0"/>
        <w:widowControl/>
        <w:spacing w:line="422" w:lineRule="exact" w:before="184" w:after="0"/>
        <w:ind w:left="0" w:right="4484" w:firstLine="0"/>
        <w:jc w:val="right"/>
      </w:pPr>
      <w:r>
        <w:rPr>
          <w:rFonts w:ascii="Stag" w:hAnsi="Stag" w:eastAsia="Stag"/>
          <w:b/>
          <w:i w:val="0"/>
          <w:color w:val="1BB580"/>
          <w:sz w:val="36"/>
        </w:rPr>
        <w:t>”</w:t>
      </w:r>
    </w:p>
    <w:p>
      <w:pPr>
        <w:sectPr>
          <w:pgSz w:w="12240" w:h="15840"/>
          <w:pgMar w:top="1440" w:right="1440" w:bottom="13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8"/>
        <w:ind w:left="0" w:right="0"/>
      </w:pPr>
    </w:p>
    <w:p>
      <w:pPr>
        <w:autoSpaceDN w:val="0"/>
        <w:autoSpaceDE w:val="0"/>
        <w:widowControl/>
        <w:spacing w:line="418" w:lineRule="exact" w:before="0" w:after="308"/>
        <w:ind w:left="3744" w:right="3600" w:firstLine="0"/>
        <w:jc w:val="center"/>
      </w:pPr>
      <w:r>
        <w:rPr>
          <w:rFonts w:ascii="Stag" w:hAnsi="Stag" w:eastAsia="Stag"/>
          <w:b w:val="0"/>
          <w:i w:val="0"/>
          <w:color w:val="000000"/>
          <w:sz w:val="24"/>
        </w:rPr>
        <w:t>Objectives</w:t>
      </w:r>
      <w:r>
        <w:br/>
      </w:r>
      <w:r>
        <w:rPr>
          <w:rFonts w:ascii="Stag" w:hAnsi="Stag" w:eastAsia="Stag"/>
          <w:b w:val="0"/>
          <w:i w:val="0"/>
          <w:color w:val="000000"/>
          <w:sz w:val="24"/>
        </w:rPr>
        <w:t>—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4"/>
        </w:rPr>
        <w:t>The Centre will have four objectives:</w:t>
      </w:r>
    </w:p>
    <w:p>
      <w:pPr>
        <w:sectPr>
          <w:pgSz w:w="12240" w:h="15840"/>
          <w:pgMar w:top="966" w:right="580" w:bottom="330" w:left="6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2" w:lineRule="exact" w:before="110" w:after="0"/>
        <w:ind w:left="2736" w:right="0" w:firstLine="0"/>
        <w:jc w:val="center"/>
      </w:pPr>
      <w:r>
        <w:rPr>
          <w:rFonts w:ascii="Stag" w:hAnsi="Stag" w:eastAsia="Stag"/>
          <w:b w:val="0"/>
          <w:i w:val="0"/>
          <w:color w:val="000000"/>
          <w:sz w:val="32"/>
        </w:rPr>
        <w:t>- 1 -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Increase the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interoperability of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humanitarian data through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shared standards and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integrated systems. </w:t>
      </w:r>
    </w:p>
    <w:p>
      <w:pPr>
        <w:autoSpaceDN w:val="0"/>
        <w:autoSpaceDE w:val="0"/>
        <w:widowControl/>
        <w:spacing w:line="262" w:lineRule="exact" w:before="562" w:after="0"/>
        <w:ind w:left="3024" w:right="144" w:firstLine="0"/>
        <w:jc w:val="center"/>
      </w:pPr>
      <w:r>
        <w:rPr>
          <w:rFonts w:ascii="Stag" w:hAnsi="Stag" w:eastAsia="Stag"/>
          <w:b w:val="0"/>
          <w:i w:val="0"/>
          <w:color w:val="000000"/>
          <w:sz w:val="32"/>
        </w:rPr>
        <w:t>- 3 -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Increase the capability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of people to access and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use data in support of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humanitarian efforts.</w:t>
      </w:r>
    </w:p>
    <w:p>
      <w:pPr>
        <w:sectPr>
          <w:type w:val="continuous"/>
          <w:pgSz w:w="12240" w:h="15840"/>
          <w:pgMar w:top="966" w:right="580" w:bottom="330" w:left="608" w:header="720" w:footer="720" w:gutter="0"/>
          <w:cols w:num="2" w:equalWidth="0">
            <w:col w:w="5520" w:space="0"/>
            <w:col w:w="5532" w:space="0"/>
          </w:cols>
          <w:docGrid w:linePitch="360"/>
        </w:sectPr>
      </w:pPr>
    </w:p>
    <w:p>
      <w:pPr>
        <w:autoSpaceDN w:val="0"/>
        <w:autoSpaceDE w:val="0"/>
        <w:widowControl/>
        <w:spacing w:line="262" w:lineRule="exact" w:before="110" w:after="0"/>
        <w:ind w:left="0" w:right="2592" w:firstLine="0"/>
        <w:jc w:val="center"/>
      </w:pPr>
      <w:r>
        <w:rPr>
          <w:rFonts w:ascii="Stag" w:hAnsi="Stag" w:eastAsia="Stag"/>
          <w:b w:val="0"/>
          <w:i w:val="0"/>
          <w:color w:val="000000"/>
          <w:sz w:val="32"/>
        </w:rPr>
        <w:t>- 2 -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Increase the trust and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cooperation across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organizations sharing data in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humanitarian response.</w:t>
      </w:r>
    </w:p>
    <w:p>
      <w:pPr>
        <w:autoSpaceDN w:val="0"/>
        <w:autoSpaceDE w:val="0"/>
        <w:widowControl/>
        <w:spacing w:line="262" w:lineRule="exact" w:before="826" w:after="648"/>
        <w:ind w:left="144" w:right="2880" w:firstLine="0"/>
        <w:jc w:val="center"/>
      </w:pPr>
      <w:r>
        <w:rPr>
          <w:rFonts w:ascii="Stag" w:hAnsi="Stag" w:eastAsia="Stag"/>
          <w:b w:val="0"/>
          <w:i w:val="0"/>
          <w:color w:val="000000"/>
          <w:sz w:val="32"/>
        </w:rPr>
        <w:t>- 4 -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Engage existing and new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partners in data problem-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solving and awareness-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raising.</w:t>
      </w:r>
    </w:p>
    <w:p>
      <w:pPr>
        <w:sectPr>
          <w:type w:val="nextColumn"/>
          <w:pgSz w:w="12240" w:h="15840"/>
          <w:pgMar w:top="966" w:right="580" w:bottom="330" w:left="608" w:header="720" w:footer="720" w:gutter="0"/>
          <w:cols w:num="2" w:equalWidth="0">
            <w:col w:w="5520" w:space="0"/>
            <w:col w:w="5532" w:space="0"/>
          </w:cols>
          <w:docGrid w:linePitch="360"/>
        </w:sectPr>
      </w:pPr>
    </w:p>
    <w:p>
      <w:pPr>
        <w:autoSpaceDN w:val="0"/>
        <w:autoSpaceDE w:val="0"/>
        <w:widowControl/>
        <w:spacing w:line="380" w:lineRule="exact" w:before="0" w:after="0"/>
        <w:ind w:left="4896" w:right="4752" w:firstLine="0"/>
        <w:jc w:val="center"/>
      </w:pPr>
      <w:r>
        <w:rPr>
          <w:rFonts w:ascii="Stag" w:hAnsi="Stag" w:eastAsia="Stag"/>
          <w:b w:val="0"/>
          <w:i w:val="0"/>
          <w:color w:val="000000"/>
          <w:sz w:val="24"/>
        </w:rPr>
        <w:t>Principles</w:t>
      </w:r>
      <w:r>
        <w:br/>
      </w:r>
      <w:r>
        <w:rPr>
          <w:rFonts w:ascii="Stag" w:hAnsi="Stag" w:eastAsia="Stag"/>
          <w:b w:val="0"/>
          <w:i w:val="0"/>
          <w:color w:val="000000"/>
          <w:sz w:val="24"/>
        </w:rPr>
        <w:t>—</w:t>
      </w:r>
    </w:p>
    <w:p>
      <w:pPr>
        <w:autoSpaceDN w:val="0"/>
        <w:autoSpaceDE w:val="0"/>
        <w:widowControl/>
        <w:spacing w:line="238" w:lineRule="auto" w:before="232" w:after="346"/>
        <w:ind w:left="0" w:right="2944" w:firstLine="0"/>
        <w:jc w:val="right"/>
      </w:pPr>
      <w:r>
        <w:rPr>
          <w:rFonts w:ascii="SourceSansPro" w:hAnsi="SourceSansPro" w:eastAsia="SourceSansPro"/>
          <w:b w:val="0"/>
          <w:i w:val="0"/>
          <w:color w:val="4F535C"/>
          <w:sz w:val="20"/>
        </w:rPr>
        <w:t>The Center will adhere to the following high-level principles: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81"/>
        <w:gridCol w:w="1381"/>
        <w:gridCol w:w="1381"/>
        <w:gridCol w:w="1381"/>
        <w:gridCol w:w="1381"/>
        <w:gridCol w:w="1381"/>
        <w:gridCol w:w="1381"/>
        <w:gridCol w:w="1381"/>
      </w:tblGrid>
      <w:tr>
        <w:trPr>
          <w:trHeight w:hRule="exact" w:val="700"/>
        </w:trPr>
        <w:tc>
          <w:tcPr>
            <w:tcW w:type="dxa" w:w="1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32" w:after="0"/>
              <w:ind w:left="10" w:right="0" w:firstLine="0"/>
              <w:jc w:val="left"/>
            </w:pPr>
            <w:r>
              <w:rPr>
                <w:rFonts w:ascii="Stag" w:hAnsi="Stag" w:eastAsia="Stag"/>
                <w:b w:val="0"/>
                <w:i w:val="0"/>
                <w:color w:val="000000"/>
                <w:sz w:val="20"/>
              </w:rPr>
              <w:t>Human-centered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68300" cy="355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32" w:after="0"/>
              <w:ind w:left="130" w:right="0" w:firstLine="0"/>
              <w:jc w:val="left"/>
            </w:pPr>
            <w:r>
              <w:rPr>
                <w:rFonts w:ascii="Stag" w:hAnsi="Stag" w:eastAsia="Stag"/>
                <w:b w:val="0"/>
                <w:i w:val="0"/>
                <w:color w:val="000000"/>
                <w:sz w:val="20"/>
              </w:rPr>
              <w:t>Open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1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30200" cy="330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32" w:after="0"/>
              <w:ind w:left="102" w:right="0" w:firstLine="0"/>
              <w:jc w:val="left"/>
            </w:pPr>
            <w:r>
              <w:rPr>
                <w:rFonts w:ascii="Stag" w:hAnsi="Stag" w:eastAsia="Stag"/>
                <w:b w:val="0"/>
                <w:i w:val="0"/>
                <w:color w:val="000000"/>
                <w:sz w:val="20"/>
              </w:rPr>
              <w:t>Networked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68300" cy="355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32" w:after="0"/>
              <w:ind w:left="132" w:right="0" w:firstLine="0"/>
              <w:jc w:val="left"/>
            </w:pPr>
            <w:r>
              <w:rPr>
                <w:rFonts w:ascii="Stag" w:hAnsi="Stag" w:eastAsia="Stag"/>
                <w:b w:val="0"/>
                <w:i w:val="0"/>
                <w:color w:val="000000"/>
                <w:sz w:val="20"/>
              </w:rPr>
              <w:t>Agile</w:t>
            </w:r>
          </w:p>
        </w:tc>
        <w:tc>
          <w:tcPr>
            <w:tcW w:type="dxa" w:w="13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0" cy="355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60"/>
        </w:trPr>
        <w:tc>
          <w:tcPr>
            <w:tcW w:type="dxa" w:w="26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We will use a </w:t>
            </w:r>
          </w:p>
        </w:tc>
        <w:tc>
          <w:tcPr>
            <w:tcW w:type="dxa" w:w="2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3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The Centre will be open to 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0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The Centre will not be ‘the </w:t>
            </w:r>
          </w:p>
        </w:tc>
        <w:tc>
          <w:tcPr>
            <w:tcW w:type="dxa" w:w="2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The Centre will be run with </w:t>
            </w:r>
          </w:p>
        </w:tc>
      </w:tr>
      <w:tr>
        <w:trPr>
          <w:trHeight w:hRule="exact" w:val="240"/>
        </w:trPr>
        <w:tc>
          <w:tcPr>
            <w:tcW w:type="dxa" w:w="26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human-centered design </w:t>
            </w:r>
          </w:p>
        </w:tc>
        <w:tc>
          <w:tcPr>
            <w:tcW w:type="dxa" w:w="2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collaboration with a wide 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centre’ of anything but part </w:t>
            </w:r>
          </w:p>
        </w:tc>
        <w:tc>
          <w:tcPr>
            <w:tcW w:type="dxa" w:w="2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a start-up mindset. We will </w:t>
            </w:r>
          </w:p>
        </w:tc>
      </w:tr>
      <w:tr>
        <w:trPr>
          <w:trHeight w:hRule="exact" w:val="260"/>
        </w:trPr>
        <w:tc>
          <w:tcPr>
            <w:tcW w:type="dxa" w:w="26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approach to our activities. </w:t>
            </w:r>
          </w:p>
        </w:tc>
        <w:tc>
          <w:tcPr>
            <w:tcW w:type="dxa" w:w="2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variety of partners, including 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of a network of data-focused </w:t>
            </w:r>
          </w:p>
        </w:tc>
        <w:tc>
          <w:tcPr>
            <w:tcW w:type="dxa" w:w="2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2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adapt to demand and new </w:t>
            </w:r>
          </w:p>
        </w:tc>
      </w:tr>
      <w:tr>
        <w:trPr>
          <w:trHeight w:hRule="exact" w:val="256"/>
        </w:trPr>
        <w:tc>
          <w:tcPr>
            <w:tcW w:type="dxa" w:w="26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We exist to help people </w:t>
            </w:r>
          </w:p>
        </w:tc>
        <w:tc>
          <w:tcPr>
            <w:tcW w:type="dxa" w:w="2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through shared working 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partners. Entities with a </w:t>
            </w:r>
          </w:p>
        </w:tc>
        <w:tc>
          <w:tcPr>
            <w:tcW w:type="dxa" w:w="2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innovations. Projects will be </w:t>
            </w:r>
          </w:p>
        </w:tc>
      </w:tr>
      <w:tr>
        <w:trPr>
          <w:trHeight w:hRule="exact" w:val="244"/>
        </w:trPr>
        <w:tc>
          <w:tcPr>
            <w:tcW w:type="dxa" w:w="26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use data more effectively </w:t>
            </w:r>
          </w:p>
        </w:tc>
        <w:tc>
          <w:tcPr>
            <w:tcW w:type="dxa" w:w="2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spaces, where feasible. 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comparative advantage in </w:t>
            </w:r>
          </w:p>
        </w:tc>
        <w:tc>
          <w:tcPr>
            <w:tcW w:type="dxa" w:w="2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2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developed in an incremental </w:t>
            </w:r>
          </w:p>
        </w:tc>
      </w:tr>
      <w:tr>
        <w:trPr>
          <w:trHeight w:hRule="exact" w:val="260"/>
        </w:trPr>
        <w:tc>
          <w:tcPr>
            <w:tcW w:type="dxa" w:w="26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to improve lives and </w:t>
            </w:r>
          </w:p>
        </w:tc>
        <w:tc>
          <w:tcPr>
            <w:tcW w:type="dxa" w:w="2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Software and standards 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specific fields will be asked </w:t>
            </w:r>
          </w:p>
        </w:tc>
        <w:tc>
          <w:tcPr>
            <w:tcW w:type="dxa" w:w="2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2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and iterative manner. We will </w:t>
            </w:r>
          </w:p>
        </w:tc>
      </w:tr>
      <w:tr>
        <w:trPr>
          <w:trHeight w:hRule="exact" w:val="240"/>
        </w:trPr>
        <w:tc>
          <w:tcPr>
            <w:tcW w:type="dxa" w:w="26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reduce suffering. All user </w:t>
            </w:r>
          </w:p>
        </w:tc>
        <w:tc>
          <w:tcPr>
            <w:tcW w:type="dxa" w:w="2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will be open source with 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to lead aspects of the work </w:t>
            </w:r>
          </w:p>
        </w:tc>
        <w:tc>
          <w:tcPr>
            <w:tcW w:type="dxa" w:w="2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be flexible in our approach </w:t>
            </w:r>
          </w:p>
        </w:tc>
      </w:tr>
      <w:tr>
        <w:trPr>
          <w:trHeight w:hRule="exact" w:val="260"/>
        </w:trPr>
        <w:tc>
          <w:tcPr>
            <w:tcW w:type="dxa" w:w="26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groups will be considered </w:t>
            </w:r>
          </w:p>
        </w:tc>
        <w:tc>
          <w:tcPr>
            <w:tcW w:type="dxa" w:w="2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all code made available 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rather than trying to do </w:t>
            </w:r>
          </w:p>
        </w:tc>
        <w:tc>
          <w:tcPr>
            <w:tcW w:type="dxa" w:w="2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to delivering on our mission </w:t>
            </w:r>
          </w:p>
        </w:tc>
      </w:tr>
      <w:tr>
        <w:trPr>
          <w:trHeight w:hRule="exact" w:val="256"/>
        </w:trPr>
        <w:tc>
          <w:tcPr>
            <w:tcW w:type="dxa" w:w="26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when designing solutions, </w:t>
            </w:r>
          </w:p>
        </w:tc>
        <w:tc>
          <w:tcPr>
            <w:tcW w:type="dxa" w:w="2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in public repositories and 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everything ourselves. We </w:t>
            </w:r>
          </w:p>
        </w:tc>
        <w:tc>
          <w:tcPr>
            <w:tcW w:type="dxa" w:w="2712"/>
            <w:gridSpan w:val="2"/>
            <w:vMerge w:val="restart"/>
            <w:tcBorders>
              <w:bottom w:sz="7.935999870300293" w:val="single" w:color="#96959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2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>and objectives.</w:t>
            </w:r>
          </w:p>
        </w:tc>
      </w:tr>
      <w:tr>
        <w:trPr>
          <w:trHeight w:hRule="exact" w:val="244"/>
        </w:trPr>
        <w:tc>
          <w:tcPr>
            <w:tcW w:type="dxa" w:w="2692"/>
            <w:gridSpan w:val="2"/>
            <w:vMerge w:val="restart"/>
            <w:tcBorders>
              <w:bottom w:sz="7.935999870300293" w:val="single" w:color="#96959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products and services. </w:t>
            </w:r>
          </w:p>
        </w:tc>
        <w:tc>
          <w:tcPr>
            <w:tcW w:type="dxa" w:w="2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supported through developer 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will seek expertise across </w:t>
            </w:r>
          </w:p>
        </w:tc>
        <w:tc>
          <w:tcPr>
            <w:tcW w:type="dxa" w:w="2762"/>
            <w:gridSpan w:val="2"/>
            <w:vMerge/>
            <w:tcBorders>
              <w:bottom w:sz="7.935999870300293" w:val="single" w:color="#96959C"/>
            </w:tcBorders>
          </w:tcPr>
          <w:p/>
        </w:tc>
      </w:tr>
      <w:tr>
        <w:trPr>
          <w:trHeight w:hRule="exact" w:val="260"/>
        </w:trPr>
        <w:tc>
          <w:tcPr>
            <w:tcW w:type="dxa" w:w="2762"/>
            <w:gridSpan w:val="2"/>
            <w:vMerge/>
            <w:tcBorders>
              <w:bottom w:sz="7.935999870300293" w:val="single" w:color="#96959C"/>
            </w:tcBorders>
          </w:tcPr>
          <w:p/>
        </w:tc>
        <w:tc>
          <w:tcPr>
            <w:tcW w:type="dxa" w:w="2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communities. Data will be 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disciplines and industries </w:t>
            </w:r>
          </w:p>
        </w:tc>
        <w:tc>
          <w:tcPr>
            <w:tcW w:type="dxa" w:w="2762"/>
            <w:gridSpan w:val="2"/>
            <w:vMerge/>
            <w:tcBorders>
              <w:bottom w:sz="7.935999870300293" w:val="single" w:color="#96959C"/>
            </w:tcBorders>
          </w:tcPr>
          <w:p/>
        </w:tc>
      </w:tr>
      <w:tr>
        <w:trPr>
          <w:trHeight w:hRule="exact" w:val="240"/>
        </w:trPr>
        <w:tc>
          <w:tcPr>
            <w:tcW w:type="dxa" w:w="2762"/>
            <w:gridSpan w:val="2"/>
            <w:vMerge/>
            <w:tcBorders>
              <w:bottom w:sz="7.935999870300293" w:val="single" w:color="#96959C"/>
            </w:tcBorders>
          </w:tcPr>
          <w:p/>
        </w:tc>
        <w:tc>
          <w:tcPr>
            <w:tcW w:type="dxa" w:w="2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open to the extent that 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to ensure that we are </w:t>
            </w:r>
          </w:p>
        </w:tc>
        <w:tc>
          <w:tcPr>
            <w:tcW w:type="dxa" w:w="2762"/>
            <w:gridSpan w:val="2"/>
            <w:vMerge/>
            <w:tcBorders>
              <w:bottom w:sz="7.935999870300293" w:val="single" w:color="#96959C"/>
            </w:tcBorders>
          </w:tcPr>
          <w:p/>
        </w:tc>
      </w:tr>
      <w:tr>
        <w:trPr>
          <w:trHeight w:hRule="exact" w:val="260"/>
        </w:trPr>
        <w:tc>
          <w:tcPr>
            <w:tcW w:type="dxa" w:w="2762"/>
            <w:gridSpan w:val="2"/>
            <w:vMerge/>
            <w:tcBorders>
              <w:bottom w:sz="7.935999870300293" w:val="single" w:color="#96959C"/>
            </w:tcBorders>
          </w:tcPr>
          <w:p/>
        </w:tc>
        <w:tc>
          <w:tcPr>
            <w:tcW w:type="dxa" w:w="2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partners wish for it to be 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understanding problems </w:t>
            </w:r>
          </w:p>
        </w:tc>
        <w:tc>
          <w:tcPr>
            <w:tcW w:type="dxa" w:w="2762"/>
            <w:gridSpan w:val="2"/>
            <w:vMerge/>
            <w:tcBorders>
              <w:bottom w:sz="7.935999870300293" w:val="single" w:color="#96959C"/>
            </w:tcBorders>
          </w:tcPr>
          <w:p/>
        </w:tc>
      </w:tr>
      <w:tr>
        <w:trPr>
          <w:trHeight w:hRule="exact" w:val="256"/>
        </w:trPr>
        <w:tc>
          <w:tcPr>
            <w:tcW w:type="dxa" w:w="2762"/>
            <w:gridSpan w:val="2"/>
            <w:vMerge/>
            <w:tcBorders>
              <w:bottom w:sz="7.935999870300293" w:val="single" w:color="#96959C"/>
            </w:tcBorders>
          </w:tcPr>
          <w:p/>
        </w:tc>
        <w:tc>
          <w:tcPr>
            <w:tcW w:type="dxa" w:w="2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open and as long as it does 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and solutions from different </w:t>
            </w:r>
          </w:p>
        </w:tc>
        <w:tc>
          <w:tcPr>
            <w:tcW w:type="dxa" w:w="2762"/>
            <w:gridSpan w:val="2"/>
            <w:vMerge/>
            <w:tcBorders>
              <w:bottom w:sz="7.935999870300293" w:val="single" w:color="#96959C"/>
            </w:tcBorders>
          </w:tcPr>
          <w:p/>
        </w:tc>
      </w:tr>
      <w:tr>
        <w:trPr>
          <w:trHeight w:hRule="exact" w:val="244"/>
        </w:trPr>
        <w:tc>
          <w:tcPr>
            <w:tcW w:type="dxa" w:w="2762"/>
            <w:gridSpan w:val="2"/>
            <w:vMerge/>
            <w:tcBorders>
              <w:bottom w:sz="7.935999870300293" w:val="single" w:color="#96959C"/>
            </w:tcBorders>
          </w:tcPr>
          <w:p/>
        </w:tc>
        <w:tc>
          <w:tcPr>
            <w:tcW w:type="dxa" w:w="2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not infringe on the privacy or </w:t>
            </w:r>
          </w:p>
        </w:tc>
        <w:tc>
          <w:tcPr>
            <w:tcW w:type="dxa" w:w="2780"/>
            <w:gridSpan w:val="2"/>
            <w:vMerge w:val="restart"/>
            <w:tcBorders>
              <w:bottom w:sz="7.935999870300293" w:val="single" w:color="#96959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>perspectives.</w:t>
            </w:r>
          </w:p>
        </w:tc>
        <w:tc>
          <w:tcPr>
            <w:tcW w:type="dxa" w:w="2762"/>
            <w:gridSpan w:val="2"/>
            <w:vMerge/>
            <w:tcBorders>
              <w:bottom w:sz="7.935999870300293" w:val="single" w:color="#96959C"/>
            </w:tcBorders>
          </w:tcPr>
          <w:p/>
        </w:tc>
      </w:tr>
      <w:tr>
        <w:trPr>
          <w:trHeight w:hRule="exact" w:val="966"/>
        </w:trPr>
        <w:tc>
          <w:tcPr>
            <w:tcW w:type="dxa" w:w="2762"/>
            <w:gridSpan w:val="2"/>
            <w:vMerge/>
            <w:tcBorders>
              <w:bottom w:sz="7.935999870300293" w:val="single" w:color="#96959C"/>
            </w:tcBorders>
          </w:tcPr>
          <w:p/>
        </w:tc>
        <w:tc>
          <w:tcPr>
            <w:tcW w:type="dxa" w:w="2840"/>
            <w:gridSpan w:val="2"/>
            <w:tcBorders>
              <w:bottom w:sz="7.935999870300293" w:val="single" w:color="#96959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3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security of individuals. </w:t>
            </w:r>
          </w:p>
        </w:tc>
        <w:tc>
          <w:tcPr>
            <w:tcW w:type="dxa" w:w="2762"/>
            <w:gridSpan w:val="2"/>
            <w:vMerge/>
            <w:tcBorders>
              <w:bottom w:sz="7.935999870300293" w:val="single" w:color="#96959C"/>
            </w:tcBorders>
          </w:tcPr>
          <w:p/>
        </w:tc>
        <w:tc>
          <w:tcPr>
            <w:tcW w:type="dxa" w:w="2762"/>
            <w:gridSpan w:val="2"/>
            <w:vMerge/>
            <w:tcBorders>
              <w:bottom w:sz="7.935999870300293" w:val="single" w:color="#96959C"/>
            </w:tcBorders>
          </w:tcPr>
          <w:p/>
        </w:tc>
      </w:tr>
    </w:tbl>
    <w:p>
      <w:pPr>
        <w:autoSpaceDN w:val="0"/>
        <w:autoSpaceDE w:val="0"/>
        <w:widowControl/>
        <w:spacing w:line="240" w:lineRule="auto" w:before="134" w:after="0"/>
        <w:ind w:left="10" w:right="0" w:firstLine="0"/>
        <w:jc w:val="left"/>
      </w:pPr>
      <w:r>
        <w:rPr>
          <w:rFonts w:ascii="OpenSans" w:hAnsi="OpenSans" w:eastAsia="OpenSans"/>
          <w:b/>
          <w:i w:val="0"/>
          <w:color w:val="4F535C"/>
          <w:sz w:val="16"/>
        </w:rPr>
        <w:t>3</w:t>
      </w:r>
    </w:p>
    <w:p>
      <w:pPr>
        <w:sectPr>
          <w:type w:val="continuous"/>
          <w:pgSz w:w="12240" w:h="15840"/>
          <w:pgMar w:top="966" w:right="580" w:bottom="330" w:left="6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2082800</wp:posOffset>
            </wp:positionH>
            <wp:positionV relativeFrom="page">
              <wp:posOffset>2006600</wp:posOffset>
            </wp:positionV>
            <wp:extent cx="3848100" cy="20828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82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exact" w:before="0" w:after="0"/>
        <w:ind w:left="0" w:right="0" w:firstLine="0"/>
        <w:jc w:val="center"/>
      </w:pPr>
      <w:r>
        <w:rPr>
          <w:rFonts w:ascii="Stag" w:hAnsi="Stag" w:eastAsia="Stag"/>
          <w:b w:val="0"/>
          <w:i w:val="0"/>
          <w:color w:val="000000"/>
          <w:sz w:val="24"/>
        </w:rPr>
        <w:t>Focus Areas</w:t>
      </w:r>
    </w:p>
    <w:p>
      <w:pPr>
        <w:autoSpaceDN w:val="0"/>
        <w:autoSpaceDE w:val="0"/>
        <w:widowControl/>
        <w:spacing w:line="278" w:lineRule="exact" w:before="202" w:after="0"/>
        <w:ind w:left="0" w:right="0" w:firstLine="0"/>
        <w:jc w:val="center"/>
      </w:pPr>
      <w:r>
        <w:rPr>
          <w:rFonts w:ascii="Stag" w:hAnsi="Stag" w:eastAsia="Stag"/>
          <w:b w:val="0"/>
          <w:i w:val="0"/>
          <w:color w:val="000000"/>
          <w:sz w:val="24"/>
        </w:rPr>
        <w:t>—</w:t>
      </w:r>
    </w:p>
    <w:p>
      <w:pPr>
        <w:autoSpaceDN w:val="0"/>
        <w:autoSpaceDE w:val="0"/>
        <w:widowControl/>
        <w:spacing w:line="245" w:lineRule="auto" w:before="222" w:after="0"/>
        <w:ind w:left="1872" w:right="1872" w:firstLine="0"/>
        <w:jc w:val="center"/>
      </w:pP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The Centre will focus its activities across four areas: 1) data services; 2) data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policy; 3) data literacy; and 4) network engagement. The Centre will also have an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internal focus on strategy. </w:t>
      </w:r>
    </w:p>
    <w:p>
      <w:pPr>
        <w:autoSpaceDN w:val="0"/>
        <w:autoSpaceDE w:val="0"/>
        <w:widowControl/>
        <w:spacing w:line="154" w:lineRule="exact" w:before="718" w:after="1018"/>
        <w:ind w:left="0" w:right="4984" w:firstLine="0"/>
        <w:jc w:val="right"/>
      </w:pPr>
      <w:r>
        <w:rPr>
          <w:rFonts w:ascii="TradeGothic" w:hAnsi="TradeGothic" w:eastAsia="TradeGothic"/>
          <w:b/>
          <w:i w:val="0"/>
          <w:color w:val="3158A3"/>
          <w:sz w:val="13"/>
        </w:rPr>
        <w:t>STRATEGY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52.0" w:type="dxa"/>
      </w:tblPr>
      <w:tblGrid>
        <w:gridCol w:w="3681"/>
        <w:gridCol w:w="3681"/>
        <w:gridCol w:w="3681"/>
      </w:tblGrid>
      <w:tr>
        <w:trPr>
          <w:trHeight w:hRule="exact" w:val="214"/>
        </w:trPr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60" w:after="0"/>
              <w:ind w:left="0" w:right="726" w:firstLine="0"/>
              <w:jc w:val="right"/>
            </w:pPr>
            <w:r>
              <w:rPr>
                <w:rFonts w:ascii="TradeGothic" w:hAnsi="TradeGothic" w:eastAsia="TradeGothic"/>
                <w:b/>
                <w:i w:val="0"/>
                <w:color w:val="3158A3"/>
                <w:sz w:val="13"/>
              </w:rPr>
              <w:t xml:space="preserve">DATA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60" w:after="0"/>
              <w:ind w:left="0" w:right="0" w:firstLine="0"/>
              <w:jc w:val="center"/>
            </w:pPr>
            <w:r>
              <w:rPr>
                <w:rFonts w:ascii="TradeGothic" w:hAnsi="TradeGothic" w:eastAsia="TradeGothic"/>
                <w:b/>
                <w:i w:val="0"/>
                <w:color w:val="3158A3"/>
                <w:sz w:val="13"/>
              </w:rPr>
              <w:t>DATA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60" w:after="0"/>
              <w:ind w:left="0" w:right="1636" w:firstLine="0"/>
              <w:jc w:val="right"/>
            </w:pPr>
            <w:r>
              <w:rPr>
                <w:rFonts w:ascii="TradeGothic" w:hAnsi="TradeGothic" w:eastAsia="TradeGothic"/>
                <w:b/>
                <w:i w:val="0"/>
                <w:color w:val="3158A3"/>
                <w:sz w:val="13"/>
              </w:rPr>
              <w:t xml:space="preserve">DATA </w:t>
            </w:r>
          </w:p>
        </w:tc>
      </w:tr>
      <w:tr>
        <w:trPr>
          <w:trHeight w:hRule="exact" w:val="214"/>
        </w:trPr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0" w:after="0"/>
              <w:ind w:left="0" w:right="624" w:firstLine="0"/>
              <w:jc w:val="right"/>
            </w:pPr>
            <w:r>
              <w:rPr>
                <w:rFonts w:ascii="TradeGothic" w:hAnsi="TradeGothic" w:eastAsia="TradeGothic"/>
                <w:b/>
                <w:i w:val="0"/>
                <w:color w:val="3158A3"/>
                <w:sz w:val="13"/>
              </w:rPr>
              <w:t>LITERACY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0" w:after="0"/>
              <w:ind w:left="0" w:right="0" w:firstLine="0"/>
              <w:jc w:val="center"/>
            </w:pPr>
            <w:r>
              <w:rPr>
                <w:rFonts w:ascii="TradeGothic" w:hAnsi="TradeGothic" w:eastAsia="TradeGothic"/>
                <w:b/>
                <w:i w:val="0"/>
                <w:color w:val="3158A3"/>
                <w:sz w:val="13"/>
              </w:rPr>
              <w:t>SERVICES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0" w:after="0"/>
              <w:ind w:left="0" w:right="1598" w:firstLine="0"/>
              <w:jc w:val="right"/>
            </w:pPr>
            <w:r>
              <w:rPr>
                <w:rFonts w:ascii="TradeGothic" w:hAnsi="TradeGothic" w:eastAsia="TradeGothic"/>
                <w:b/>
                <w:i w:val="0"/>
                <w:color w:val="3158A3"/>
                <w:sz w:val="13"/>
              </w:rPr>
              <w:t>POLICY</w:t>
            </w:r>
          </w:p>
        </w:tc>
      </w:tr>
    </w:tbl>
    <w:p>
      <w:pPr>
        <w:autoSpaceDN w:val="0"/>
        <w:autoSpaceDE w:val="0"/>
        <w:widowControl/>
        <w:spacing w:line="154" w:lineRule="exact" w:before="1050" w:after="760"/>
        <w:ind w:left="0" w:right="4662" w:firstLine="0"/>
        <w:jc w:val="right"/>
      </w:pPr>
      <w:r>
        <w:rPr>
          <w:rFonts w:ascii="TradeGothic" w:hAnsi="TradeGothic" w:eastAsia="TradeGothic"/>
          <w:b/>
          <w:i w:val="0"/>
          <w:color w:val="3158A3"/>
          <w:sz w:val="13"/>
        </w:rPr>
        <w:t>NETWORK ENGAGEMENT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32.0" w:type="dxa"/>
      </w:tblPr>
      <w:tblGrid>
        <w:gridCol w:w="2761"/>
        <w:gridCol w:w="2761"/>
        <w:gridCol w:w="2761"/>
        <w:gridCol w:w="2761"/>
      </w:tblGrid>
      <w:tr>
        <w:trPr>
          <w:trHeight w:hRule="exact" w:val="560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12" w:after="0"/>
              <w:ind w:left="0" w:right="586" w:firstLine="0"/>
              <w:jc w:val="right"/>
            </w:pPr>
            <w:r>
              <w:rPr>
                <w:rFonts w:ascii="Stag" w:hAnsi="Stag" w:eastAsia="Stag"/>
                <w:b w:val="0"/>
                <w:i w:val="0"/>
                <w:color w:val="000000"/>
                <w:sz w:val="20"/>
              </w:rPr>
              <w:t>Data Services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22300" cy="5969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596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8" w:after="0"/>
              <w:ind w:left="80" w:right="0" w:firstLine="0"/>
              <w:jc w:val="left"/>
            </w:pPr>
            <w:r>
              <w:rPr>
                <w:rFonts w:ascii="Stag" w:hAnsi="Stag" w:eastAsia="Stag"/>
                <w:b w:val="0"/>
                <w:i w:val="0"/>
                <w:color w:val="000000"/>
                <w:sz w:val="20"/>
              </w:rPr>
              <w:t>Data Literacy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58800" cy="558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84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56" w:after="0"/>
              <w:ind w:left="0" w:right="1800" w:firstLine="0"/>
              <w:jc w:val="right"/>
            </w:pPr>
            <w:r>
              <w:rPr>
                <w:rFonts w:ascii="Stag" w:hAnsi="Stag" w:eastAsia="Stag"/>
                <w:b w:val="0"/>
                <w:i w:val="0"/>
                <w:color w:val="000000"/>
                <w:sz w:val="28"/>
              </w:rPr>
              <w:t>—</w:t>
            </w:r>
          </w:p>
        </w:tc>
        <w:tc>
          <w:tcPr>
            <w:tcW w:type="dxa" w:w="2761"/>
            <w:vMerge/>
            <w:tcBorders/>
          </w:tcPr>
          <w:p/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26" w:after="0"/>
              <w:ind w:left="80" w:right="0" w:firstLine="0"/>
              <w:jc w:val="left"/>
            </w:pPr>
            <w:r>
              <w:rPr>
                <w:rFonts w:ascii="Stag" w:hAnsi="Stag" w:eastAsia="Stag"/>
                <w:b w:val="0"/>
                <w:i w:val="0"/>
                <w:color w:val="000000"/>
                <w:sz w:val="24"/>
              </w:rPr>
              <w:t>—</w:t>
            </w:r>
          </w:p>
        </w:tc>
        <w:tc>
          <w:tcPr>
            <w:tcW w:type="dxa" w:w="276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50"/>
        <w:ind w:left="0" w:right="0"/>
      </w:pPr>
    </w:p>
    <w:p>
      <w:pPr>
        <w:sectPr>
          <w:pgSz w:w="12240" w:h="15840"/>
          <w:pgMar w:top="488" w:right="588" w:bottom="330" w:left="6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884" w:right="144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The Centre’s data services work will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include: a) direct management of the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Humanitarian Data Exchange and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support to other platforms; b) data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standards adoption, including for the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Humanitarian Exchange Language and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the International Aid Transparency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Initiative; and c) data visualization and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reporting. </w:t>
      </w:r>
    </w:p>
    <w:p>
      <w:pPr>
        <w:sectPr>
          <w:type w:val="continuous"/>
          <w:pgSz w:w="12240" w:h="15840"/>
          <w:pgMar w:top="488" w:right="588" w:bottom="330" w:left="608" w:header="720" w:footer="720" w:gutter="0"/>
          <w:cols w:num="2" w:equalWidth="0">
            <w:col w:w="5476" w:space="0"/>
            <w:col w:w="556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302"/>
        <w:ind w:left="156" w:right="1872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The Centre will offer in-person and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remote training programmes for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technical and non-technical users of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data. The Centre will also manage a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data fellows programme that will place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data scientists and design researchers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in partner organizations and OCHA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offices to work alongside staff to build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capacity. </w:t>
      </w:r>
    </w:p>
    <w:p>
      <w:pPr>
        <w:sectPr>
          <w:type w:val="nextColumn"/>
          <w:pgSz w:w="12240" w:h="15840"/>
          <w:pgMar w:top="488" w:right="588" w:bottom="330" w:left="608" w:header="720" w:footer="720" w:gutter="0"/>
          <w:cols w:num="2" w:equalWidth="0">
            <w:col w:w="5476" w:space="0"/>
            <w:col w:w="556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32.0" w:type="dxa"/>
      </w:tblPr>
      <w:tblGrid>
        <w:gridCol w:w="2761"/>
        <w:gridCol w:w="2761"/>
        <w:gridCol w:w="2761"/>
        <w:gridCol w:w="2761"/>
      </w:tblGrid>
      <w:tr>
        <w:trPr>
          <w:trHeight w:hRule="exact" w:val="740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12" w:after="0"/>
              <w:ind w:left="0" w:right="736" w:firstLine="0"/>
              <w:jc w:val="right"/>
            </w:pPr>
            <w:r>
              <w:rPr>
                <w:rFonts w:ascii="Stag" w:hAnsi="Stag" w:eastAsia="Stag"/>
                <w:b w:val="0"/>
                <w:i w:val="0"/>
                <w:color w:val="000000"/>
                <w:sz w:val="20"/>
              </w:rPr>
              <w:t>Data Policy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6100" cy="558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12" w:after="0"/>
              <w:ind w:left="0" w:right="0" w:firstLine="0"/>
              <w:jc w:val="center"/>
            </w:pPr>
            <w:r>
              <w:rPr>
                <w:rFonts w:ascii="Stag" w:hAnsi="Stag" w:eastAsia="Stag"/>
                <w:b w:val="0"/>
                <w:i w:val="0"/>
                <w:color w:val="000000"/>
                <w:sz w:val="20"/>
              </w:rPr>
              <w:t>Network Engagement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84200" cy="584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" cy="584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74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4" w:after="0"/>
              <w:ind w:left="0" w:right="1748" w:firstLine="0"/>
              <w:jc w:val="right"/>
            </w:pPr>
            <w:r>
              <w:rPr>
                <w:rFonts w:ascii="Stag" w:hAnsi="Stag" w:eastAsia="Stag"/>
                <w:b w:val="0"/>
                <w:i w:val="0"/>
                <w:color w:val="000000"/>
                <w:sz w:val="24"/>
              </w:rPr>
              <w:t>—</w:t>
            </w:r>
          </w:p>
        </w:tc>
        <w:tc>
          <w:tcPr>
            <w:tcW w:type="dxa" w:w="2761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4" w:after="0"/>
              <w:ind w:left="134" w:right="0" w:firstLine="0"/>
              <w:jc w:val="left"/>
            </w:pPr>
            <w:r>
              <w:rPr>
                <w:rFonts w:ascii="Stag" w:hAnsi="Stag" w:eastAsia="Stag"/>
                <w:b w:val="0"/>
                <w:i w:val="0"/>
                <w:color w:val="000000"/>
                <w:sz w:val="24"/>
              </w:rPr>
              <w:t>—</w:t>
            </w:r>
          </w:p>
        </w:tc>
        <w:tc>
          <w:tcPr>
            <w:tcW w:type="dxa" w:w="276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220"/>
        <w:ind w:left="0" w:right="0"/>
      </w:pPr>
    </w:p>
    <w:p>
      <w:pPr>
        <w:sectPr>
          <w:type w:val="continuous"/>
          <w:pgSz w:w="12240" w:h="15840"/>
          <w:pgMar w:top="488" w:right="588" w:bottom="330" w:left="6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884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The Centre will lead OCHA’s data policy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work and offer support to partners on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using data responsibly. Safeguarding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privacy and ensuring sensitive data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is handled appropriately are critical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issues for the humanitarian community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as it becomes more data driven. </w:t>
      </w:r>
    </w:p>
    <w:p>
      <w:pPr>
        <w:sectPr>
          <w:type w:val="continuous"/>
          <w:pgSz w:w="12240" w:h="15840"/>
          <w:pgMar w:top="488" w:right="588" w:bottom="330" w:left="608" w:header="720" w:footer="720" w:gutter="0"/>
          <w:cols w:num="2" w:equalWidth="0">
            <w:col w:w="5514" w:space="0"/>
            <w:col w:w="553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32" w:right="2016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The Centre will further build and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engage an active community in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support of its mission and objectives. </w:t>
      </w:r>
    </w:p>
    <w:p>
      <w:pPr>
        <w:autoSpaceDN w:val="0"/>
        <w:autoSpaceDE w:val="0"/>
        <w:widowControl/>
        <w:spacing w:line="245" w:lineRule="auto" w:before="0" w:after="598"/>
        <w:ind w:left="132" w:right="2016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We will do this by creating physical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and virtual spaces to work together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on data challenges and creating a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transparent collaboration model for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people, organizations and companies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>to engage with us.</w:t>
      </w:r>
    </w:p>
    <w:p>
      <w:pPr>
        <w:sectPr>
          <w:type w:val="nextColumn"/>
          <w:pgSz w:w="12240" w:h="15840"/>
          <w:pgMar w:top="488" w:right="588" w:bottom="330" w:left="608" w:header="720" w:footer="720" w:gutter="0"/>
          <w:cols w:num="2" w:equalWidth="0">
            <w:col w:w="5514" w:space="0"/>
            <w:col w:w="553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144" w:after="0"/>
        <w:ind w:left="10" w:right="0" w:firstLine="0"/>
        <w:jc w:val="left"/>
      </w:pPr>
      <w:r>
        <w:rPr>
          <w:rFonts w:ascii="OpenSans" w:hAnsi="OpenSans" w:eastAsia="OpenSans"/>
          <w:b/>
          <w:i w:val="0"/>
          <w:color w:val="4F535C"/>
          <w:sz w:val="16"/>
        </w:rPr>
        <w:t>4</w:t>
      </w:r>
    </w:p>
    <w:p>
      <w:pPr>
        <w:sectPr>
          <w:type w:val="continuous"/>
          <w:pgSz w:w="12240" w:h="15840"/>
          <w:pgMar w:top="488" w:right="588" w:bottom="330" w:left="6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2311400</wp:posOffset>
            </wp:positionH>
            <wp:positionV relativeFrom="page">
              <wp:posOffset>2590800</wp:posOffset>
            </wp:positionV>
            <wp:extent cx="2921000" cy="23876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387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exact" w:before="0" w:after="0"/>
        <w:ind w:left="0" w:right="0" w:firstLine="0"/>
        <w:jc w:val="center"/>
      </w:pPr>
      <w:r>
        <w:rPr>
          <w:rFonts w:ascii="Stag" w:hAnsi="Stag" w:eastAsia="Stag"/>
          <w:b w:val="0"/>
          <w:i w:val="0"/>
          <w:color w:val="000000"/>
          <w:sz w:val="24"/>
        </w:rPr>
        <w:t>Collaboration Model</w:t>
      </w:r>
    </w:p>
    <w:p>
      <w:pPr>
        <w:autoSpaceDN w:val="0"/>
        <w:autoSpaceDE w:val="0"/>
        <w:widowControl/>
        <w:spacing w:line="278" w:lineRule="exact" w:before="202" w:after="0"/>
        <w:ind w:left="0" w:right="0" w:firstLine="0"/>
        <w:jc w:val="center"/>
      </w:pPr>
      <w:r>
        <w:rPr>
          <w:rFonts w:ascii="Stag" w:hAnsi="Stag" w:eastAsia="Stag"/>
          <w:b w:val="0"/>
          <w:i w:val="0"/>
          <w:color w:val="000000"/>
          <w:sz w:val="24"/>
        </w:rPr>
        <w:t>—</w:t>
      </w:r>
    </w:p>
    <w:p>
      <w:pPr>
        <w:autoSpaceDN w:val="0"/>
        <w:autoSpaceDE w:val="0"/>
        <w:widowControl/>
        <w:spacing w:line="245" w:lineRule="auto" w:before="222" w:after="0"/>
        <w:ind w:left="1912" w:right="1872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There will be a number of ways for partners to collaborate with the Centre. This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includes information sharing, projects and placement of staff into the Centre. The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level of trust increases as the collaboration becomes more direct. </w:t>
      </w:r>
    </w:p>
    <w:p>
      <w:pPr>
        <w:autoSpaceDN w:val="0"/>
        <w:autoSpaceDE w:val="0"/>
        <w:widowControl/>
        <w:spacing w:line="245" w:lineRule="auto" w:before="996" w:after="0"/>
        <w:ind w:left="5184" w:right="5184" w:firstLine="0"/>
        <w:jc w:val="center"/>
      </w:pPr>
      <w:r>
        <w:rPr>
          <w:rFonts w:ascii="OpenSans" w:hAnsi="OpenSans" w:eastAsia="OpenSans"/>
          <w:b/>
          <w:i w:val="0"/>
          <w:color w:val="000000"/>
          <w:sz w:val="12"/>
        </w:rPr>
        <w:t>Second-</w:t>
      </w:r>
      <w:r>
        <w:br/>
      </w:r>
      <w:r>
        <w:rPr>
          <w:rFonts w:ascii="OpenSans" w:hAnsi="OpenSans" w:eastAsia="OpenSans"/>
          <w:b/>
          <w:i w:val="0"/>
          <w:color w:val="000000"/>
          <w:sz w:val="12"/>
        </w:rPr>
        <w:t>ments</w:t>
      </w:r>
    </w:p>
    <w:p>
      <w:pPr>
        <w:autoSpaceDN w:val="0"/>
        <w:autoSpaceDE w:val="0"/>
        <w:widowControl/>
        <w:spacing w:line="240" w:lineRule="auto" w:before="476" w:after="0"/>
        <w:ind w:left="0" w:right="0" w:firstLine="0"/>
        <w:jc w:val="center"/>
      </w:pPr>
      <w:r>
        <w:rPr>
          <w:rFonts w:ascii="OpenSans" w:hAnsi="OpenSans" w:eastAsia="OpenSans"/>
          <w:b/>
          <w:i w:val="0"/>
          <w:color w:val="000000"/>
          <w:sz w:val="12"/>
        </w:rPr>
        <w:t>Direct projects</w:t>
      </w:r>
    </w:p>
    <w:p>
      <w:pPr>
        <w:autoSpaceDN w:val="0"/>
        <w:autoSpaceDE w:val="0"/>
        <w:widowControl/>
        <w:spacing w:line="240" w:lineRule="auto" w:before="206" w:after="0"/>
        <w:ind w:left="0" w:right="6746" w:firstLine="0"/>
        <w:jc w:val="right"/>
      </w:pPr>
      <w:r>
        <w:rPr>
          <w:rFonts w:ascii="OpenSans" w:hAnsi="OpenSans" w:eastAsia="OpenSans"/>
          <w:b/>
          <w:i w:val="0"/>
          <w:color w:val="000000"/>
          <w:sz w:val="12"/>
        </w:rPr>
        <w:t>Trust</w:t>
      </w:r>
    </w:p>
    <w:p>
      <w:pPr>
        <w:autoSpaceDN w:val="0"/>
        <w:autoSpaceDE w:val="0"/>
        <w:widowControl/>
        <w:spacing w:line="240" w:lineRule="auto" w:before="390" w:after="0"/>
        <w:ind w:left="0" w:right="0" w:firstLine="0"/>
        <w:jc w:val="center"/>
      </w:pPr>
      <w:r>
        <w:rPr>
          <w:rFonts w:ascii="OpenSans" w:hAnsi="OpenSans" w:eastAsia="OpenSans"/>
          <w:b/>
          <w:i w:val="0"/>
          <w:color w:val="000000"/>
          <w:sz w:val="12"/>
        </w:rPr>
        <w:t>3rd party projects</w:t>
      </w:r>
    </w:p>
    <w:p>
      <w:pPr>
        <w:autoSpaceDN w:val="0"/>
        <w:autoSpaceDE w:val="0"/>
        <w:widowControl/>
        <w:spacing w:line="240" w:lineRule="auto" w:before="746" w:after="0"/>
        <w:ind w:left="0" w:right="0" w:firstLine="0"/>
        <w:jc w:val="center"/>
      </w:pPr>
      <w:r>
        <w:rPr>
          <w:rFonts w:ascii="OpenSans" w:hAnsi="OpenSans" w:eastAsia="OpenSans"/>
          <w:b/>
          <w:i w:val="0"/>
          <w:color w:val="000000"/>
          <w:sz w:val="12"/>
        </w:rPr>
        <w:t>Information sharing</w:t>
      </w:r>
    </w:p>
    <w:p>
      <w:pPr>
        <w:autoSpaceDN w:val="0"/>
        <w:autoSpaceDE w:val="0"/>
        <w:widowControl/>
        <w:spacing w:line="240" w:lineRule="auto" w:before="756" w:after="0"/>
        <w:ind w:left="1912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1"/>
        </w:rPr>
        <w:t>Collaboration examples include:</w:t>
      </w:r>
    </w:p>
    <w:p>
      <w:pPr>
        <w:autoSpaceDN w:val="0"/>
        <w:autoSpaceDE w:val="0"/>
        <w:widowControl/>
        <w:spacing w:line="246" w:lineRule="exact" w:before="222" w:after="0"/>
        <w:ind w:left="1912" w:right="2016" w:firstLine="0"/>
        <w:jc w:val="left"/>
      </w:pPr>
      <w:r>
        <w:rPr>
          <w:rFonts w:ascii="Stag" w:hAnsi="Stag" w:eastAsia="Stag"/>
          <w:b w:val="0"/>
          <w:i w:val="0"/>
          <w:color w:val="000000"/>
          <w:sz w:val="21"/>
        </w:rPr>
        <w:t xml:space="preserve">Level 1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An individual visits the Centre website to find out about community projects and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>to learn about upcoming events and trainings.</w:t>
      </w:r>
    </w:p>
    <w:p>
      <w:pPr>
        <w:autoSpaceDN w:val="0"/>
        <w:autoSpaceDE w:val="0"/>
        <w:widowControl/>
        <w:spacing w:line="246" w:lineRule="exact" w:before="222" w:after="0"/>
        <w:ind w:left="1912" w:right="2160" w:firstLine="0"/>
        <w:jc w:val="left"/>
      </w:pPr>
      <w:r>
        <w:rPr>
          <w:rFonts w:ascii="Stag" w:hAnsi="Stag" w:eastAsia="Stag"/>
          <w:b w:val="0"/>
          <w:i w:val="0"/>
          <w:color w:val="000000"/>
          <w:sz w:val="21"/>
        </w:rPr>
        <w:t xml:space="preserve">Level 2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An organization shares information with the Centre about a project that needs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>support and the Centre connects the organization with a partner who can help.</w:t>
      </w:r>
    </w:p>
    <w:p>
      <w:pPr>
        <w:autoSpaceDN w:val="0"/>
        <w:autoSpaceDE w:val="0"/>
        <w:widowControl/>
        <w:spacing w:line="244" w:lineRule="exact" w:before="224" w:after="0"/>
        <w:ind w:left="1912" w:right="1872" w:firstLine="0"/>
        <w:jc w:val="left"/>
      </w:pPr>
      <w:r>
        <w:rPr>
          <w:rFonts w:ascii="Stag" w:hAnsi="Stag" w:eastAsia="Stag"/>
          <w:b w:val="0"/>
          <w:i w:val="0"/>
          <w:color w:val="000000"/>
          <w:sz w:val="21"/>
        </w:rPr>
        <w:t xml:space="preserve">Level 3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A data manager in the field contacts the Centre with a request to clean data and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build a visualization and the Centre creates a project, team and timeline to deliver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>on the request.</w:t>
      </w:r>
    </w:p>
    <w:p>
      <w:pPr>
        <w:autoSpaceDN w:val="0"/>
        <w:autoSpaceDE w:val="0"/>
        <w:widowControl/>
        <w:spacing w:line="246" w:lineRule="exact" w:before="222" w:after="0"/>
        <w:ind w:left="1912" w:right="1872" w:firstLine="0"/>
        <w:jc w:val="left"/>
      </w:pPr>
      <w:r>
        <w:rPr>
          <w:rFonts w:ascii="Stag" w:hAnsi="Stag" w:eastAsia="Stag"/>
          <w:b w:val="0"/>
          <w:i w:val="0"/>
          <w:color w:val="000000"/>
          <w:sz w:val="21"/>
        </w:rPr>
        <w:t xml:space="preserve">Level 4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 xml:space="preserve">An organization wants to support the Centre’s data science activities and seconds </w:t>
      </w:r>
      <w:r>
        <w:rPr>
          <w:rFonts w:ascii="SourceSansPro" w:hAnsi="SourceSansPro" w:eastAsia="SourceSansPro"/>
          <w:b w:val="0"/>
          <w:i w:val="0"/>
          <w:color w:val="000000"/>
          <w:sz w:val="21"/>
        </w:rPr>
        <w:t>a staff member for 6 months to work on a range of activities in The Hague.</w:t>
      </w:r>
    </w:p>
    <w:p>
      <w:pPr>
        <w:autoSpaceDN w:val="0"/>
        <w:autoSpaceDE w:val="0"/>
        <w:widowControl/>
        <w:spacing w:line="240" w:lineRule="auto" w:before="2422" w:after="0"/>
        <w:ind w:left="10" w:right="0" w:firstLine="0"/>
        <w:jc w:val="left"/>
      </w:pPr>
      <w:r>
        <w:rPr>
          <w:rFonts w:ascii="OpenSans" w:hAnsi="OpenSans" w:eastAsia="OpenSans"/>
          <w:b/>
          <w:i w:val="0"/>
          <w:color w:val="4F535C"/>
          <w:sz w:val="16"/>
        </w:rPr>
        <w:t>5</w:t>
      </w:r>
    </w:p>
    <w:p>
      <w:pPr>
        <w:sectPr>
          <w:pgSz w:w="12240" w:h="15840"/>
          <w:pgMar w:top="966" w:right="588" w:bottom="330" w:left="6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990600</wp:posOffset>
            </wp:positionH>
            <wp:positionV relativeFrom="page">
              <wp:posOffset>2298700</wp:posOffset>
            </wp:positionV>
            <wp:extent cx="381000" cy="23749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374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990600</wp:posOffset>
            </wp:positionH>
            <wp:positionV relativeFrom="page">
              <wp:posOffset>4762500</wp:posOffset>
            </wp:positionV>
            <wp:extent cx="330200" cy="2667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66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exact" w:before="0" w:after="0"/>
        <w:ind w:left="0" w:right="0" w:firstLine="0"/>
        <w:jc w:val="center"/>
      </w:pPr>
      <w:r>
        <w:rPr>
          <w:rFonts w:ascii="Stag" w:hAnsi="Stag" w:eastAsia="Stag"/>
          <w:b w:val="0"/>
          <w:i w:val="0"/>
          <w:color w:val="000000"/>
          <w:sz w:val="24"/>
        </w:rPr>
        <w:t>Timeline</w:t>
      </w:r>
    </w:p>
    <w:p>
      <w:pPr>
        <w:autoSpaceDN w:val="0"/>
        <w:autoSpaceDE w:val="0"/>
        <w:widowControl/>
        <w:spacing w:line="278" w:lineRule="exact" w:before="202" w:after="162"/>
        <w:ind w:left="0" w:right="0" w:firstLine="0"/>
        <w:jc w:val="center"/>
      </w:pPr>
      <w:r>
        <w:rPr>
          <w:rFonts w:ascii="Stag" w:hAnsi="Stag" w:eastAsia="Stag"/>
          <w:b w:val="0"/>
          <w:i w:val="0"/>
          <w:color w:val="000000"/>
          <w:sz w:val="24"/>
        </w:rPr>
        <w:t>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2.0" w:type="dxa"/>
      </w:tblPr>
      <w:tblGrid>
        <w:gridCol w:w="5526"/>
        <w:gridCol w:w="5526"/>
      </w:tblGrid>
      <w:tr>
        <w:trPr>
          <w:trHeight w:hRule="exact" w:val="110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14" w:after="0"/>
              <w:ind w:left="0" w:right="250" w:firstLine="0"/>
              <w:jc w:val="right"/>
            </w:pPr>
            <w:r>
              <w:rPr>
                <w:rFonts w:ascii="Stag" w:hAnsi="Stag" w:eastAsia="Stag"/>
                <w:b w:val="0"/>
                <w:i w:val="0"/>
                <w:color w:val="FFFFFF"/>
                <w:sz w:val="14"/>
              </w:rPr>
              <w:t>2016</w:t>
            </w:r>
          </w:p>
        </w:tc>
        <w:tc>
          <w:tcPr>
            <w:tcW w:type="dxa" w:w="8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60" w:right="864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The Centre is a work in progress. We expect it to be operational by the first or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second quarter of 2017. The exact timing is dependent on the finalization of legal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and financial agreements. You can get the latest updates on our timeline through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1"/>
              </w:rPr>
              <w:t xml:space="preserve">the Centre’s website: </w:t>
            </w:r>
            <w:r>
              <w:rPr>
                <w:rFonts w:ascii="SourceSansPro" w:hAnsi="SourceSansPro" w:eastAsia="SourceSansPro"/>
                <w:b/>
                <w:i w:val="0"/>
                <w:color w:val="1BB580"/>
                <w:sz w:val="21"/>
                <w:u w:val="single"/>
              </w:rPr>
              <w:t>centre.humdata.org</w:t>
            </w:r>
          </w:p>
        </w:tc>
      </w:tr>
    </w:tbl>
    <w:p>
      <w:pPr>
        <w:autoSpaceDN w:val="0"/>
        <w:autoSpaceDE w:val="0"/>
        <w:widowControl/>
        <w:spacing w:line="242" w:lineRule="exact" w:before="164" w:after="0"/>
        <w:ind w:left="1912" w:right="2016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16"/>
        </w:rPr>
        <w:t xml:space="preserve">MAY 2016 </w:t>
      </w:r>
      <w:r>
        <w:br/>
      </w:r>
      <w:r>
        <w:rPr>
          <w:rFonts w:ascii="Stag" w:hAnsi="Stag" w:eastAsia="Stag"/>
          <w:b w:val="0"/>
          <w:i w:val="0"/>
          <w:color w:val="000000"/>
          <w:sz w:val="20"/>
        </w:rPr>
        <w:t xml:space="preserve">World Humanitarian Summit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 xml:space="preserve">OCHA and the Netherlands </w:t>
      </w:r>
      <w:r>
        <w:rPr>
          <w:rFonts w:ascii="SourceSansPro" w:hAnsi="SourceSansPro" w:eastAsia="SourceSansPro"/>
          <w:b/>
          <w:i w:val="0"/>
          <w:color w:val="1BB580"/>
          <w:sz w:val="20"/>
          <w:u w:val="single"/>
        </w:rPr>
        <w:hyperlink r:id="rId20" w:history="1">
          <w:r>
            <w:rPr>
              <w:rStyle w:val="Hyperlink"/>
            </w:rPr>
            <w:t>announced</w:t>
          </w:r>
        </w:hyperlink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 xml:space="preserve"> their intention to establish a new</w:t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hyperlink r:id="rId21" w:history="1">
          <w:r>
            <w:rPr>
              <w:rStyle w:val="Hyperlink"/>
            </w:rPr>
            <w:t xml:space="preserve"> Centre for </w:t>
          </w:r>
        </w:hyperlink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hyperlink r:id="rId21" w:history="1">
          <w:r>
            <w:rPr>
              <w:rStyle w:val="Hyperlink"/>
            </w:rPr>
            <w:t>Humanitar</w:t>
          </w:r>
        </w:hyperlink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>ian Data in The H</w:t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hyperlink r:id="rId20" w:history="1">
          <w:r>
            <w:rPr>
              <w:rStyle w:val="Hyperlink"/>
            </w:rPr>
            <w:t>ague as a c</w:t>
          </w:r>
        </w:hyperlink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 xml:space="preserve">oncrete commitment towards the </w:t>
      </w:r>
      <w:r>
        <w:rPr>
          <w:rFonts w:ascii="SourceSansPro" w:hAnsi="SourceSansPro" w:eastAsia="SourceSansPro"/>
          <w:b/>
          <w:i w:val="0"/>
          <w:color w:val="1BB580"/>
          <w:sz w:val="20"/>
          <w:u w:val="single"/>
        </w:rPr>
        <w:hyperlink r:id="rId21" w:history="1">
          <w:r>
            <w:rPr>
              <w:rStyle w:val="Hyperlink"/>
            </w:rPr>
            <w:t xml:space="preserve">Agenda for </w:t>
          </w:r>
        </w:hyperlink>
      </w:r>
      <w:r>
        <w:rPr>
          <w:rFonts w:ascii="SourceSansPro" w:hAnsi="SourceSansPro" w:eastAsia="SourceSansPro"/>
          <w:b/>
          <w:i w:val="0"/>
          <w:color w:val="1BB580"/>
          <w:sz w:val="20"/>
          <w:u w:val="single"/>
        </w:rPr>
        <w:hyperlink r:id="rId21" w:history="1">
          <w:r>
            <w:rPr>
              <w:rStyle w:val="Hyperlink"/>
            </w:rPr>
            <w:t>Humanity</w:t>
          </w:r>
        </w:hyperlink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226" w:after="0"/>
        <w:ind w:left="1912" w:right="1872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16"/>
        </w:rPr>
        <w:t xml:space="preserve">OCTOBER 2016 </w:t>
      </w:r>
      <w:r>
        <w:br/>
      </w:r>
      <w:r>
        <w:rPr>
          <w:rFonts w:ascii="Stag" w:hAnsi="Stag" w:eastAsia="Stag"/>
          <w:b w:val="0"/>
          <w:i w:val="0"/>
          <w:color w:val="000000"/>
          <w:sz w:val="20"/>
        </w:rPr>
        <w:t xml:space="preserve">Design Workshop in The Hague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 xml:space="preserve">Over forty partners came together to give feedback on the Centre’s business plan and </w:t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>to explore areas of collaboration.</w:t>
      </w:r>
    </w:p>
    <w:p>
      <w:pPr>
        <w:autoSpaceDN w:val="0"/>
        <w:autoSpaceDE w:val="0"/>
        <w:widowControl/>
        <w:spacing w:line="240" w:lineRule="auto" w:before="268" w:after="4"/>
        <w:ind w:left="1912" w:right="0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16"/>
        </w:rPr>
        <w:t>NOVEMBER 2016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2.0" w:type="dxa"/>
      </w:tblPr>
      <w:tblGrid>
        <w:gridCol w:w="5526"/>
        <w:gridCol w:w="5526"/>
      </w:tblGrid>
      <w:tr>
        <w:trPr>
          <w:trHeight w:hRule="exact" w:val="85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40" w:after="0"/>
              <w:ind w:left="0" w:right="254" w:firstLine="0"/>
              <w:jc w:val="right"/>
            </w:pPr>
            <w:r>
              <w:rPr>
                <w:rFonts w:ascii="Stag" w:hAnsi="Stag" w:eastAsia="Stag"/>
                <w:b w:val="0"/>
                <w:i w:val="0"/>
                <w:color w:val="FFFFFF"/>
                <w:sz w:val="14"/>
              </w:rPr>
              <w:t>2017</w:t>
            </w:r>
          </w:p>
        </w:tc>
        <w:tc>
          <w:tcPr>
            <w:tcW w:type="dxa" w:w="8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60" w:right="1152" w:firstLine="0"/>
              <w:jc w:val="left"/>
            </w:pPr>
            <w:r>
              <w:rPr>
                <w:rFonts w:ascii="Stag" w:hAnsi="Stag" w:eastAsia="Stag"/>
                <w:b w:val="0"/>
                <w:i w:val="0"/>
                <w:color w:val="000000"/>
                <w:sz w:val="20"/>
              </w:rPr>
              <w:t xml:space="preserve">Design Workshop in New York 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 xml:space="preserve">Over twenty-five partners met to think through various aspects of the Centre’s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>business plan and to explore areas of collaboration.</w:t>
            </w:r>
          </w:p>
        </w:tc>
      </w:tr>
    </w:tbl>
    <w:p>
      <w:pPr>
        <w:autoSpaceDN w:val="0"/>
        <w:autoSpaceDE w:val="0"/>
        <w:widowControl/>
        <w:spacing w:line="244" w:lineRule="exact" w:before="94" w:after="0"/>
        <w:ind w:left="1912" w:right="2304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16"/>
        </w:rPr>
        <w:t xml:space="preserve">MARCH 2017 </w:t>
      </w:r>
      <w:r>
        <w:br/>
      </w:r>
      <w:r>
        <w:rPr>
          <w:rFonts w:ascii="Stag" w:hAnsi="Stag" w:eastAsia="Stag"/>
          <w:b w:val="0"/>
          <w:i w:val="0"/>
          <w:color w:val="000000"/>
          <w:sz w:val="20"/>
        </w:rPr>
        <w:t xml:space="preserve">Centre for Humanitarian Data in The Hague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 xml:space="preserve">An initial team is based in The Hague to set up the Centre and begin working with </w:t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 xml:space="preserve">partners. </w:t>
      </w:r>
    </w:p>
    <w:p>
      <w:pPr>
        <w:autoSpaceDN w:val="0"/>
        <w:autoSpaceDE w:val="0"/>
        <w:widowControl/>
        <w:spacing w:line="244" w:lineRule="exact" w:before="226" w:after="0"/>
        <w:ind w:left="1912" w:right="1872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16"/>
        </w:rPr>
        <w:t xml:space="preserve">AUGUST 2017 </w:t>
      </w:r>
      <w:r>
        <w:br/>
      </w:r>
      <w:r>
        <w:rPr>
          <w:rFonts w:ascii="Stag" w:hAnsi="Stag" w:eastAsia="Stag"/>
          <w:b w:val="0"/>
          <w:i w:val="0"/>
          <w:color w:val="000000"/>
          <w:sz w:val="20"/>
        </w:rPr>
        <w:t xml:space="preserve">The Humanity Hub Opens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 xml:space="preserve">The city of The Hague establishes the Humanity Hub, a collaborative space for groups </w:t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>working on data and innovation in the social sector.</w:t>
      </w:r>
    </w:p>
    <w:p>
      <w:pPr>
        <w:autoSpaceDN w:val="0"/>
        <w:autoSpaceDE w:val="0"/>
        <w:widowControl/>
        <w:spacing w:line="244" w:lineRule="exact" w:before="226" w:after="0"/>
        <w:ind w:left="1912" w:right="1872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16"/>
        </w:rPr>
        <w:t xml:space="preserve">OCTOBER 2017 </w:t>
      </w:r>
      <w:r>
        <w:br/>
      </w:r>
      <w:r>
        <w:rPr>
          <w:rFonts w:ascii="Stag" w:hAnsi="Stag" w:eastAsia="Stag"/>
          <w:b w:val="0"/>
          <w:i w:val="0"/>
          <w:color w:val="000000"/>
          <w:sz w:val="20"/>
        </w:rPr>
        <w:t xml:space="preserve">Official Launch of the Centre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 xml:space="preserve">Public event to formally launch the Centre for Humanitarian Data within the Humanity </w:t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 xml:space="preserve">Hub in The Hague. </w:t>
      </w:r>
    </w:p>
    <w:p>
      <w:pPr>
        <w:autoSpaceDN w:val="0"/>
        <w:autoSpaceDE w:val="0"/>
        <w:widowControl/>
        <w:spacing w:line="278" w:lineRule="exact" w:before="680" w:after="0"/>
        <w:ind w:left="0" w:right="0" w:firstLine="0"/>
        <w:jc w:val="center"/>
      </w:pPr>
      <w:r>
        <w:rPr>
          <w:rFonts w:ascii="Stag" w:hAnsi="Stag" w:eastAsia="Stag"/>
          <w:b w:val="0"/>
          <w:i w:val="0"/>
          <w:color w:val="000000"/>
          <w:sz w:val="24"/>
        </w:rPr>
        <w:t>Contact</w:t>
      </w:r>
    </w:p>
    <w:p>
      <w:pPr>
        <w:autoSpaceDN w:val="0"/>
        <w:autoSpaceDE w:val="0"/>
        <w:widowControl/>
        <w:spacing w:line="278" w:lineRule="exact" w:before="202" w:after="0"/>
        <w:ind w:left="0" w:right="0" w:firstLine="0"/>
        <w:jc w:val="center"/>
      </w:pPr>
      <w:r>
        <w:rPr>
          <w:rFonts w:ascii="Stag" w:hAnsi="Stag" w:eastAsia="Stag"/>
          <w:b w:val="0"/>
          <w:i w:val="0"/>
          <w:color w:val="000000"/>
          <w:sz w:val="24"/>
        </w:rPr>
        <w:t>—</w:t>
      </w:r>
    </w:p>
    <w:p>
      <w:pPr>
        <w:autoSpaceDN w:val="0"/>
        <w:autoSpaceDE w:val="0"/>
        <w:widowControl/>
        <w:spacing w:line="245" w:lineRule="auto" w:before="232" w:after="1322"/>
        <w:ind w:left="1912" w:right="2448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0"/>
        </w:rPr>
        <w:t xml:space="preserve">Send feedback or questions to </w:t>
      </w:r>
      <w:r>
        <w:rPr>
          <w:rFonts w:ascii="SourceSansPro" w:hAnsi="SourceSansPro" w:eastAsia="SourceSansPro"/>
          <w:b/>
          <w:i w:val="0"/>
          <w:color w:val="1BB580"/>
          <w:sz w:val="20"/>
          <w:u w:val="single"/>
        </w:rPr>
        <w:hyperlink r:id="rId22" w:history="1">
          <w:r>
            <w:rPr>
              <w:rStyle w:val="Hyperlink"/>
            </w:rPr>
            <w:t>hdx@un.org</w:t>
          </w:r>
        </w:hyperlink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 xml:space="preserve"> or </w:t>
      </w:r>
      <w:r>
        <w:rPr>
          <w:rFonts w:ascii="SourceSansPro" w:hAnsi="SourceSansPro" w:eastAsia="SourceSansPro"/>
          <w:b/>
          <w:i w:val="0"/>
          <w:color w:val="1BB580"/>
          <w:sz w:val="20"/>
          <w:u w:val="single"/>
        </w:rPr>
        <w:hyperlink r:id="rId23" w:history="1">
          <w:r>
            <w:rPr>
              <w:rStyle w:val="Hyperlink"/>
            </w:rPr>
            <w:t>@humdata</w:t>
          </w:r>
        </w:hyperlink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 xml:space="preserve">. We look forward to </w:t>
      </w:r>
      <w:r>
        <w:rPr>
          <w:rFonts w:ascii="SourceSansPro" w:hAnsi="SourceSansPro" w:eastAsia="SourceSansPro"/>
          <w:b w:val="0"/>
          <w:i w:val="0"/>
          <w:color w:val="000000"/>
          <w:sz w:val="20"/>
        </w:rPr>
        <w:t>hearing from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26"/>
        <w:gridCol w:w="5526"/>
      </w:tblGrid>
      <w:tr>
        <w:trPr>
          <w:trHeight w:hRule="exact" w:val="602"/>
        </w:trPr>
        <w:tc>
          <w:tcPr>
            <w:tcW w:type="dxa" w:w="4692"/>
            <w:tcBorders>
              <w:top w:sz="7.935999870300293" w:val="single" w:color="#96959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10" w:right="0" w:firstLine="0"/>
              <w:jc w:val="left"/>
            </w:pPr>
            <w:r>
              <w:rPr>
                <w:rFonts w:ascii="OpenSans" w:hAnsi="OpenSans" w:eastAsia="OpenSans"/>
                <w:b/>
                <w:i w:val="0"/>
                <w:color w:val="4F535C"/>
                <w:sz w:val="16"/>
              </w:rPr>
              <w:t>6</w:t>
            </w:r>
          </w:p>
        </w:tc>
        <w:tc>
          <w:tcPr>
            <w:tcW w:type="dxa" w:w="6332"/>
            <w:tcBorders>
              <w:top w:sz="7.935999870300293" w:val="single" w:color="#96959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4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04900" cy="2667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38" w:firstLine="0"/>
        <w:jc w:val="right"/>
      </w:pPr>
      <w:r>
        <w:rPr>
          <w:w w:val="98.4615399287297"/>
          <w:rFonts w:ascii="SourceSansPro" w:hAnsi="SourceSansPro" w:eastAsia="SourceSansPro"/>
          <w:b w:val="0"/>
          <w:i w:val="0"/>
          <w:color w:val="4F535C"/>
          <w:sz w:val="13"/>
        </w:rPr>
        <w:t>December 2016</w:t>
      </w:r>
    </w:p>
    <w:sectPr w:rsidR="00FC693F" w:rsidRPr="0006063C" w:rsidSect="00034616">
      <w:pgSz w:w="12240" w:h="15840"/>
      <w:pgMar w:top="966" w:right="580" w:bottom="122" w:left="60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hyperlink" Target="http://reliefweb.int/report/world/humanitarian-data-centre-netherlands-will-increase-data-use-and-impact-humanitarian" TargetMode="External"/><Relationship Id="rId21" Type="http://schemas.openxmlformats.org/officeDocument/2006/relationships/hyperlink" Target="http://www.agendaforhumanity.org/" TargetMode="External"/><Relationship Id="rId22" Type="http://schemas.openxmlformats.org/officeDocument/2006/relationships/hyperlink" Target="mailto:hdx@un.org" TargetMode="External"/><Relationship Id="rId23" Type="http://schemas.openxmlformats.org/officeDocument/2006/relationships/hyperlink" Target="https://twitter.com/humdata" TargetMode="External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