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-13970</wp:posOffset>
            </wp:positionV>
            <wp:extent cx="4359909" cy="22276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909" cy="22276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40" w:after="0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7200" cy="25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6" w:after="0"/>
        <w:ind w:left="14" w:right="0" w:firstLine="0"/>
        <w:jc w:val="left"/>
      </w:pPr>
      <w:r>
        <w:rPr>
          <w:rFonts w:ascii="BrandonGrotesque" w:hAnsi="BrandonGrotesque" w:eastAsia="BrandonGrotesque"/>
          <w:b/>
          <w:i w:val="0"/>
          <w:color w:val="4EB085"/>
          <w:sz w:val="28"/>
        </w:rPr>
        <w:t>CENTRO PARA LOS DATOS HUMANITARIOS</w:t>
      </w:r>
    </w:p>
    <w:p>
      <w:pPr>
        <w:autoSpaceDN w:val="0"/>
        <w:autoSpaceDE w:val="0"/>
        <w:widowControl/>
        <w:spacing w:line="240" w:lineRule="auto" w:before="338" w:after="0"/>
        <w:ind w:left="0" w:right="0" w:firstLine="0"/>
        <w:jc w:val="left"/>
      </w:pPr>
      <w:r>
        <w:rPr>
          <w:rFonts w:ascii="OpenSans" w:hAnsi="OpenSans" w:eastAsia="OpenSans"/>
          <w:b/>
          <w:i w:val="0"/>
          <w:color w:val="4EB085"/>
          <w:sz w:val="24"/>
        </w:rPr>
        <w:t xml:space="preserve">SERIE DE NOTAS DE ORIENTACIÓN </w:t>
      </w:r>
    </w:p>
    <w:p>
      <w:pPr>
        <w:autoSpaceDN w:val="0"/>
        <w:autoSpaceDE w:val="0"/>
        <w:widowControl/>
        <w:spacing w:line="240" w:lineRule="auto" w:before="34" w:after="0"/>
        <w:ind w:left="0" w:right="0" w:firstLine="0"/>
        <w:jc w:val="left"/>
      </w:pPr>
      <w:r>
        <w:rPr>
          <w:rFonts w:ascii="OpenSans" w:hAnsi="OpenSans" w:eastAsia="OpenSans"/>
          <w:b/>
          <w:i w:val="0"/>
          <w:color w:val="4EB085"/>
          <w:sz w:val="24"/>
        </w:rPr>
        <w:t>RESPONSABILIDAD DE LOS DATOS EN LA RESPUESTA HUMANITARIA</w:t>
      </w:r>
    </w:p>
    <w:p>
      <w:pPr>
        <w:autoSpaceDN w:val="0"/>
        <w:autoSpaceDE w:val="0"/>
        <w:widowControl/>
        <w:spacing w:line="245" w:lineRule="auto" w:before="124" w:after="0"/>
        <w:ind w:left="0" w:right="288" w:firstLine="0"/>
        <w:jc w:val="left"/>
      </w:pPr>
      <w:r>
        <w:rPr>
          <w:rFonts w:ascii="OpenSans" w:hAnsi="OpenSans" w:eastAsia="OpenSans"/>
          <w:b/>
          <w:i w:val="0"/>
          <w:color w:val="4EB085"/>
          <w:sz w:val="38"/>
        </w:rPr>
        <w:t xml:space="preserve">RESPONSABILIDAD DE DATOS EN LA </w:t>
      </w:r>
      <w:r>
        <w:br/>
      </w:r>
      <w:r>
        <w:rPr>
          <w:rFonts w:ascii="OpenSans" w:hAnsi="OpenSans" w:eastAsia="OpenSans"/>
          <w:b/>
          <w:i w:val="0"/>
          <w:color w:val="4EB085"/>
          <w:sz w:val="38"/>
        </w:rPr>
        <w:t xml:space="preserve">ASISTENCIA EN EFECTIVO Y MEDIANTE VALES </w:t>
      </w:r>
      <w:r>
        <w:rPr>
          <w:rFonts w:ascii="OpenSans" w:hAnsi="OpenSans" w:eastAsia="OpenSans"/>
          <w:b/>
          <w:i w:val="0"/>
          <w:color w:val="4EB085"/>
          <w:sz w:val="38"/>
        </w:rPr>
        <w:t>(CVA)</w:t>
      </w:r>
    </w:p>
    <w:p>
      <w:pPr>
        <w:autoSpaceDN w:val="0"/>
        <w:autoSpaceDE w:val="0"/>
        <w:widowControl/>
        <w:spacing w:line="240" w:lineRule="auto" w:before="428" w:after="74"/>
        <w:ind w:left="208" w:right="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>CONCLUSIONES FUNDAMENTALES: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38"/>
      </w:tblGrid>
      <w:tr>
        <w:trPr>
          <w:trHeight w:hRule="exact" w:val="1190"/>
        </w:trPr>
        <w:tc>
          <w:tcPr>
            <w:tcW w:type="dxa" w:w="9746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640" w:right="288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En los últimos años los agentes humanitarios han hecho un progreso considerable al promover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 responsabilidad de datos en asistencia en efectivo y mediante vales (CVA). Sin embargo,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existen brechas entre los marcos de responsabilidad de datos y su aplicación práctica en la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ejecución de la CVA.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38"/>
      </w:tblGrid>
      <w:tr>
        <w:trPr>
          <w:trHeight w:hRule="exact" w:val="926"/>
        </w:trPr>
        <w:tc>
          <w:tcPr>
            <w:tcW w:type="dxa" w:w="932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446" w:right="144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Hay muchos recursos disponibles en la protección de datos en los programas de CVA, pero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existe una falta de orientación y herramientas prácticas en el manejo responsable de datos no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personales que son confidenciales.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38"/>
      </w:tblGrid>
      <w:tr>
        <w:trPr>
          <w:trHeight w:hRule="exact" w:val="1190"/>
        </w:trPr>
        <w:tc>
          <w:tcPr>
            <w:tcW w:type="dxa" w:w="948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446" w:right="0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Los beneficios más comunes relacionados con los datos en CVA incluyen: (i) mayor comprensión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 prioridades, necesidades y preferencia; (ii) mejora de asistencia, incluyendo la deduplicación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 listas de beneficiarios; (iii) incremento de eficiencia y efectividad de diferentes mecanismos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distribución; y (iv) fomentar la transparencia y responsabilidad.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38"/>
      </w:tblGrid>
      <w:tr>
        <w:trPr>
          <w:trHeight w:hRule="exact" w:val="1454"/>
        </w:trPr>
        <w:tc>
          <w:tcPr>
            <w:tcW w:type="dxa" w:w="924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446" w:right="288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Los riesgos más comunes relacionados con los datos: (i) la exposición de datos sensibles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que  pueden llegar a dañar a personas afectadas y/o al personal humanitario; (ii) brechas en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 protección de datos, privacidad de datos y seguridad de datos con fines humanitarios por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terceras partes; y (iv) pérdida de confianza entre las personas afectadas y las organizaciones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humanitarias. 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9838"/>
      </w:tblGrid>
      <w:tr>
        <w:trPr>
          <w:trHeight w:hRule="exact" w:val="1982"/>
        </w:trPr>
        <w:tc>
          <w:tcPr>
            <w:tcW w:type="dxa" w:w="9480"/>
            <w:tcBorders/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446" w:right="0" w:hanging="22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Las organizaciones humanitarias pueden mejorar la responsabilidad de datos en la CVA al llevar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los siguientes pasos: (i) esquematizar ecosistemas de datos de la CVA (ii) el establecimiento de un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protocolo de intercambio de información específico para los programas de CVA; (iii) el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establecimiento de acuerdos de intercambio de datos personales; (iv) la realización de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evaluaciones del impacto de los datos en todas las intervenciones de CVA; (v) la introducción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procedimientos de gestión de incidentes de datos; y (vi) el seguimiento de las cuestiones y 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progresos en la responsabilidad de datos a través de las estructuras de coordinación.</w:t>
            </w:r>
          </w:p>
        </w:tc>
      </w:tr>
    </w:tbl>
    <w:p>
      <w:pPr>
        <w:autoSpaceDN w:val="0"/>
        <w:autoSpaceDE w:val="0"/>
        <w:widowControl/>
        <w:spacing w:line="240" w:lineRule="auto" w:before="566" w:after="0"/>
        <w:ind w:left="4" w:right="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>INTRODUCCIÓN</w:t>
      </w:r>
    </w:p>
    <w:p>
      <w:pPr>
        <w:autoSpaceDN w:val="0"/>
        <w:autoSpaceDE w:val="0"/>
        <w:widowControl/>
        <w:spacing w:line="264" w:lineRule="exact" w:before="188" w:after="0"/>
        <w:ind w:left="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 medida que las herramientas digitales se convierten cada vez más importantes en la prestación de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asistencia en efectivo y mediante vales (CVA), las organizaciones humanitarias, proveedores de servicios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financieros, y otras partes interesadas se reúnen, almacenan, usan y comparten volúmenes de datos cada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vez más grandes. Estas tendencias se han acelerado en respuesta al COVID-19, para que los agentes del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efectivo han ampliado y adaptado sus programas de CVA en función de los retos particulares que plantea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la pandemia, con una preferencia hacia pagos electrónicos o pagos hechos mediante el celular para reducir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el riesgo de contagio.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1</w:t>
      </w:r>
    </w:p>
    <w:p>
      <w:pPr>
        <w:autoSpaceDN w:val="0"/>
        <w:autoSpaceDE w:val="0"/>
        <w:widowControl/>
        <w:spacing w:line="154" w:lineRule="exact" w:before="214" w:after="0"/>
        <w:ind w:left="12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 xml:space="preserve">1    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0" w:history="1">
          <w:r>
            <w:rPr>
              <w:rStyle w:val="Hyperlink"/>
            </w:rPr>
            <w:t xml:space="preserve">Nota orientativa sobre el papel que juega la asistencia en efectivo y mediante vales para reducir las barreras financieras en respuesta a la </w:t>
          </w:r>
        </w:hyperlink>
      </w:r>
    </w:p>
    <w:p>
      <w:pPr>
        <w:autoSpaceDN w:val="0"/>
        <w:autoSpaceDE w:val="0"/>
        <w:widowControl/>
        <w:spacing w:line="150" w:lineRule="exact" w:before="30" w:after="214"/>
        <w:ind w:left="88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15"/>
        </w:rPr>
        <w:hyperlink r:id="rId10" w:history="1">
          <w:r>
            <w:rPr>
              <w:rStyle w:val="Hyperlink"/>
            </w:rPr>
            <w:t xml:space="preserve"> pandemia COVID-19 en los países a los que se dirige el Plan Global Humanitario en Respuesta al COVID-19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9"/>
        <w:gridCol w:w="3279"/>
        <w:gridCol w:w="3279"/>
      </w:tblGrid>
      <w:tr>
        <w:trPr>
          <w:trHeight w:hRule="exact" w:val="288"/>
        </w:trPr>
        <w:tc>
          <w:tcPr>
            <w:tcW w:type="dxa" w:w="3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4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878787"/>
                <w:sz w:val="16"/>
              </w:rPr>
              <w:t xml:space="preserve">CENTRO PARA LOS DATOS HUMANITARIOS 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6" w:after="0"/>
              <w:ind w:left="75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878787"/>
                <w:sz w:val="16"/>
              </w:rPr>
              <w:t>DICIEMBRE 2020</w:t>
            </w:r>
          </w:p>
        </w:tc>
        <w:tc>
          <w:tcPr>
            <w:tcW w:type="dxa" w:w="2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rPr>
                <w:rFonts w:ascii="OpenSans" w:hAnsi="OpenSans" w:eastAsia="OpenSans"/>
                <w:b w:val="0"/>
                <w:i w:val="0"/>
                <w:color w:val="878787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00" w:right="1002" w:bottom="396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2"/>
        <w:ind w:left="0" w:right="0"/>
      </w:pPr>
    </w:p>
    <w:p>
      <w:pPr>
        <w:autoSpaceDN w:val="0"/>
        <w:autoSpaceDE w:val="0"/>
        <w:widowControl/>
        <w:spacing w:line="264" w:lineRule="exact" w:before="14" w:after="0"/>
        <w:ind w:left="14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De acuerdo con el reporte del 2020 State of the World’s Cash (Estado del Efectivo Mundial 2020), la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percepción de los riesgos digitales y de gestión de datos ha aumentado también su importancia en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los últimos años.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2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En varios foros de CVA se han reconocido las siguientes preocupaciones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3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: (i) existe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una importante carencia de recursos prácticos para ayudar a los profesionales a conciliar las normas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éticas contenidas en las políticas de responsabilidad de los datos con la presión diaria para ejecutar los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programas; (ii) no existen mecanismos que permitan compartir colectivamente y aprender de los casos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de gestión de incidentes de datos críticos; y (iii) la disminución de tolerancia al riesgo en el CVA, en parte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debido a las medidas contra el lavado de dinero, el terrorismo y a la economía política del efectivo, que se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extiende al espacio de la gestión de datos.</w:t>
      </w:r>
    </w:p>
    <w:p>
      <w:pPr>
        <w:autoSpaceDN w:val="0"/>
        <w:autoSpaceDE w:val="0"/>
        <w:widowControl/>
        <w:spacing w:line="264" w:lineRule="exact" w:before="264" w:after="0"/>
        <w:ind w:left="1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Los agentes humanitarios han hecho un progreso considerable en promover la responsabilidad de datos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en el CVA. Con ayuda de una serie de iniciativas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4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que tienen como objetivo garantizar la protección de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los beneficiarios que brindan ayuda y también apoyar formas de trabajo más eficientes, colaborativas 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basadas en datos. Los acuerdos bilaterales y multilaterales entre las organizaciones humanitarias, incluidos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los acuerdos globales de intercambio de datos y las estrategias de ejecución de programas conjuntos,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complementando estos esfuerzos colectivos. </w:t>
      </w:r>
    </w:p>
    <w:p>
      <w:pPr>
        <w:autoSpaceDN w:val="0"/>
        <w:autoSpaceDE w:val="0"/>
        <w:widowControl/>
        <w:spacing w:line="264" w:lineRule="exact" w:before="264" w:after="0"/>
        <w:ind w:left="14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Sin embargo, siguen existiendo brechas entre los marcos globales de responsabilidad de los datos y su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aplicación práctica en la prestación de CVA. El propósito de esta nota orientativa es ayudar al ofrecer una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visión general de los beneficios y riesgos comunes relacionados con los datos que encuentran los agentes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del efectivo. También ofrece un conjunto de acciones que las organizaciones pueden llevar a cabo para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mejorar la responsabilidad de los datos en la prestación de asistencia en efectivo y mediante vales.</w:t>
      </w:r>
    </w:p>
    <w:p>
      <w:pPr>
        <w:autoSpaceDN w:val="0"/>
        <w:autoSpaceDE w:val="0"/>
        <w:widowControl/>
        <w:spacing w:line="240" w:lineRule="auto" w:before="464" w:after="0"/>
        <w:ind w:left="2" w:right="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>GESTIÓN DE DATOS PARA LA AYUDA EN EFECTIVO Y MEDIANTE VALES</w:t>
      </w:r>
    </w:p>
    <w:p>
      <w:pPr>
        <w:autoSpaceDN w:val="0"/>
        <w:autoSpaceDE w:val="0"/>
        <w:widowControl/>
        <w:spacing w:line="264" w:lineRule="exact" w:before="168" w:after="0"/>
        <w:ind w:left="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La CVA necesita una recolección de datos personal y no personal que podrían considerarse datos sensibles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en la mayoría de los contextos humanitarios. Los datos personales que normalmente se recolectan en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los programas de CVA incluyen números de identificación nacional, números telefónicos, direcciones,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nombres de familiares, detalles personales del banco, datos biométricos, entre otros. Los datos no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personales más comunes en los programas de CVA incluyen micro datos de encuestas, evaluaciones de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necesidades, información demográfica identificable sobre los diferentes grupos que reciben asistencia,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datos de localización de los puntos de distribución de CVA y datos anónimos y/o agregados de las opiniones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de la comunidad, entre otros. El suministro de CVA también genera nuevas formas de metadatos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5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que las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organizaciones humanitarias que anteriormente no han gestionado, como los datos sobre las transacciones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con diferentes proveedores de servicios financieros y los patrones de gasto o consumo de las poblaciones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afectadas. 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 diferencia de otros ámbitos de la asistencia humanitaria, el CVA involucra a una gama especialmente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amplia y diversa de agentes. La complejidad del flujo de datos entre las organizaciones humanitarias y los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diferentes socios que participan en la prestación del CVA da lugar a problemas de protección de datos y 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otras preocupaciones, que se exponen con más detalle a continuación. </w:t>
      </w:r>
    </w:p>
    <w:p>
      <w:pPr>
        <w:autoSpaceDN w:val="0"/>
        <w:autoSpaceDE w:val="0"/>
        <w:widowControl/>
        <w:spacing w:line="264" w:lineRule="exact" w:before="264" w:after="0"/>
        <w:ind w:left="0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En los programas de CVA se aplican diferentes criterios sobre la responsabilidad de los datos según las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organizaciones y los contextos. Esto se debe a (i) la variación de los distintos niveles de familiaridad con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las orientaciones existentes sobre la responsabilidad de los datos y las correspondientes deficiencias de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capacidad entre el personal de los programas y (ii) la evolución de los riesgos de datos relacionados 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nuevas formas de distribución de mecanismos y modelos de colaboración en la CVA. Principalmente las</w:t>
      </w:r>
    </w:p>
    <w:p>
      <w:pPr>
        <w:autoSpaceDN w:val="0"/>
        <w:autoSpaceDE w:val="0"/>
        <w:widowControl/>
        <w:spacing w:line="154" w:lineRule="exact" w:before="832" w:after="0"/>
        <w:ind w:left="14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 xml:space="preserve">2   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CaLP, 2020.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2" w:history="1">
          <w:r>
            <w:rPr>
              <w:rStyle w:val="Hyperlink"/>
            </w:rPr>
            <w:t>Estado del Efectivo Mundial 2020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>.</w:t>
      </w:r>
    </w:p>
    <w:p>
      <w:pPr>
        <w:autoSpaceDN w:val="0"/>
        <w:autoSpaceDE w:val="0"/>
        <w:widowControl/>
        <w:spacing w:line="170" w:lineRule="exact" w:before="70" w:after="0"/>
        <w:ind w:left="14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>3</w:t>
      </w:r>
      <w:r>
        <w:rPr>
          <w:rFonts w:ascii="Stag" w:hAnsi="Stag" w:eastAsia="Stag"/>
          <w:b w:val="0"/>
          <w:i/>
          <w:color w:val="1BB580"/>
          <w:sz w:val="15"/>
        </w:rPr>
        <w:t>Ibid</w:t>
      </w:r>
      <w:r>
        <w:rPr>
          <w:rFonts w:ascii="Stag" w:hAnsi="Stag" w:eastAsia="Stag"/>
          <w:b w:val="0"/>
          <w:i w:val="0"/>
          <w:color w:val="1BB580"/>
          <w:sz w:val="15"/>
        </w:rPr>
        <w:t>.</w:t>
      </w:r>
    </w:p>
    <w:p>
      <w:pPr>
        <w:autoSpaceDN w:val="0"/>
        <w:autoSpaceDE w:val="0"/>
        <w:widowControl/>
        <w:spacing w:line="154" w:lineRule="exact" w:before="86" w:after="0"/>
        <w:ind w:left="14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>4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  Entre ellos se encuentran los esfuerzos realizados por el grupo de trabajo sobre efectivo y riesgo del Grand Bargain Cash, la Cash Learning </w:t>
      </w:r>
    </w:p>
    <w:p>
      <w:pPr>
        <w:autoSpaceDN w:val="0"/>
        <w:autoSpaceDE w:val="0"/>
        <w:widowControl/>
        <w:spacing w:line="150" w:lineRule="exact" w:before="30" w:after="0"/>
        <w:ind w:left="92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15"/>
        </w:rPr>
        <w:t xml:space="preserve"> Partnership (CaLP), la Common Cash Delivery Network y la Common Cash Statement de la ONU, entre otros.</w:t>
      </w:r>
    </w:p>
    <w:p>
      <w:pPr>
        <w:autoSpaceDN w:val="0"/>
        <w:autoSpaceDE w:val="0"/>
        <w:widowControl/>
        <w:spacing w:line="154" w:lineRule="exact" w:before="86" w:after="0"/>
        <w:ind w:left="14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>5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  International Committee of the Red Cross (ICRC) y Privacy International, 2018.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3" w:history="1">
          <w:r>
            <w:rPr>
              <w:rStyle w:val="Hyperlink"/>
            </w:rPr>
            <w:t xml:space="preserve">El problema de los metadatos humanitarios: "No hacer daño" en la </w:t>
          </w:r>
        </w:hyperlink>
      </w:r>
    </w:p>
    <w:p>
      <w:pPr>
        <w:autoSpaceDN w:val="0"/>
        <w:autoSpaceDE w:val="0"/>
        <w:widowControl/>
        <w:spacing w:line="150" w:lineRule="exact" w:before="30" w:after="0"/>
        <w:ind w:left="90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15"/>
        </w:rPr>
        <w:hyperlink r:id="rId13" w:history="1">
          <w:r>
            <w:rPr>
              <w:rStyle w:val="Hyperlink"/>
            </w:rPr>
            <w:t xml:space="preserve"> era digital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>.</w:t>
      </w:r>
    </w:p>
    <w:p>
      <w:pPr>
        <w:sectPr>
          <w:pgSz w:w="11906" w:h="16838"/>
          <w:pgMar w:top="452" w:right="946" w:bottom="552" w:left="10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2"/>
        <w:ind w:left="0" w:right="0"/>
      </w:pPr>
    </w:p>
    <w:p>
      <w:pPr>
        <w:autoSpaceDN w:val="0"/>
        <w:autoSpaceDE w:val="0"/>
        <w:widowControl/>
        <w:spacing w:line="264" w:lineRule="exact" w:before="14" w:after="342"/>
        <w:ind w:left="0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orientativas existentes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6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se centran en la gestión segura y la protección de los datos personales, y no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abordan plenamente las preocupaciones relacionadas con los datos no personales, que son sensibles en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muchos contextos y requieren una sólida protección.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82"/>
      </w:tblGrid>
      <w:tr>
        <w:trPr>
          <w:trHeight w:hRule="exact" w:val="3220"/>
        </w:trPr>
        <w:tc>
          <w:tcPr>
            <w:tcW w:type="dxa" w:w="9734"/>
            <w:tcBorders>
              <w:start w:sz="6.800000190734863" w:val="single" w:color="#4BAE85"/>
              <w:top w:sz="6.800000190734863" w:val="single" w:color="#4BAE85"/>
              <w:end w:sz="6.800000190734863" w:val="single" w:color="#4BAE85"/>
              <w:bottom w:sz="6.800000190734863" w:val="single" w:color="#4BAE85"/>
            </w:tcBorders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0" w:after="0"/>
              <w:ind w:left="212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Reglamento sobre "Conocimiento del cliente" (KYC)</w:t>
            </w:r>
          </w:p>
          <w:p>
            <w:pPr>
              <w:autoSpaceDN w:val="0"/>
              <w:autoSpaceDE w:val="0"/>
              <w:widowControl/>
              <w:spacing w:line="228" w:lineRule="exact" w:before="148" w:after="0"/>
              <w:ind w:left="212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Reglamento de "Conocimiento del cliente", conocido también como diligencia debida con respecto al cliente, él cual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esta diseñado para combatir el lavado de dinero, financiación terrorista y otras amenazas relacionadas con el sistema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financiero. Hacen referencia a los controles de identificación que las instituciones financieras realizan para cumplir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con la normativa financiera nacional. Mientras que algunas agencias humanitarias no se ven sujetadas al reglamento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KYC, los proveedores de servicios financieros con los que se asocian lo están. Como, esta normativa tiene un impacto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directo en la gestión responsable de los datos generados y compartidos para la asistencia en efectivo y mediante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vales. Los requisitos de KYC se establecen a nivel nacional y pueden variar en función a criterios en específicos. </w:t>
            </w:r>
          </w:p>
          <w:p>
            <w:pPr>
              <w:autoSpaceDN w:val="0"/>
              <w:autoSpaceDE w:val="0"/>
              <w:widowControl/>
              <w:spacing w:line="228" w:lineRule="exact" w:before="132" w:after="0"/>
              <w:ind w:left="212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hyperlink r:id="rId14" w:history="1">
                <w:r>
                  <w:rPr>
                    <w:rStyle w:val="Hyperlink"/>
                  </w:rPr>
                  <w:t>Para más información sobre KYC en la asistenci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 xml:space="preserve">humanitaria en efectivo y mediante vales, vea, 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4" w:history="1">
                <w:r>
                  <w:rPr>
                    <w:rStyle w:val="Hyperlink"/>
                  </w:rPr>
                  <w:t xml:space="preserve">"La hoja de 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4" w:history="1">
                <w:r>
                  <w:rPr>
                    <w:rStyle w:val="Hyperlink"/>
                  </w:rPr>
                  <w:t>consejos de Elan sobre el Reglamento de KYC”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 xml:space="preserve"> y 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>Normas de ACNUR y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 xml:space="preserve"> World Vision sobre conoc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4" w:history="1">
                <w:r>
                  <w:rPr>
                    <w:rStyle w:val="Hyperlink"/>
                  </w:rPr>
                  <w:t xml:space="preserve">imiento del 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 xml:space="preserve">cliente y 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4" w:history="1">
                <w:r>
                  <w:rPr>
                    <w:rStyle w:val="Hyperlink"/>
                  </w:rPr>
                  <w:t>recomendaciones de privacidad para las trans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>fe</w:t>
                </w:r>
              </w:hyperlink>
            </w:r>
            <w:r>
              <w:rPr>
                <w:rFonts w:ascii="SourceSansPro" w:hAnsi="SourceSansPro" w:eastAsia="SourceSansPro"/>
                <w:b/>
                <w:i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>rencias de efectivo”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hyperlink r:id="rId15" w:history="1">
                <w:r>
                  <w:rPr>
                    <w:rStyle w:val="Hyperlink"/>
                  </w:rPr>
                  <w:t>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546" w:after="0"/>
        <w:ind w:left="12" w:right="720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 xml:space="preserve">DATOS RELACIONADOS CON BENEFICIOS Y RIEGOS EN LA ASISTENCIA EN </w:t>
      </w:r>
      <w:r>
        <w:rPr>
          <w:rFonts w:ascii="OpenSans" w:hAnsi="OpenSans" w:eastAsia="OpenSans"/>
          <w:b/>
          <w:i w:val="0"/>
          <w:color w:val="4DB184"/>
          <w:sz w:val="22"/>
        </w:rPr>
        <w:t>EFECTIVO Y MEDIANTE VALES</w:t>
      </w:r>
    </w:p>
    <w:p>
      <w:pPr>
        <w:autoSpaceDN w:val="0"/>
        <w:autoSpaceDE w:val="0"/>
        <w:widowControl/>
        <w:spacing w:line="264" w:lineRule="exact" w:before="164" w:after="0"/>
        <w:ind w:left="10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La responsabilidad de datos requiere un claro entendimiento de ambos, los beneficios y los riegos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asociados con la gestión de datos. Aunque pueden variar de un entorno a otro, hay beneficios y riesgos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relacionados con los datos que se reconocen comúnmente en la comunidad de CVA.</w:t>
      </w:r>
    </w:p>
    <w:p>
      <w:pPr>
        <w:autoSpaceDN w:val="0"/>
        <w:tabs>
          <w:tab w:pos="236" w:val="left"/>
        </w:tabs>
        <w:autoSpaceDE w:val="0"/>
        <w:widowControl/>
        <w:spacing w:line="360" w:lineRule="exact" w:before="64" w:after="0"/>
        <w:ind w:left="10" w:right="345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Los beneficios que incluye el CVA:</w:t>
      </w:r>
      <w:r>
        <w:br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Mayor comprensión de prioridades, necesidades y preferencias.</w:t>
      </w:r>
    </w:p>
    <w:p>
      <w:pPr>
        <w:autoSpaceDN w:val="0"/>
        <w:autoSpaceDE w:val="0"/>
        <w:widowControl/>
        <w:spacing w:line="360" w:lineRule="exact" w:before="0" w:after="0"/>
        <w:ind w:left="236" w:right="201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Mejora de asistencia, incluyendo la deduplicación de listas de beneficiarios.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Incremento de eficacia y efectividad de diferentes mecanismos de distribución.</w:t>
      </w:r>
    </w:p>
    <w:p>
      <w:pPr>
        <w:autoSpaceDN w:val="0"/>
        <w:autoSpaceDE w:val="0"/>
        <w:widowControl/>
        <w:spacing w:line="278" w:lineRule="exact" w:before="122" w:after="0"/>
        <w:ind w:left="23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Fomentar la transparencia y responsabilidad. </w:t>
      </w:r>
    </w:p>
    <w:p>
      <w:pPr>
        <w:autoSpaceDN w:val="0"/>
        <w:tabs>
          <w:tab w:pos="236" w:val="left"/>
          <w:tab w:pos="462" w:val="left"/>
        </w:tabs>
        <w:autoSpaceDE w:val="0"/>
        <w:widowControl/>
        <w:spacing w:line="312" w:lineRule="exact" w:before="112" w:after="0"/>
        <w:ind w:left="10" w:right="43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Los riesgos que incluye el CVA:</w:t>
      </w:r>
      <w:r>
        <w:br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La exposición de datos sensibles que pueden llegar a dañar a personas afectadas y/o al personal </w:t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humanitario.</w:t>
      </w:r>
    </w:p>
    <w:p>
      <w:pPr>
        <w:autoSpaceDN w:val="0"/>
        <w:autoSpaceDE w:val="0"/>
        <w:widowControl/>
        <w:spacing w:line="278" w:lineRule="exact" w:before="82" w:after="0"/>
        <w:ind w:left="23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Brechas en la protección de datos, privacidad de datos y seguridad de estos.</w:t>
      </w:r>
    </w:p>
    <w:p>
      <w:pPr>
        <w:autoSpaceDN w:val="0"/>
        <w:autoSpaceDE w:val="0"/>
        <w:widowControl/>
        <w:spacing w:line="278" w:lineRule="exact" w:before="82" w:after="0"/>
        <w:ind w:left="23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Uso indebido por terceras partes de los datos con fines humanitarios.</w:t>
      </w:r>
    </w:p>
    <w:p>
      <w:pPr>
        <w:autoSpaceDN w:val="0"/>
        <w:autoSpaceDE w:val="0"/>
        <w:widowControl/>
        <w:spacing w:line="278" w:lineRule="exact" w:before="82" w:after="0"/>
        <w:ind w:left="23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• Pérdida de confianza entre las personas afectadas.</w:t>
      </w:r>
    </w:p>
    <w:p>
      <w:pPr>
        <w:autoSpaceDN w:val="0"/>
        <w:autoSpaceDE w:val="0"/>
        <w:widowControl/>
        <w:spacing w:line="180" w:lineRule="exact" w:before="3602" w:after="0"/>
        <w:ind w:left="82" w:right="154" w:hanging="76"/>
        <w:jc w:val="both"/>
      </w:pPr>
      <w:r>
        <w:rPr>
          <w:rFonts w:ascii="Stag" w:hAnsi="Stag" w:eastAsia="Stag"/>
          <w:b w:val="0"/>
          <w:i w:val="0"/>
          <w:color w:val="1BB580"/>
          <w:sz w:val="9"/>
        </w:rPr>
        <w:t>6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 Para más información sobre la protección de datos en la asistencia con dinero en efectivo y mediante vales. Veáse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6" w:history="1">
          <w:r>
            <w:rPr>
              <w:rStyle w:val="Hyperlink"/>
            </w:rPr>
            <w:t xml:space="preserve">Protecting Beneficiary de 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6" w:history="1">
          <w:r>
            <w:rPr>
              <w:rStyle w:val="Hyperlink"/>
            </w:rPr>
            <w:t xml:space="preserve"> CaLP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, Protecting personal data anad privacy in field de la Common Cash Delivery (CDD):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7" w:history="1">
          <w:r>
            <w:rPr>
              <w:rStyle w:val="Hyperlink"/>
            </w:rPr>
            <w:t xml:space="preserve">Una guía para intercmbio de datos entre organizaciones 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7" w:history="1">
          <w:r>
            <w:rPr>
              <w:rStyle w:val="Hyperlink"/>
            </w:rPr>
            <w:t xml:space="preserve"> humanitarias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, y el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18" w:history="1">
          <w:r>
            <w:rPr>
              <w:rStyle w:val="Hyperlink"/>
            </w:rPr>
            <w:t>Manual del CICR sobre la protección de datos en la acción humanitaria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. </w:t>
      </w:r>
    </w:p>
    <w:p>
      <w:pPr>
        <w:sectPr>
          <w:pgSz w:w="11906" w:h="16838"/>
          <w:pgMar w:top="450" w:right="1056" w:bottom="552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854"/>
      </w:tblGrid>
      <w:tr>
        <w:trPr>
          <w:trHeight w:hRule="exact" w:val="772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226" w:right="1296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2"/>
              </w:rPr>
              <w:t xml:space="preserve">Orientación práctica para la Comunidad de Efectivo: Conjunto de herramientas de </w:t>
            </w:r>
            <w:r>
              <w:rPr>
                <w:rFonts w:ascii="Stag" w:hAnsi="Stag" w:eastAsia="Stag"/>
                <w:b w:val="0"/>
                <w:i w:val="0"/>
                <w:color w:val="000000"/>
                <w:sz w:val="22"/>
              </w:rPr>
              <w:t>responsabilidad de datos del CaLP</w:t>
            </w:r>
          </w:p>
        </w:tc>
      </w:tr>
      <w:tr>
        <w:trPr>
          <w:trHeight w:hRule="exact" w:val="6274"/>
        </w:trPr>
        <w:tc>
          <w:tcPr>
            <w:tcW w:type="dxa" w:w="9746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0" w:after="0"/>
              <w:ind w:left="226" w:right="288" w:firstLine="0"/>
              <w:jc w:val="left"/>
            </w:pPr>
            <w:r>
              <w:rPr>
                <w:rFonts w:ascii="SourceSansPro" w:hAnsi="SourceSansPro" w:eastAsia="SourceSansPro"/>
                <w:b/>
                <w:i/>
                <w:color w:val="1BB580"/>
                <w:sz w:val="22"/>
              </w:rPr>
              <w:hyperlink r:id="rId19" w:history="1">
                <w:r>
                  <w:rPr>
                    <w:rStyle w:val="Hyperlink"/>
                  </w:rPr>
                  <w:t>Conjunto de herramientas de responsabilidad de datos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del CaLp ofrece una guía detallada sobre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9" w:history="1">
                <w:r>
                  <w:rPr>
                    <w:rStyle w:val="Hyperlink"/>
                  </w:rPr>
                  <w:t xml:space="preserve">responsabilidad de los datos en la asistencia con dinero 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en efectivo y mediante vales. El conjunto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herramientas pretende reflejar mejor la complejidad de las relaciones con los socios, los modelos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 prestación de servicios operativos y los flujos de datos asociados. También pretende abordar 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elementos de la recolección de datos a distancia que surgieron a principios del año 2020 en vista del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COVID-19.</w:t>
            </w:r>
          </w:p>
          <w:p>
            <w:pPr>
              <w:autoSpaceDN w:val="0"/>
              <w:autoSpaceDE w:val="0"/>
              <w:widowControl/>
              <w:spacing w:line="264" w:lineRule="exact" w:before="220" w:after="0"/>
              <w:ind w:left="22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El conjunto de herramientas destaca la necesidad de un enfoque ecosistémico y de un análisis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poder entre quienes recolectan, utilizan y comparten los datos de los beneficiarios del CVA. También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señala la necesidad de contextualización, creatividad, capacidad y colaboración entre los agentes del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CVA y entre los equipos organizativos para garantizar una mejor protección de los datos. </w:t>
            </w:r>
          </w:p>
          <w:p>
            <w:pPr>
              <w:autoSpaceDN w:val="0"/>
              <w:autoSpaceDE w:val="0"/>
              <w:widowControl/>
              <w:spacing w:line="264" w:lineRule="exact" w:before="220" w:after="0"/>
              <w:ind w:left="22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El conjunto de herramientas incluye una profunda consideración de algunas de las dificultades entre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los diferentes agentes con respecto a los datos, así como orientación sobre el intercambio de datos,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las relaciones entre los controladores y los procesadores de datos,  las evaluaciones de impacto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sobre la privacidad, las bases legales para la recolección de datos (incluyendo el consentimiento y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los intereses legítimos), la preparación para posibles incidentes críticos de datos o violaciones, y la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comunicación con las poblaciones afectadas sobre la recolección y el procesamiento de datos.</w:t>
            </w:r>
          </w:p>
          <w:p>
            <w:pPr>
              <w:autoSpaceDN w:val="0"/>
              <w:autoSpaceDE w:val="0"/>
              <w:widowControl/>
              <w:spacing w:line="264" w:lineRule="exact" w:before="220" w:after="0"/>
              <w:ind w:left="226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Está estructurado en torno a las diferentes etapas de un ciclo de vida de los datos típico de 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programas de CVA y abarca tanto los datos personales como los no personales, al tiempo que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incorpora los nuevos requisitos legales derivados del Reglamento General de Protección de Datos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la Unión Europea.</w:t>
            </w:r>
          </w:p>
        </w:tc>
      </w:tr>
    </w:tbl>
    <w:p>
      <w:pPr>
        <w:autoSpaceDN w:val="0"/>
        <w:autoSpaceDE w:val="0"/>
        <w:widowControl/>
        <w:spacing w:line="245" w:lineRule="auto" w:before="550" w:after="0"/>
        <w:ind w:left="16" w:right="432" w:firstLine="0"/>
        <w:jc w:val="left"/>
      </w:pPr>
      <w:r>
        <w:rPr>
          <w:rFonts w:ascii="OpenSans" w:hAnsi="OpenSans" w:eastAsia="OpenSans"/>
          <w:b/>
          <w:i w:val="0"/>
          <w:color w:val="4DB184"/>
          <w:sz w:val="22"/>
        </w:rPr>
        <w:t xml:space="preserve">RECOMENDACIONES PARA MEJORAR LA RESPONSABILIDAD DE DATOS EN LA </w:t>
      </w:r>
      <w:r>
        <w:rPr>
          <w:rFonts w:ascii="OpenSans" w:hAnsi="OpenSans" w:eastAsia="OpenSans"/>
          <w:b/>
          <w:i w:val="0"/>
          <w:color w:val="4DB184"/>
          <w:sz w:val="22"/>
        </w:rPr>
        <w:t>ASISTENCIA EN EFECTIVO Y MEDIANTE VALES</w:t>
      </w:r>
    </w:p>
    <w:p>
      <w:pPr>
        <w:autoSpaceDN w:val="0"/>
        <w:autoSpaceDE w:val="0"/>
        <w:widowControl/>
        <w:spacing w:line="264" w:lineRule="exact" w:before="202" w:after="0"/>
        <w:ind w:left="1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La responsabilidad de datos requiere la implementación de acciones basadas en diferentes niveles de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respuestas humanitarias. Esto incluye acciones para garantizar la protección y la seguridad de los datos, así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como estrategias para minimizar los riesgos y maximizar los beneficios de la gestión de datos. </w:t>
      </w:r>
    </w:p>
    <w:p>
      <w:pPr>
        <w:autoSpaceDN w:val="0"/>
        <w:autoSpaceDE w:val="0"/>
        <w:widowControl/>
        <w:spacing w:line="264" w:lineRule="exact" w:before="176" w:after="0"/>
        <w:ind w:left="16" w:right="43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El centro humanitario de datos, CaLP and NORCAP/Consejo Noruego de Refugiados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recomiendan el seguimiento de acciones para mejorar la responsabilidad de datos en la prestación de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asistencia en efectivo y mediante vales:</w:t>
      </w:r>
    </w:p>
    <w:p>
      <w:pPr>
        <w:autoSpaceDN w:val="0"/>
        <w:autoSpaceDE w:val="0"/>
        <w:widowControl/>
        <w:spacing w:line="292" w:lineRule="exact" w:before="114" w:after="0"/>
        <w:ind w:left="242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>• Esquematizar ecosistemas de datos de la CVA.</w:t>
      </w:r>
    </w:p>
    <w:p>
      <w:pPr>
        <w:autoSpaceDN w:val="0"/>
        <w:tabs>
          <w:tab w:pos="468" w:val="left"/>
        </w:tabs>
        <w:autoSpaceDE w:val="0"/>
        <w:widowControl/>
        <w:spacing w:line="264" w:lineRule="exact" w:before="136" w:after="0"/>
        <w:ind w:left="242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• El establecimiento de un protocolo de intercambio de información específico para los programas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de CVA.</w:t>
      </w:r>
    </w:p>
    <w:p>
      <w:pPr>
        <w:autoSpaceDN w:val="0"/>
        <w:autoSpaceDE w:val="0"/>
        <w:widowControl/>
        <w:spacing w:line="292" w:lineRule="exact" w:before="108" w:after="0"/>
        <w:ind w:left="242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>• El establecimiento de acuerdos en intercambio de datos personales.</w:t>
      </w:r>
    </w:p>
    <w:p>
      <w:pPr>
        <w:autoSpaceDN w:val="0"/>
        <w:autoSpaceDE w:val="0"/>
        <w:widowControl/>
        <w:spacing w:line="292" w:lineRule="exact" w:before="108" w:after="0"/>
        <w:ind w:left="242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• La realización de evaluaciones de impacto de datos en todas las intervenciones de CVA. </w:t>
      </w:r>
    </w:p>
    <w:p>
      <w:pPr>
        <w:autoSpaceDN w:val="0"/>
        <w:autoSpaceDE w:val="0"/>
        <w:widowControl/>
        <w:spacing w:line="292" w:lineRule="exact" w:before="108" w:after="0"/>
        <w:ind w:left="242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• La introducción de procedimientos de gestión de incidentes de datos. </w:t>
      </w:r>
    </w:p>
    <w:p>
      <w:pPr>
        <w:autoSpaceDN w:val="0"/>
        <w:tabs>
          <w:tab w:pos="468" w:val="left"/>
        </w:tabs>
        <w:autoSpaceDE w:val="0"/>
        <w:widowControl/>
        <w:spacing w:line="264" w:lineRule="exact" w:before="136" w:after="0"/>
        <w:ind w:left="242" w:right="288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2"/>
        </w:rPr>
        <w:t xml:space="preserve">• El seguimiento de las cuestiones y los progresos en la responsabilidad de datos a través de las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estructuras de coordinación.</w:t>
      </w:r>
    </w:p>
    <w:p>
      <w:pPr>
        <w:autoSpaceDN w:val="0"/>
        <w:autoSpaceDE w:val="0"/>
        <w:widowControl/>
        <w:spacing w:line="264" w:lineRule="exact" w:before="170" w:after="0"/>
        <w:ind w:left="16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La siguiente tabla ofrece una descripción de estas acciones y referencias de una orientación adicional 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plantillas de diferentes organizaciones humanitarias, cuando estén disponibles.</w:t>
      </w:r>
    </w:p>
    <w:p>
      <w:pPr>
        <w:sectPr>
          <w:pgSz w:w="11906" w:h="16838"/>
          <w:pgMar w:top="476" w:right="990" w:bottom="552" w:left="10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891"/>
        <w:gridCol w:w="4891"/>
      </w:tblGrid>
      <w:tr>
        <w:trPr>
          <w:trHeight w:hRule="exact" w:val="492"/>
        </w:trPr>
        <w:tc>
          <w:tcPr>
            <w:tcW w:type="dxa" w:w="221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0" w:after="0"/>
              <w:ind w:left="136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2"/>
              </w:rPr>
              <w:t>Acción</w:t>
            </w:r>
          </w:p>
        </w:tc>
        <w:tc>
          <w:tcPr>
            <w:tcW w:type="dxa" w:w="752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shd w:fill="e0f1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4" w:after="0"/>
              <w:ind w:left="166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2"/>
              </w:rPr>
              <w:t>Descripción</w:t>
            </w:r>
          </w:p>
        </w:tc>
      </w:tr>
      <w:tr>
        <w:trPr>
          <w:trHeight w:hRule="exact" w:val="2978"/>
        </w:trPr>
        <w:tc>
          <w:tcPr>
            <w:tcW w:type="dxa" w:w="2210"/>
            <w:tcBorders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0" w:after="0"/>
              <w:ind w:left="156" w:right="432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Esquematizar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ecosistemas de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datos de la CVA.</w:t>
            </w:r>
          </w:p>
        </w:tc>
        <w:tc>
          <w:tcPr>
            <w:tcW w:type="dxa" w:w="7520"/>
            <w:tcBorders>
              <w:start w:sz="8.0" w:val="single" w:color="#51B085"/>
              <w:top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56" w:after="0"/>
              <w:ind w:left="15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Un esquema del ecosistema de datos ayuda a identificar las brechas de datos y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las posibles duplicaciones, y permite priorizar y tomar decisiones estratégicas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sobre la gestión responsable de los datos. También proporciona un resumen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las principales actividades de gestión de datos, incluyendo la escala, el alcance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y los tipos de datos que se procesan, las partes interesadas, los flujos de datos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entre los diferentes agentes, y los procesos y plataformas en uso en la entrega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 CVA en un contexto determinado. El Grupo de Trabajo sobre el Efectivo (The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Cash Working Group (CWG)), en colaboración con sus socios, deberá completar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el ejercicio de esquematización del ecosistema de datos y actualizarlo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posteriormente cada año.</w:t>
            </w:r>
          </w:p>
        </w:tc>
      </w:tr>
      <w:tr>
        <w:trPr>
          <w:trHeight w:hRule="exact" w:val="4024"/>
        </w:trPr>
        <w:tc>
          <w:tcPr>
            <w:tcW w:type="dxa" w:w="221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52" w:after="0"/>
              <w:ind w:left="146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El establecimiento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de un protocolo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de intercambio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de información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específico para los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programas de CVA.</w:t>
            </w:r>
          </w:p>
        </w:tc>
        <w:tc>
          <w:tcPr>
            <w:tcW w:type="dxa" w:w="752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52" w:after="0"/>
              <w:ind w:left="156" w:right="432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Un protocolo de intercambio de información (ISP) sirve de base para un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enfoque colectivo de intercambio responsable de datos e información. El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ISP establece los términos que todas las organizaciones humanitarias y 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proveedores de servicios de terceros que participan en la prestación del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CVA se comprometen a respetar. Debe complementar cualquier acuerdo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bilateral de intercambio de datos preexistente (véase más abajo), alinearse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con las normas aplicables de “Conocimiento del Cliente” (KYC), e incluir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elementos clave como una clasificación de la sensibilidad de los datos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y un calendario de retención y destrucción de datos. Un ISP también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puede especificar un conjunto mínimo de datos básicos</w:t>
            </w:r>
            <w:r>
              <w:rPr>
                <w:w w:val="98.66154010479266"/>
                <w:rFonts w:ascii="SourceSansPro" w:hAnsi="SourceSansPro" w:eastAsia="SourceSansPro"/>
                <w:b w:val="0"/>
                <w:i w:val="0"/>
                <w:color w:val="000000"/>
                <w:sz w:val="13"/>
              </w:rPr>
              <w:t>7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para facilitar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 prestación de asistencia en efectivo en un contexto concreto. En las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Directrices de Responsabilidad de Datos de OCHA se incluye un modelo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ISP. El desarrollo de un PSI específico para la programación del CVA debería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completarse como un ejercicio colectivo dirigido por el CWG. </w:t>
            </w:r>
          </w:p>
        </w:tc>
      </w:tr>
      <w:tr>
        <w:trPr>
          <w:trHeight w:hRule="exact" w:val="2466"/>
        </w:trPr>
        <w:tc>
          <w:tcPr>
            <w:tcW w:type="dxa" w:w="221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2" w:after="0"/>
              <w:ind w:left="146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El establecimiento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de acuerdos en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intercambio de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datos personales.</w:t>
            </w:r>
          </w:p>
        </w:tc>
        <w:tc>
          <w:tcPr>
            <w:tcW w:type="dxa" w:w="752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8" w:after="0"/>
              <w:ind w:left="15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Un acuerdo de intercambio de datos (DSA) establece los términos y condiciones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que rigen el intercambio de datos personales. Se utiliza principalmente para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compartir datos entre dos partes y suele establecerse a nivel nacional.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acuerdo con los marcos de protección de datos, se requiere la firma de un DSA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para compartir datos personales. En los programas de CVA, los DSA o acuerdos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similares son necesarios no sólo entre las organizaciones humanitarias y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sus socios, sino también con los FSP y otras terceras partes implicadas en la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prestación de asistencia.</w:t>
            </w:r>
          </w:p>
        </w:tc>
      </w:tr>
      <w:tr>
        <w:trPr>
          <w:trHeight w:hRule="exact" w:val="382"/>
        </w:trPr>
        <w:tc>
          <w:tcPr>
            <w:tcW w:type="dxa" w:w="2210"/>
            <w:vMerge w:val="restart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8" w:after="0"/>
              <w:ind w:left="144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La realización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de evaluaciones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de impacto de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datos en todas las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intervenciones de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CVA.</w:t>
            </w:r>
          </w:p>
        </w:tc>
        <w:tc>
          <w:tcPr>
            <w:tcW w:type="dxa" w:w="752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13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Las evaluaciones del impacto de los datos</w:t>
            </w:r>
            <w:r>
              <w:rPr>
                <w:w w:val="98.66154010479266"/>
                <w:rFonts w:ascii="SourceSansPro" w:hAnsi="SourceSansPro" w:eastAsia="SourceSansPro"/>
                <w:b w:val="0"/>
                <w:i w:val="0"/>
                <w:color w:val="000000"/>
                <w:sz w:val="13"/>
              </w:rPr>
              <w:t>9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determinan los riesgos, daños </w:t>
            </w:r>
          </w:p>
        </w:tc>
      </w:tr>
      <w:tr>
        <w:trPr>
          <w:trHeight w:hRule="exact" w:val="3136"/>
        </w:trPr>
        <w:tc>
          <w:tcPr>
            <w:tcW w:type="dxa" w:w="4891"/>
            <w:vMerge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</w:tcPr>
          <w:p/>
        </w:tc>
        <w:tc>
          <w:tcPr>
            <w:tcW w:type="dxa" w:w="7520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13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y beneficios esperados, así como los sobre la privacidad, la protección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datos y/o los derechos humanos de una actividad de gestión de datos. Una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evaluación sirve de base para el diseño y la ejecución de las actividades de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gestión de datos de manera que se maximicen los beneficios y se minimicen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los riesgos. El tipo más común de evaluación del impacto de los datos en 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programas de CVA es la evaluación del impacto de la protección de datos,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que se centra explícitamente en los datos personales. Si un programa de CVA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también genera grandes volúmenes de datos no personales, las organizaciones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deberían intentar ampliar su plantilla de evaluación estándar para abordar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también los riesgos, daños y beneficios relacionados con los datos no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personales.</w:t>
            </w:r>
          </w:p>
        </w:tc>
      </w:tr>
    </w:tbl>
    <w:p>
      <w:pPr>
        <w:autoSpaceDN w:val="0"/>
        <w:autoSpaceDE w:val="0"/>
        <w:widowControl/>
        <w:spacing w:line="154" w:lineRule="exact" w:before="270" w:after="0"/>
        <w:ind w:left="12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 xml:space="preserve">7 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 V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ea por ejemplo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20" w:history="1">
          <w:r>
            <w:rPr>
              <w:rStyle w:val="Hyperlink"/>
            </w:rPr>
            <w:t>Conjunto de datos mínimos de prestación de asistencia básica para las poblaciones afectadas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. </w:t>
      </w:r>
    </w:p>
    <w:p>
      <w:pPr>
        <w:autoSpaceDN w:val="0"/>
        <w:autoSpaceDE w:val="0"/>
        <w:widowControl/>
        <w:spacing w:line="154" w:lineRule="exact" w:before="86" w:after="0"/>
        <w:ind w:left="12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 xml:space="preserve">8 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 OCHA, 2019.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21" w:history="1">
          <w:r>
            <w:rPr>
              <w:rStyle w:val="Hyperlink"/>
            </w:rPr>
            <w:t>Borrador de trabajo de las Directrices de Responsabilidad de Datos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>, 55-62.</w:t>
      </w:r>
    </w:p>
    <w:p>
      <w:pPr>
        <w:autoSpaceDN w:val="0"/>
        <w:autoSpaceDE w:val="0"/>
        <w:widowControl/>
        <w:spacing w:line="180" w:lineRule="exact" w:before="60" w:after="0"/>
        <w:ind w:left="88" w:right="432" w:hanging="76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 xml:space="preserve">9 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 Esto incluye las Evaluaciones de Impacto de la Protección de Datos, así como otros tipos de evaluaciones que consideran los posibles riesgos,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daños y beneficios de un ejercicio de gestión de datos. Obtenga más información en esta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22" w:history="1">
          <w:r>
            <w:rPr>
              <w:rStyle w:val="Hyperlink"/>
            </w:rPr>
            <w:t>nota de orientación sobre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por Centro de datos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 humanitarios, ICRC, Privacy International, y UN Global Pulse. </w:t>
      </w:r>
    </w:p>
    <w:p>
      <w:pPr>
        <w:sectPr>
          <w:pgSz w:w="11906" w:h="16838"/>
          <w:pgMar w:top="388" w:right="1056" w:bottom="552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08"/>
        <w:gridCol w:w="4908"/>
      </w:tblGrid>
      <w:tr>
        <w:trPr>
          <w:trHeight w:hRule="exact" w:val="3366"/>
        </w:trPr>
        <w:tc>
          <w:tcPr>
            <w:tcW w:type="dxa" w:w="2212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50" w:after="0"/>
              <w:ind w:left="146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La introducción de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procedimientos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de gestión de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incidentes de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datos.</w:t>
            </w:r>
          </w:p>
        </w:tc>
        <w:tc>
          <w:tcPr>
            <w:tcW w:type="dxa" w:w="7518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50" w:after="0"/>
              <w:ind w:left="13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 gestión, el seguimiento y la comunicación de los incidentes relacionados con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los datos requieren procedimientos operativos estándar para la gestión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de incidentes</w:t>
            </w:r>
            <w:r>
              <w:rPr>
                <w:w w:val="98.66154010479266"/>
                <w:rFonts w:ascii="SourceSansPro" w:hAnsi="SourceSansPro" w:eastAsia="SourceSansPro"/>
                <w:b w:val="0"/>
                <w:i w:val="0"/>
                <w:color w:val="000000"/>
                <w:sz w:val="13"/>
              </w:rPr>
              <w:t>10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y un registro central que recoja los detalles clave sobre la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naturaleza, la gravedad y la resolución de cada incidente. Esto incluirá 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menudo un mecanismo de rectificación y reparación a través del cual 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beneficiarios puedan buscar la resolución de problemas relacionados con la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prestación de CVA, incluidas las preocupaciones sobre la gestión de sus datos.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Aunque se anima a las organizaciones a establecer sus propios procedimientos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 gestión de incidentes de datos, el seguimiento colectivo de los incidentes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y el intercambio de las lecciones aprendidas a través del CWG es importante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en el complejo e interconectado ecosistema de datos de CVA.</w:t>
            </w:r>
          </w:p>
        </w:tc>
      </w:tr>
      <w:tr>
        <w:trPr>
          <w:trHeight w:hRule="exact" w:val="2336"/>
        </w:trPr>
        <w:tc>
          <w:tcPr>
            <w:tcW w:type="dxa" w:w="2212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146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El seguimiento de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las cuestiones y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los progresos en la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responsabilidad de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datos a través de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las estructuras de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coordinación.</w:t>
            </w:r>
          </w:p>
        </w:tc>
        <w:tc>
          <w:tcPr>
            <w:tcW w:type="dxa" w:w="7518"/>
            <w:tcBorders>
              <w:start w:sz="8.0" w:val="single" w:color="#51B085"/>
              <w:top w:sz="8.0" w:val="single" w:color="#51B085"/>
              <w:end w:sz="8.0" w:val="single" w:color="#51B085"/>
              <w:bottom w:sz="8.0" w:val="single" w:color="#51B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4" w:after="0"/>
              <w:ind w:left="13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Las estructuras de coordinación, como el CWG pueden servir de plataforma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común para supervisar el progreso colectivo y/o los retos y oportunidades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de la responsabilidad de los datos. También pueden apoyar la mejora de la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coordinación y la toma de decisiones para avanzar en la responsabilidad de los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datos en la prestación del CVA en un contexto determinado.</w:t>
            </w:r>
          </w:p>
        </w:tc>
      </w:tr>
    </w:tbl>
    <w:p>
      <w:pPr>
        <w:autoSpaceDN w:val="0"/>
        <w:autoSpaceDE w:val="0"/>
        <w:widowControl/>
        <w:spacing w:line="266" w:lineRule="exact" w:before="348" w:after="0"/>
        <w:ind w:left="1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Las organizaciones son alentadas a compartir su experiencia al promover la resp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23" w:history="1">
          <w:r>
            <w:rPr>
              <w:rStyle w:val="Hyperlink"/>
            </w:rPr>
            <w:t>onsabilidad de datos en l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prestación de asistencia en efectivo y mediante vales con el centro por medio de </w:t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23" w:history="1">
          <w:r>
            <w:rPr>
              <w:rStyle w:val="Hyperlink"/>
            </w:rPr>
            <w:t>centrehumdata@un.org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58" w:lineRule="exact" w:before="3102" w:after="112"/>
        <w:ind w:left="1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5D5D5D"/>
          <w:sz w:val="20"/>
        </w:rPr>
        <w:t xml:space="preserve">COLABORADORES: </w:t>
      </w:r>
      <w:r>
        <w:rPr>
          <w:rFonts w:ascii="SourceSansPro" w:hAnsi="SourceSansPro" w:eastAsia="SourceSansPro"/>
          <w:b/>
          <w:i w:val="0"/>
          <w:color w:val="5D5D5D"/>
          <w:sz w:val="20"/>
        </w:rPr>
        <w:hyperlink r:id="rId24" w:history="1">
          <w:r>
            <w:rPr>
              <w:rStyle w:val="Hyperlink"/>
            </w:rPr>
            <w:t>CALP</w:t>
          </w:r>
        </w:hyperlink>
      </w:r>
      <w:r>
        <w:rPr>
          <w:rFonts w:ascii="SourceSansPro" w:hAnsi="SourceSansPro" w:eastAsia="SourceSansPro"/>
          <w:b/>
          <w:i w:val="0"/>
          <w:color w:val="5D5D5D"/>
          <w:sz w:val="20"/>
        </w:rPr>
        <w:t xml:space="preserve"> Y </w:t>
      </w:r>
      <w:r>
        <w:rPr>
          <w:rFonts w:ascii="SourceSansPro" w:hAnsi="SourceSansPro" w:eastAsia="SourceSansPro"/>
          <w:b/>
          <w:i w:val="0"/>
          <w:color w:val="5D5D5D"/>
          <w:sz w:val="20"/>
        </w:rPr>
        <w:hyperlink r:id="rId25" w:history="1">
          <w:r>
            <w:rPr>
              <w:rStyle w:val="Hyperlink"/>
            </w:rPr>
            <w:t>NORCAP/CONSEJO NORUEGO DE REFUGIADOS</w:t>
          </w:r>
        </w:hyperlink>
      </w:r>
      <w:r>
        <w:rPr>
          <w:rFonts w:ascii="SourceSansPro" w:hAnsi="SourceSansPro" w:eastAsia="SourceSansPro"/>
          <w:b/>
          <w:i w:val="0"/>
          <w:color w:val="5D5D5D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816"/>
      </w:tblGrid>
      <w:tr>
        <w:trPr>
          <w:trHeight w:hRule="exact" w:val="1992"/>
        </w:trPr>
        <w:tc>
          <w:tcPr>
            <w:tcW w:type="dxa" w:w="9754"/>
            <w:tcBorders>
              <w:start w:sz="6.800000190734863" w:val="single" w:color="#C5C5C5"/>
              <w:top w:sz="6.800000190734863" w:val="single" w:color="#C5C5C5"/>
              <w:end w:sz="6.800000190734863" w:val="single" w:color="#C5C5C5"/>
              <w:bottom w:sz="6.800000190734863" w:val="single" w:color="#C5C5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4" w:after="0"/>
              <w:ind w:left="2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El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0"/>
              </w:rPr>
              <w:hyperlink r:id="rId26" w:history="1">
                <w:r>
                  <w:rPr>
                    <w:rStyle w:val="Hyperlink"/>
                  </w:rPr>
                  <w:t>Centro Para Los Datos Humanitario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0"/>
              </w:rPr>
              <w:t>s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('El Centro'), junto con socios importantes, está publicando una serie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de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6" w:history="1">
                <w:r>
                  <w:rPr>
                    <w:rStyle w:val="Hyperlink"/>
                  </w:rPr>
                  <w:t xml:space="preserve"> notas de orientación sobre la respo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nsabilidad de los datos en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1" w:history="1">
                <w:r>
                  <w:rPr>
                    <w:rStyle w:val="Hyperlink"/>
                  </w:rPr>
                  <w:t xml:space="preserve"> la acción humanitaria a lo largo de 2019 y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1" w:history="1">
                <w:r>
                  <w:rPr>
                    <w:rStyle w:val="Hyperlink"/>
                  </w:rPr>
                  <w:t xml:space="preserve">2020. La serie de 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notas de orientación sigue a la publicación del 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0"/>
              </w:rPr>
              <w:hyperlink r:id="rId21" w:history="1">
                <w:r>
                  <w:rPr>
                    <w:rStyle w:val="Hyperlink"/>
                  </w:rPr>
                  <w:t xml:space="preserve">borrador de trabajo de las Directrices de 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0"/>
              </w:rPr>
              <w:hyperlink r:id="rId21" w:history="1">
                <w:r>
                  <w:rPr>
                    <w:rStyle w:val="Hyperlink"/>
                  </w:rPr>
                  <w:t>Responsabilidad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 en marzo del 2019. A través de esta serie, el Ce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1" w:history="1">
                <w:r>
                  <w:rPr>
                    <w:rStyle w:val="Hyperlink"/>
                  </w:rPr>
                  <w:t>ntro pretende proporcionar orientación a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dicional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1" w:history="1">
                <w:r>
                  <w:rPr>
                    <w:rStyle w:val="Hyperlink"/>
                  </w:rPr>
                  <w:t>sobre cuestiones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, procesos y herramientasespecíficas para la responsabilidad de los datos en la práctica. Esta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serie es posible gracias al generoso apoyo de la Dirección General de Protección Civil y Operaciones de Ayuda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Humanitaria (DG ECHO).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4908"/>
        <w:gridCol w:w="4908"/>
      </w:tblGrid>
      <w:tr>
        <w:trPr>
          <w:trHeight w:hRule="exact" w:val="120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24890" cy="68325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6832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0" w:after="0"/>
              <w:ind w:left="1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 xml:space="preserve">El presente documento abarca las actividades de ayuda humanitaria realizadas con la ayuda financiera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 xml:space="preserve">de la Unión Europea. Las opiniones expresadas en él no deben considerarse, en modo alguno, como la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 xml:space="preserve">opinión oficial de la Unión Europea, y la Comisión Europea no es responsable del uso que pueda hacerse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18"/>
              </w:rPr>
              <w:t>de la información que contiene.</w:t>
            </w:r>
          </w:p>
        </w:tc>
      </w:tr>
    </w:tbl>
    <w:p>
      <w:pPr>
        <w:autoSpaceDN w:val="0"/>
        <w:autoSpaceDE w:val="0"/>
        <w:widowControl/>
        <w:spacing w:line="194" w:lineRule="exact" w:before="42" w:after="0"/>
        <w:ind w:left="16" w:right="0" w:firstLine="0"/>
        <w:jc w:val="left"/>
      </w:pPr>
      <w:r>
        <w:rPr>
          <w:w w:val="102.00000127156576"/>
          <w:rFonts w:ascii="SourceSansPro" w:hAnsi="SourceSansPro" w:eastAsia="SourceSansPro"/>
          <w:b w:val="0"/>
          <w:i w:val="0"/>
          <w:color w:val="5D5D5D"/>
          <w:sz w:val="15"/>
        </w:rPr>
        <w:t xml:space="preserve">Este proyecto esta </w:t>
      </w:r>
    </w:p>
    <w:p>
      <w:pPr>
        <w:autoSpaceDN w:val="0"/>
        <w:autoSpaceDE w:val="0"/>
        <w:widowControl/>
        <w:spacing w:line="192" w:lineRule="exact" w:before="0" w:after="0"/>
        <w:ind w:left="16" w:right="0" w:firstLine="0"/>
        <w:jc w:val="left"/>
      </w:pPr>
      <w:r>
        <w:rPr>
          <w:w w:val="102.00000127156576"/>
          <w:rFonts w:ascii="SourceSansPro" w:hAnsi="SourceSansPro" w:eastAsia="SourceSansPro"/>
          <w:b w:val="0"/>
          <w:i w:val="0"/>
          <w:color w:val="5D5D5D"/>
          <w:sz w:val="15"/>
        </w:rPr>
        <w:t xml:space="preserve">cofinanciado por la Unión </w:t>
      </w:r>
    </w:p>
    <w:p>
      <w:pPr>
        <w:autoSpaceDN w:val="0"/>
        <w:autoSpaceDE w:val="0"/>
        <w:widowControl/>
        <w:spacing w:line="192" w:lineRule="exact" w:before="0" w:after="0"/>
        <w:ind w:left="16" w:right="0" w:firstLine="0"/>
        <w:jc w:val="left"/>
      </w:pPr>
      <w:r>
        <w:rPr>
          <w:w w:val="102.00000127156576"/>
          <w:rFonts w:ascii="SourceSansPro" w:hAnsi="SourceSansPro" w:eastAsia="SourceSansPro"/>
          <w:b w:val="0"/>
          <w:i w:val="0"/>
          <w:color w:val="5D5D5D"/>
          <w:sz w:val="15"/>
        </w:rPr>
        <w:t>Europea</w:t>
      </w:r>
    </w:p>
    <w:p>
      <w:pPr>
        <w:autoSpaceDN w:val="0"/>
        <w:autoSpaceDE w:val="0"/>
        <w:widowControl/>
        <w:spacing w:line="154" w:lineRule="exact" w:before="260" w:after="0"/>
        <w:ind w:left="16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9"/>
        </w:rPr>
        <w:t xml:space="preserve">10 </w:t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Obtenga más información en esta </w:t>
      </w:r>
      <w:r>
        <w:rPr>
          <w:rFonts w:ascii="Stag" w:hAnsi="Stag" w:eastAsia="Stag"/>
          <w:b w:val="0"/>
          <w:i w:val="0"/>
          <w:color w:val="1BB580"/>
          <w:sz w:val="15"/>
        </w:rPr>
        <w:hyperlink r:id="rId28" w:history="1">
          <w:r>
            <w:rPr>
              <w:rStyle w:val="Hyperlink"/>
            </w:rPr>
            <w:t xml:space="preserve">Nota de Orientación sobre la Gestión de Incidentes de Datos elaborada </w:t>
          </w:r>
        </w:hyperlink>
      </w:r>
      <w:r>
        <w:rPr>
          <w:rFonts w:ascii="Stag" w:hAnsi="Stag" w:eastAsia="Stag"/>
          <w:b w:val="0"/>
          <w:i w:val="0"/>
          <w:color w:val="1BB580"/>
          <w:sz w:val="15"/>
        </w:rPr>
        <w:t xml:space="preserve">por el Centro de Datos Humanitarios y </w:t>
      </w:r>
    </w:p>
    <w:p>
      <w:pPr>
        <w:autoSpaceDN w:val="0"/>
        <w:autoSpaceDE w:val="0"/>
        <w:widowControl/>
        <w:spacing w:line="150" w:lineRule="exact" w:before="30" w:after="0"/>
        <w:ind w:left="90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15"/>
        </w:rPr>
        <w:t xml:space="preserve"> el Instituto Jackson de Asuntos Globales de la Universidad de Yale.</w:t>
      </w:r>
    </w:p>
    <w:sectPr w:rsidR="00FC693F" w:rsidRPr="0006063C" w:rsidSect="00034616">
      <w:pgSz w:w="11906" w:h="16838"/>
      <w:pgMar w:top="470" w:right="1028" w:bottom="552" w:left="10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reliefweb.int/report/world/guidance-note-role-cash-and-voucher-assistance-reduce-financial-barriers-response-covid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calpnetwork.org/state-of-the-worlds-cash-2020/" TargetMode="External"/><Relationship Id="rId13" Type="http://schemas.openxmlformats.org/officeDocument/2006/relationships/hyperlink" Target="https://privacyinternational.org/report/2509/humanitarian-metadata-problem-doing-no-harm-digital-era" TargetMode="External"/><Relationship Id="rId14" Type="http://schemas.openxmlformats.org/officeDocument/2006/relationships/hyperlink" Target="https://elan.cashlearning.org/wp-content/uploads/2016/05/KYC-tipsheet.pdf" TargetMode="External"/><Relationship Id="rId15" Type="http://schemas.openxmlformats.org/officeDocument/2006/relationships/hyperlink" Target="https://www.globalprotectioncluster.org/_assets/files/tools_and_guidance/cash-based-interventions/erc-know-your-customer-standards-and-privacy-recommendations-for-cash-transfer_en.pdf" TargetMode="External"/><Relationship Id="rId16" Type="http://schemas.openxmlformats.org/officeDocument/2006/relationships/hyperlink" Target="https://www.calpnetwork.org/publication/protecting-beneficiary-privacy-principles-and-operational-standards-for-the-secure-use-of-personal-data-in-cash-and-e-transfer-programmes/" TargetMode="External"/><Relationship Id="rId17" Type="http://schemas.openxmlformats.org/officeDocument/2006/relationships/hyperlink" Target="https://www.collaborativecash.org/data-sharing-working-group" TargetMode="External"/><Relationship Id="rId18" Type="http://schemas.openxmlformats.org/officeDocument/2006/relationships/hyperlink" Target="https://www.icrc.org/en/data-protection-humanitarian-action-handbook" TargetMode="External"/><Relationship Id="rId19" Type="http://schemas.openxmlformats.org/officeDocument/2006/relationships/hyperlink" Target="https://www.calpnetwork.org/publication/data-responsibility-toolkit-a-guide-for-cva-practitioners/" TargetMode="External"/><Relationship Id="rId20" Type="http://schemas.openxmlformats.org/officeDocument/2006/relationships/hyperlink" Target="https://reliefweb.int/sites/reliefweb.int/files/resources/Minimum%20core%20assistance%20delivery%20dataset%20for%20affected%20populations.pdf" TargetMode="External"/><Relationship Id="rId21" Type="http://schemas.openxmlformats.org/officeDocument/2006/relationships/hyperlink" Target="https://data.humdata.org/dataset/2048a947-5714-4220-905b-e662cbcd14c8/resource/60050608-0095-4c11-86cd-0a1fc5c29fd9/download/ocha-data-responsibility-guidelines_2021.pdf" TargetMode="External"/><Relationship Id="rId22" Type="http://schemas.openxmlformats.org/officeDocument/2006/relationships/hyperlink" Target="https://centre.humdata.org/guidance-note-data-impact-assessments/" TargetMode="External"/><Relationship Id="rId23" Type="http://schemas.openxmlformats.org/officeDocument/2006/relationships/hyperlink" Target="mailto:centrehumdata%40un.org?subject=" TargetMode="External"/><Relationship Id="rId24" Type="http://schemas.openxmlformats.org/officeDocument/2006/relationships/hyperlink" Target="https://www.calpnetwork.org/" TargetMode="External"/><Relationship Id="rId25" Type="http://schemas.openxmlformats.org/officeDocument/2006/relationships/hyperlink" Target="https://www.nrc.no/expert-deployment/aboutnorcap/" TargetMode="External"/><Relationship Id="rId26" Type="http://schemas.openxmlformats.org/officeDocument/2006/relationships/hyperlink" Target="https://centre.humdata.org" TargetMode="External"/><Relationship Id="rId27" Type="http://schemas.openxmlformats.org/officeDocument/2006/relationships/image" Target="media/image3.png"/><Relationship Id="rId28" Type="http://schemas.openxmlformats.org/officeDocument/2006/relationships/hyperlink" Target="https://centre.humdata.org/guidance-note-data-incident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