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8"/>
        <w:ind w:left="0" w:right="0"/>
      </w:pPr>
    </w:p>
    <w:p>
      <w:pPr>
        <w:autoSpaceDN w:val="0"/>
        <w:tabs>
          <w:tab w:pos="5586" w:val="left"/>
        </w:tabs>
        <w:autoSpaceDE w:val="0"/>
        <w:widowControl/>
        <w:spacing w:line="248" w:lineRule="exact" w:before="0" w:after="136"/>
        <w:ind w:left="1200" w:right="0" w:firstLine="0"/>
        <w:jc w:val="left"/>
      </w:pPr>
      <w:r>
        <w:rPr>
          <w:rFonts w:ascii="AvantGarde" w:hAnsi="AvantGarde" w:eastAsia="AvantGarde"/>
          <w:b/>
          <w:i w:val="0"/>
          <w:color w:val="000000"/>
          <w:sz w:val="18"/>
        </w:rPr>
        <w:t xml:space="preserve">§ 1403.23 </w:t>
      </w:r>
      <w:r>
        <w:tab/>
      </w:r>
      <w:r>
        <w:rPr>
          <w:rFonts w:ascii="AvantGarde" w:hAnsi="AvantGarde" w:eastAsia="AvantGarde"/>
          <w:b/>
          <w:i w:val="0"/>
          <w:color w:val="000000"/>
          <w:sz w:val="18"/>
        </w:rPr>
        <w:t>21 CFR Ch. III (4–1–98 Edition)</w:t>
      </w:r>
    </w:p>
    <w:p>
      <w:pPr>
        <w:sectPr>
          <w:pgSz w:w="12240" w:h="15840"/>
          <w:pgMar w:top="1440" w:right="1440" w:bottom="6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32" w:after="0"/>
        <w:ind w:left="1200" w:right="120" w:firstLine="160"/>
        <w:jc w:val="both"/>
      </w:pPr>
      <w:r>
        <w:rPr>
          <w:rFonts w:ascii="MIonic" w:hAnsi="MIonic" w:eastAsia="MIonic"/>
          <w:b w:val="0"/>
          <w:i w:val="0"/>
          <w:color w:val="000000"/>
          <w:sz w:val="16"/>
        </w:rPr>
        <w:t>(2) Reasonable fees or profit to cost-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type contractors but not any fee or </w:t>
      </w:r>
      <w:r>
        <w:rPr>
          <w:rFonts w:ascii="MIonic" w:hAnsi="MIonic" w:eastAsia="MIonic"/>
          <w:b w:val="0"/>
          <w:i w:val="0"/>
          <w:color w:val="000000"/>
          <w:sz w:val="16"/>
        </w:rPr>
        <w:t>profit (or other increment above allow-</w:t>
      </w:r>
      <w:r>
        <w:rPr>
          <w:rFonts w:ascii="MIonic" w:hAnsi="MIonic" w:eastAsia="MIonic"/>
          <w:b w:val="0"/>
          <w:i w:val="0"/>
          <w:color w:val="000000"/>
          <w:sz w:val="16"/>
        </w:rPr>
        <w:t>able costs) to the grantee or sub-</w:t>
      </w:r>
      <w:r>
        <w:rPr>
          <w:rFonts w:ascii="MIonic" w:hAnsi="MIonic" w:eastAsia="MIonic"/>
          <w:b w:val="0"/>
          <w:i w:val="0"/>
          <w:color w:val="000000"/>
          <w:sz w:val="16"/>
        </w:rPr>
        <w:t>grantee.</w:t>
      </w:r>
    </w:p>
    <w:p>
      <w:pPr>
        <w:autoSpaceDN w:val="0"/>
        <w:autoSpaceDE w:val="0"/>
        <w:widowControl/>
        <w:spacing w:line="180" w:lineRule="exact" w:before="32" w:after="92"/>
        <w:ind w:left="1200" w:right="120" w:firstLine="160"/>
        <w:jc w:val="both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(b) </w:t>
      </w:r>
      <w:r>
        <w:rPr>
          <w:rFonts w:ascii="MIonic" w:hAnsi="MIonic" w:eastAsia="MIonic"/>
          <w:b w:val="0"/>
          <w:i/>
          <w:color w:val="000000"/>
          <w:sz w:val="16"/>
        </w:rPr>
        <w:t xml:space="preserve">Applicable cost principles.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For each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kind of organization, there is a set of </w:t>
      </w:r>
      <w:r>
        <w:rPr>
          <w:rFonts w:ascii="MIonic" w:hAnsi="MIonic" w:eastAsia="MIonic"/>
          <w:b w:val="0"/>
          <w:i w:val="0"/>
          <w:color w:val="000000"/>
          <w:sz w:val="16"/>
        </w:rPr>
        <w:t>Federal principles for determining al-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lowable costs. Allowable costs will be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determined in accordance with the cost </w:t>
      </w:r>
      <w:r>
        <w:rPr>
          <w:rFonts w:ascii="MIonic" w:hAnsi="MIonic" w:eastAsia="MIonic"/>
          <w:b w:val="0"/>
          <w:i w:val="0"/>
          <w:color w:val="000000"/>
          <w:sz w:val="16"/>
        </w:rPr>
        <w:t>principles applicable to the organiza-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tion incurring the costs. The following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chart lists the kinds of organizations </w:t>
      </w:r>
      <w:r>
        <w:rPr>
          <w:rFonts w:ascii="MIonic" w:hAnsi="MIonic" w:eastAsia="MIonic"/>
          <w:b w:val="0"/>
          <w:i w:val="0"/>
          <w:color w:val="000000"/>
          <w:sz w:val="16"/>
        </w:rPr>
        <w:t>and the applicable cost principles.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96.0000000000002" w:type="dxa"/>
      </w:tblPr>
      <w:tblGrid>
        <w:gridCol w:w="4680"/>
        <w:gridCol w:w="4680"/>
      </w:tblGrid>
      <w:tr>
        <w:trPr>
          <w:trHeight w:hRule="exact" w:val="244"/>
        </w:trPr>
        <w:tc>
          <w:tcPr>
            <w:tcW w:type="dxa" w:w="1700"/>
            <w:tcBorders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For the costs of a—</w:t>
            </w:r>
          </w:p>
        </w:tc>
        <w:tc>
          <w:tcPr>
            <w:tcW w:type="dxa" w:w="1668"/>
            <w:tcBorders>
              <w:start w:sz="2.4000000953674316" w:val="single" w:color="#000000"/>
              <w:top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Use the principles in—</w:t>
            </w:r>
          </w:p>
        </w:tc>
      </w:tr>
      <w:tr>
        <w:trPr>
          <w:trHeight w:hRule="exact" w:val="2562"/>
        </w:trPr>
        <w:tc>
          <w:tcPr>
            <w:tcW w:type="dxa" w:w="1700"/>
            <w:tcBorders>
              <w:top w:sz="2.4000000953674316" w:val="single" w:color="#000000"/>
              <w:end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" w:val="left"/>
              </w:tabs>
              <w:autoSpaceDE w:val="0"/>
              <w:widowControl/>
              <w:spacing w:line="140" w:lineRule="exact" w:before="88" w:after="0"/>
              <w:ind w:left="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State, local or Indian tribal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government.</w:t>
            </w:r>
          </w:p>
          <w:p>
            <w:pPr>
              <w:autoSpaceDN w:val="0"/>
              <w:autoSpaceDE w:val="0"/>
              <w:widowControl/>
              <w:spacing w:line="140" w:lineRule="exact" w:before="26" w:after="0"/>
              <w:ind w:left="130" w:right="0" w:hanging="12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Private nonprofit organization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other than (1) institution of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higher education, (2) hos-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pital, or (3) organization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named in OMB Circular A–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122 as not subject to that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circular.</w:t>
            </w:r>
          </w:p>
          <w:p>
            <w:pPr>
              <w:autoSpaceDN w:val="0"/>
              <w:tabs>
                <w:tab w:pos="130" w:val="left"/>
              </w:tabs>
              <w:autoSpaceDE w:val="0"/>
              <w:widowControl/>
              <w:spacing w:line="142" w:lineRule="exact" w:before="22" w:after="0"/>
              <w:ind w:left="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Educational institutions ..........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For-profit organizations other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than a hospital and an or-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ganization named in OMB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Circular A–122 as not sub-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ject to that circular.</w:t>
            </w:r>
          </w:p>
        </w:tc>
        <w:tc>
          <w:tcPr>
            <w:tcW w:type="dxa" w:w="1668"/>
            <w:tcBorders>
              <w:start w:sz="2.4000000953674316" w:val="single" w:color="#000000"/>
              <w:top w:sz="2.4000000953674316" w:val="single" w:color="#000000"/>
              <w:bottom w:sz="2.4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2" w:after="0"/>
              <w:ind w:left="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OMB Circular A–87.</w:t>
            </w:r>
          </w:p>
          <w:p>
            <w:pPr>
              <w:autoSpaceDN w:val="0"/>
              <w:autoSpaceDE w:val="0"/>
              <w:widowControl/>
              <w:spacing w:line="164" w:lineRule="exact" w:before="130" w:after="0"/>
              <w:ind w:left="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OMB Circular A–122.</w:t>
            </w:r>
          </w:p>
          <w:p>
            <w:pPr>
              <w:autoSpaceDN w:val="0"/>
              <w:autoSpaceDE w:val="0"/>
              <w:widowControl/>
              <w:spacing w:line="164" w:lineRule="exact" w:before="830" w:after="0"/>
              <w:ind w:left="5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OMB Circular A–21.</w:t>
            </w:r>
          </w:p>
          <w:p>
            <w:pPr>
              <w:autoSpaceDN w:val="0"/>
              <w:autoSpaceDE w:val="0"/>
              <w:widowControl/>
              <w:spacing w:line="140" w:lineRule="exact" w:before="24" w:after="0"/>
              <w:ind w:left="178" w:right="0" w:hanging="12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48 CFR part 31. Contract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Cost Principles and Proce-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dures, or uniform cost ac-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counting standards that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comply with cost principles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acceptable to the Federal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agency.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45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0" w:val="left"/>
              </w:tabs>
              <w:autoSpaceDE w:val="0"/>
              <w:widowControl/>
              <w:spacing w:line="160" w:lineRule="exact" w:before="122" w:after="0"/>
              <w:ind w:left="600" w:right="0" w:firstLine="0"/>
              <w:jc w:val="left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§ 1403.23 </w:t>
            </w:r>
            <w:r>
              <w:br/>
            </w:r>
            <w:r>
              <w:tab/>
            </w: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>funds.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Period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 xml:space="preserve">availability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NewCenturySchlbk" w:hAnsi="NewCenturySchlbk" w:eastAsia="NewCenturySchlbk"/>
                <w:b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180" w:lineRule="exact" w:before="48" w:after="0"/>
        <w:ind w:left="1200" w:right="120" w:firstLine="160"/>
        <w:jc w:val="both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(a) </w:t>
      </w:r>
      <w:r>
        <w:rPr>
          <w:rFonts w:ascii="MIonic" w:hAnsi="MIonic" w:eastAsia="MIonic"/>
          <w:b w:val="0"/>
          <w:i/>
          <w:color w:val="000000"/>
          <w:sz w:val="16"/>
        </w:rPr>
        <w:t>General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. Where a funding period is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specified, a grantee may charge to the </w:t>
      </w:r>
      <w:r>
        <w:rPr>
          <w:rFonts w:ascii="MIonic" w:hAnsi="MIonic" w:eastAsia="MIonic"/>
          <w:b w:val="0"/>
          <w:i w:val="0"/>
          <w:color w:val="000000"/>
          <w:sz w:val="16"/>
        </w:rPr>
        <w:t>award only costs resulting from obliga-</w:t>
      </w:r>
      <w:r>
        <w:rPr>
          <w:rFonts w:ascii="MIonic" w:hAnsi="MIonic" w:eastAsia="MIonic"/>
          <w:b w:val="0"/>
          <w:i w:val="0"/>
          <w:color w:val="000000"/>
          <w:sz w:val="16"/>
        </w:rPr>
        <w:t>tions of the funding period unless car-</w:t>
      </w:r>
      <w:r>
        <w:rPr>
          <w:rFonts w:ascii="MIonic" w:hAnsi="MIonic" w:eastAsia="MIonic"/>
          <w:b w:val="0"/>
          <w:i w:val="0"/>
          <w:color w:val="000000"/>
          <w:sz w:val="16"/>
        </w:rPr>
        <w:t>ryover of unobligated balances is per-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mitted, in which case the carryover </w:t>
      </w:r>
      <w:r>
        <w:rPr>
          <w:rFonts w:ascii="MIonic" w:hAnsi="MIonic" w:eastAsia="MIonic"/>
          <w:b w:val="0"/>
          <w:i w:val="0"/>
          <w:color w:val="000000"/>
          <w:sz w:val="16"/>
        </w:rPr>
        <w:t>balances may be charged for costs re-</w:t>
      </w:r>
      <w:r>
        <w:rPr>
          <w:rFonts w:ascii="MIonic" w:hAnsi="MIonic" w:eastAsia="MIonic"/>
          <w:b w:val="0"/>
          <w:i w:val="0"/>
          <w:color w:val="000000"/>
          <w:sz w:val="16"/>
        </w:rPr>
        <w:t>sulting from obligations of the subse-</w:t>
      </w:r>
      <w:r>
        <w:rPr>
          <w:rFonts w:ascii="MIonic" w:hAnsi="MIonic" w:eastAsia="MIonic"/>
          <w:b w:val="0"/>
          <w:i w:val="0"/>
          <w:color w:val="000000"/>
          <w:sz w:val="16"/>
        </w:rPr>
        <w:t>quent funding period.</w:t>
      </w:r>
    </w:p>
    <w:p>
      <w:pPr>
        <w:autoSpaceDN w:val="0"/>
        <w:autoSpaceDE w:val="0"/>
        <w:widowControl/>
        <w:spacing w:line="180" w:lineRule="exact" w:before="32" w:after="0"/>
        <w:ind w:left="1200" w:right="120" w:firstLine="160"/>
        <w:jc w:val="both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(b) </w:t>
      </w:r>
      <w:r>
        <w:rPr>
          <w:rFonts w:ascii="MIonic" w:hAnsi="MIonic" w:eastAsia="MIonic"/>
          <w:b w:val="0"/>
          <w:i/>
          <w:color w:val="000000"/>
          <w:sz w:val="16"/>
        </w:rPr>
        <w:t>Liquidation of obligations</w:t>
      </w:r>
      <w:r>
        <w:rPr>
          <w:rFonts w:ascii="MIonic" w:hAnsi="MIonic" w:eastAsia="MIonic"/>
          <w:b w:val="0"/>
          <w:i w:val="0"/>
          <w:color w:val="000000"/>
          <w:sz w:val="16"/>
        </w:rPr>
        <w:t>. A grant-</w:t>
      </w:r>
      <w:r>
        <w:rPr>
          <w:rFonts w:ascii="MIonic" w:hAnsi="MIonic" w:eastAsia="MIonic"/>
          <w:b w:val="0"/>
          <w:i w:val="0"/>
          <w:color w:val="000000"/>
          <w:sz w:val="16"/>
        </w:rPr>
        <w:t>ee must liquidate all obligations in-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curred under the award not later than </w:t>
      </w:r>
      <w:r>
        <w:rPr>
          <w:rFonts w:ascii="MIonic" w:hAnsi="MIonic" w:eastAsia="MIonic"/>
          <w:b w:val="0"/>
          <w:i w:val="0"/>
          <w:color w:val="000000"/>
          <w:sz w:val="16"/>
        </w:rPr>
        <w:t>90 days after the end of the funding pe-</w:t>
      </w:r>
      <w:r>
        <w:rPr>
          <w:rFonts w:ascii="MIonic" w:hAnsi="MIonic" w:eastAsia="MIonic"/>
          <w:b w:val="0"/>
          <w:i w:val="0"/>
          <w:color w:val="000000"/>
          <w:sz w:val="16"/>
        </w:rPr>
        <w:t>riod (or as specified in a program regu-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lation) to coincide with the submission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of the annual Financial Status Report </w:t>
      </w:r>
      <w:r>
        <w:rPr>
          <w:rFonts w:ascii="MIonic" w:hAnsi="MIonic" w:eastAsia="MIonic"/>
          <w:b w:val="0"/>
          <w:i w:val="0"/>
          <w:color w:val="000000"/>
          <w:sz w:val="16"/>
        </w:rPr>
        <w:t>(SF–269). The Federal agency may ex-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tend this deadline at the request of the </w:t>
      </w:r>
      <w:r>
        <w:rPr>
          <w:rFonts w:ascii="MIonic" w:hAnsi="MIonic" w:eastAsia="MIonic"/>
          <w:b w:val="0"/>
          <w:i w:val="0"/>
          <w:color w:val="000000"/>
          <w:sz w:val="16"/>
        </w:rPr>
        <w:t>grantee.</w:t>
      </w:r>
    </w:p>
    <w:p>
      <w:pPr>
        <w:autoSpaceDN w:val="0"/>
        <w:tabs>
          <w:tab w:pos="2062" w:val="left"/>
        </w:tabs>
        <w:autoSpaceDE w:val="0"/>
        <w:widowControl/>
        <w:spacing w:line="222" w:lineRule="exact" w:before="122" w:after="0"/>
        <w:ind w:left="1200" w:right="0" w:firstLine="0"/>
        <w:jc w:val="left"/>
      </w:pPr>
      <w:r>
        <w:rPr>
          <w:rFonts w:ascii="NewCenturySchlbk" w:hAnsi="NewCenturySchlbk" w:eastAsia="NewCenturySchlbk"/>
          <w:b/>
          <w:i w:val="0"/>
          <w:color w:val="000000"/>
          <w:sz w:val="16"/>
        </w:rPr>
        <w:t xml:space="preserve">§ 1403.24 </w:t>
      </w:r>
      <w:r>
        <w:rPr>
          <w:rFonts w:ascii="NewCenturySchlbk" w:hAnsi="NewCenturySchlbk" w:eastAsia="NewCenturySchlbk"/>
          <w:b/>
          <w:i w:val="0"/>
          <w:color w:val="000000"/>
          <w:sz w:val="16"/>
        </w:rPr>
        <w:t>Matching or cost sharing.</w:t>
      </w:r>
    </w:p>
    <w:p>
      <w:pPr>
        <w:autoSpaceDN w:val="0"/>
        <w:autoSpaceDE w:val="0"/>
        <w:widowControl/>
        <w:spacing w:line="180" w:lineRule="exact" w:before="64" w:after="0"/>
        <w:ind w:left="1200" w:right="120" w:firstLine="160"/>
        <w:jc w:val="both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(a) </w:t>
      </w:r>
      <w:r>
        <w:rPr>
          <w:rFonts w:ascii="MIonic" w:hAnsi="MIonic" w:eastAsia="MIonic"/>
          <w:b w:val="0"/>
          <w:i/>
          <w:color w:val="000000"/>
          <w:sz w:val="16"/>
        </w:rPr>
        <w:t xml:space="preserve">Basic rule: Costs and contributions </w:t>
      </w:r>
      <w:r>
        <w:rPr>
          <w:rFonts w:ascii="MIonic" w:hAnsi="MIonic" w:eastAsia="MIonic"/>
          <w:b w:val="0"/>
          <w:i/>
          <w:color w:val="000000"/>
          <w:sz w:val="16"/>
        </w:rPr>
        <w:t>acceptable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. With the qualifications and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exceptions listed in paragraph (b) of </w:t>
      </w:r>
      <w:r>
        <w:rPr>
          <w:rFonts w:ascii="MIonic" w:hAnsi="MIonic" w:eastAsia="MIonic"/>
          <w:b w:val="0"/>
          <w:i w:val="0"/>
          <w:color w:val="000000"/>
          <w:sz w:val="16"/>
        </w:rPr>
        <w:t>this section, a matching or cost shar-</w:t>
      </w:r>
    </w:p>
    <w:p>
      <w:pPr>
        <w:sectPr>
          <w:type w:val="continuous"/>
          <w:pgSz w:w="12240" w:h="15840"/>
          <w:pgMar w:top="1440" w:right="1440" w:bottom="632" w:left="1440" w:header="720" w:footer="720" w:gutter="0"/>
          <w:cols w:num="2" w:equalWidth="0">
            <w:col w:w="4682" w:space="0"/>
            <w:col w:w="4678" w:space="0"/>
          </w:cols>
          <w:docGrid w:linePitch="360"/>
        </w:sectPr>
      </w:pPr>
    </w:p>
    <w:p>
      <w:pPr>
        <w:autoSpaceDN w:val="0"/>
        <w:tabs>
          <w:tab w:pos="278" w:val="left"/>
        </w:tabs>
        <w:autoSpaceDE w:val="0"/>
        <w:widowControl/>
        <w:spacing w:line="180" w:lineRule="exact" w:before="32" w:after="0"/>
        <w:ind w:left="118" w:right="1152" w:firstLine="0"/>
        <w:jc w:val="left"/>
      </w:pPr>
      <w:r>
        <w:rPr>
          <w:rFonts w:ascii="MIonic" w:hAnsi="MIonic" w:eastAsia="MIonic"/>
          <w:b w:val="0"/>
          <w:i w:val="0"/>
          <w:color w:val="000000"/>
          <w:sz w:val="16"/>
        </w:rPr>
        <w:t>ing requirement may be satisfied by ei-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ther or both of the following: </w:t>
      </w:r>
      <w:r>
        <w:br/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(1) Allowable costs incurred by the </w:t>
      </w:r>
      <w:r>
        <w:rPr>
          <w:rFonts w:ascii="MIonic" w:hAnsi="MIonic" w:eastAsia="MIonic"/>
          <w:b w:val="0"/>
          <w:i w:val="0"/>
          <w:color w:val="000000"/>
          <w:sz w:val="16"/>
        </w:rPr>
        <w:t>grantee, subgrantee or a cost-type con-</w:t>
      </w:r>
      <w:r>
        <w:rPr>
          <w:rFonts w:ascii="MIonic" w:hAnsi="MIonic" w:eastAsia="MIonic"/>
          <w:b w:val="0"/>
          <w:i w:val="0"/>
          <w:color w:val="000000"/>
          <w:sz w:val="16"/>
        </w:rPr>
        <w:t>tractor under the assistance agree-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ment. This includes allowable costs </w:t>
      </w:r>
      <w:r>
        <w:rPr>
          <w:rFonts w:ascii="MIonic" w:hAnsi="MIonic" w:eastAsia="MIonic"/>
          <w:b w:val="0"/>
          <w:i w:val="0"/>
          <w:color w:val="000000"/>
          <w:sz w:val="16"/>
        </w:rPr>
        <w:t>borne by non-Federal grants or by oth-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ers cash donations from non-Federal </w:t>
      </w:r>
      <w:r>
        <w:rPr>
          <w:rFonts w:ascii="MIonic" w:hAnsi="MIonic" w:eastAsia="MIonic"/>
          <w:b w:val="0"/>
          <w:i w:val="0"/>
          <w:color w:val="000000"/>
          <w:sz w:val="16"/>
        </w:rPr>
        <w:t>third parties.</w:t>
      </w:r>
    </w:p>
    <w:p>
      <w:pPr>
        <w:autoSpaceDN w:val="0"/>
        <w:autoSpaceDE w:val="0"/>
        <w:widowControl/>
        <w:spacing w:line="180" w:lineRule="exact" w:before="32" w:after="0"/>
        <w:ind w:left="118" w:right="1200" w:firstLine="160"/>
        <w:jc w:val="both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(2) The value of third party in-kind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contributions applicable to the period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to which the cost sharing or matching </w:t>
      </w:r>
      <w:r>
        <w:rPr>
          <w:rFonts w:ascii="MIonic" w:hAnsi="MIonic" w:eastAsia="MIonic"/>
          <w:b w:val="0"/>
          <w:i w:val="0"/>
          <w:color w:val="000000"/>
          <w:sz w:val="16"/>
        </w:rPr>
        <w:t>requirements applies.</w:t>
      </w:r>
    </w:p>
    <w:p>
      <w:pPr>
        <w:autoSpaceDN w:val="0"/>
        <w:autoSpaceDE w:val="0"/>
        <w:widowControl/>
        <w:spacing w:line="180" w:lineRule="exact" w:before="32" w:after="0"/>
        <w:ind w:left="118" w:right="1198" w:firstLine="160"/>
        <w:jc w:val="both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(b) </w:t>
      </w:r>
      <w:r>
        <w:rPr>
          <w:rFonts w:ascii="MIonic" w:hAnsi="MIonic" w:eastAsia="MIonic"/>
          <w:b w:val="0"/>
          <w:i/>
          <w:color w:val="000000"/>
          <w:sz w:val="16"/>
        </w:rPr>
        <w:t>Qualifications and exceptions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—(1) </w:t>
      </w:r>
      <w:r>
        <w:rPr>
          <w:rFonts w:ascii="MIonic" w:hAnsi="MIonic" w:eastAsia="MIonic"/>
          <w:b w:val="0"/>
          <w:i/>
          <w:color w:val="000000"/>
          <w:sz w:val="16"/>
        </w:rPr>
        <w:t>Costs borne by other Federal grant agree-</w:t>
      </w:r>
      <w:r>
        <w:rPr>
          <w:rFonts w:ascii="MIonic" w:hAnsi="MIonic" w:eastAsia="MIonic"/>
          <w:b w:val="0"/>
          <w:i/>
          <w:color w:val="000000"/>
          <w:sz w:val="16"/>
        </w:rPr>
        <w:t xml:space="preserve">ments.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Except as provided by Federal </w:t>
      </w:r>
      <w:r>
        <w:rPr>
          <w:rFonts w:ascii="MIonic" w:hAnsi="MIonic" w:eastAsia="MIonic"/>
          <w:b w:val="0"/>
          <w:i w:val="0"/>
          <w:color w:val="000000"/>
          <w:sz w:val="16"/>
        </w:rPr>
        <w:t>statute, a cost sharing or matching re-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quirement may not be met by costs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borne by another Federal grant. This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prohibition does not apply to income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earned by a grantee or subgrantee from </w:t>
      </w:r>
      <w:r>
        <w:rPr>
          <w:rFonts w:ascii="MIonic" w:hAnsi="MIonic" w:eastAsia="MIonic"/>
          <w:b w:val="0"/>
          <w:i w:val="0"/>
          <w:color w:val="000000"/>
          <w:sz w:val="16"/>
        </w:rPr>
        <w:t>a contract awarded under another Fed-</w:t>
      </w:r>
      <w:r>
        <w:rPr>
          <w:rFonts w:ascii="MIonic" w:hAnsi="MIonic" w:eastAsia="MIonic"/>
          <w:b w:val="0"/>
          <w:i w:val="0"/>
          <w:color w:val="000000"/>
          <w:sz w:val="16"/>
        </w:rPr>
        <w:t>eral grant.</w:t>
      </w:r>
    </w:p>
    <w:p>
      <w:pPr>
        <w:autoSpaceDN w:val="0"/>
        <w:autoSpaceDE w:val="0"/>
        <w:widowControl/>
        <w:spacing w:line="180" w:lineRule="exact" w:before="32" w:after="0"/>
        <w:ind w:left="118" w:right="1196" w:firstLine="160"/>
        <w:jc w:val="both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(2) </w:t>
      </w:r>
      <w:r>
        <w:rPr>
          <w:rFonts w:ascii="MIonic" w:hAnsi="MIonic" w:eastAsia="MIonic"/>
          <w:b w:val="0"/>
          <w:i/>
          <w:color w:val="000000"/>
          <w:sz w:val="16"/>
        </w:rPr>
        <w:t>General revenue sharing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. For the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purpose of this section, general revenue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sharing funds distributed under 31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U.S.C. 6702 are not considered Federal </w:t>
      </w:r>
      <w:r>
        <w:rPr>
          <w:rFonts w:ascii="MIonic" w:hAnsi="MIonic" w:eastAsia="MIonic"/>
          <w:b w:val="0"/>
          <w:i w:val="0"/>
          <w:color w:val="000000"/>
          <w:sz w:val="16"/>
        </w:rPr>
        <w:t>grant funds.</w:t>
      </w:r>
    </w:p>
    <w:p>
      <w:pPr>
        <w:autoSpaceDN w:val="0"/>
        <w:autoSpaceDE w:val="0"/>
        <w:widowControl/>
        <w:spacing w:line="180" w:lineRule="exact" w:before="32" w:after="0"/>
        <w:ind w:left="118" w:right="1200" w:firstLine="160"/>
        <w:jc w:val="both"/>
      </w:pPr>
      <w:r>
        <w:rPr>
          <w:rFonts w:ascii="MIonic" w:hAnsi="MIonic" w:eastAsia="MIonic"/>
          <w:b w:val="0"/>
          <w:i w:val="0"/>
          <w:color w:val="000000"/>
          <w:sz w:val="16"/>
        </w:rPr>
        <w:t xml:space="preserve">(3) </w:t>
      </w:r>
      <w:r>
        <w:rPr>
          <w:rFonts w:ascii="MIonic" w:hAnsi="MIonic" w:eastAsia="MIonic"/>
          <w:b w:val="0"/>
          <w:i/>
          <w:color w:val="000000"/>
          <w:sz w:val="16"/>
        </w:rPr>
        <w:t>Cost or contributions counted to-</w:t>
      </w:r>
      <w:r>
        <w:rPr>
          <w:rFonts w:ascii="MIonic" w:hAnsi="MIonic" w:eastAsia="MIonic"/>
          <w:b w:val="0"/>
          <w:i/>
          <w:color w:val="000000"/>
          <w:sz w:val="16"/>
        </w:rPr>
        <w:t>wards other Federal cost-sharing require-</w:t>
      </w:r>
      <w:r>
        <w:rPr>
          <w:rFonts w:ascii="MIonic" w:hAnsi="MIonic" w:eastAsia="MIonic"/>
          <w:b w:val="0"/>
          <w:i/>
          <w:color w:val="000000"/>
          <w:sz w:val="16"/>
        </w:rPr>
        <w:t xml:space="preserve">ments.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Neither costs nor the values of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third party in-kind contributions may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count towards satisfying a cost sharing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or matching requirement of a grant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agreement if they have been or will be </w:t>
      </w:r>
      <w:r>
        <w:rPr>
          <w:rFonts w:ascii="MIonic" w:hAnsi="MIonic" w:eastAsia="MIonic"/>
          <w:b w:val="0"/>
          <w:i w:val="0"/>
          <w:color w:val="000000"/>
          <w:sz w:val="16"/>
        </w:rPr>
        <w:t>counted towards satisfying a cost shar-</w:t>
      </w:r>
      <w:r>
        <w:rPr>
          <w:rFonts w:ascii="MIonic" w:hAnsi="MIonic" w:eastAsia="MIonic"/>
          <w:b w:val="0"/>
          <w:i w:val="0"/>
          <w:color w:val="000000"/>
          <w:sz w:val="16"/>
        </w:rPr>
        <w:t>ing or matching requirement of an-</w:t>
      </w:r>
      <w:r>
        <w:rPr>
          <w:rFonts w:ascii="MIonic" w:hAnsi="MIonic" w:eastAsia="MIonic"/>
          <w:b w:val="0"/>
          <w:i w:val="0"/>
          <w:color w:val="000000"/>
          <w:sz w:val="16"/>
        </w:rPr>
        <w:t>other Federal grant agreement, a Fed-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eral procurement contract, or any </w:t>
      </w:r>
      <w:r>
        <w:rPr>
          <w:rFonts w:ascii="MIonic" w:hAnsi="MIonic" w:eastAsia="MIonic"/>
          <w:b w:val="0"/>
          <w:i w:val="0"/>
          <w:color w:val="000000"/>
          <w:sz w:val="16"/>
        </w:rPr>
        <w:t>other award of Federal funds.</w:t>
      </w:r>
    </w:p>
    <w:p>
      <w:pPr>
        <w:autoSpaceDN w:val="0"/>
        <w:tabs>
          <w:tab w:pos="278" w:val="left"/>
        </w:tabs>
        <w:autoSpaceDE w:val="0"/>
        <w:widowControl/>
        <w:spacing w:line="180" w:lineRule="exact" w:before="32" w:after="146"/>
        <w:ind w:left="118" w:right="1152" w:firstLine="0"/>
        <w:jc w:val="left"/>
      </w:pP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(4) </w:t>
      </w:r>
      <w:r>
        <w:rPr>
          <w:rFonts w:ascii="MIonic" w:hAnsi="MIonic" w:eastAsia="MIonic"/>
          <w:b w:val="0"/>
          <w:i/>
          <w:color w:val="000000"/>
          <w:sz w:val="16"/>
        </w:rPr>
        <w:t xml:space="preserve">Costs financed by program income.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Costs financed by program income, as </w:t>
      </w:r>
      <w:r>
        <w:rPr>
          <w:rFonts w:ascii="MIonic" w:hAnsi="MIonic" w:eastAsia="MIonic"/>
          <w:b w:val="0"/>
          <w:i w:val="0"/>
          <w:color w:val="000000"/>
          <w:sz w:val="16"/>
        </w:rPr>
        <w:t>defined in § 1403.25, shall not count to-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wards satisfying a cost sharing or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matching requirement unless they are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expressly permitted in the terms of the </w:t>
      </w:r>
      <w:r>
        <w:rPr>
          <w:rFonts w:ascii="MIonic" w:hAnsi="MIonic" w:eastAsia="MIonic"/>
          <w:b w:val="0"/>
          <w:i w:val="0"/>
          <w:color w:val="000000"/>
          <w:sz w:val="16"/>
        </w:rPr>
        <w:t>assistant agreement. (This use of gen-</w:t>
      </w:r>
      <w:r>
        <w:rPr>
          <w:rFonts w:ascii="MIonic" w:hAnsi="MIonic" w:eastAsia="MIonic"/>
          <w:b w:val="0"/>
          <w:i w:val="0"/>
          <w:color w:val="000000"/>
          <w:sz w:val="16"/>
        </w:rPr>
        <w:t>eral program income is described in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§ 1403.25(g).) </w:t>
      </w:r>
      <w:r>
        <w:br/>
      </w:r>
      <w:r>
        <w:tab/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(5) </w:t>
      </w:r>
      <w:r>
        <w:rPr>
          <w:rFonts w:ascii="MIonic" w:hAnsi="MIonic" w:eastAsia="MIonic"/>
          <w:b w:val="0"/>
          <w:i/>
          <w:color w:val="000000"/>
          <w:sz w:val="16"/>
        </w:rPr>
        <w:t>Services or property financed by in-</w:t>
      </w:r>
      <w:r>
        <w:rPr>
          <w:rFonts w:ascii="MIonic" w:hAnsi="MIonic" w:eastAsia="MIonic"/>
          <w:b w:val="0"/>
          <w:i/>
          <w:color w:val="000000"/>
          <w:sz w:val="16"/>
        </w:rPr>
        <w:t xml:space="preserve">come earned by contractors.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Contractors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under a grant may earn income from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the activities carried out under the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contract in addition to the amounts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earned from the party awarding the </w:t>
      </w:r>
      <w:r>
        <w:rPr>
          <w:rFonts w:ascii="MIonic" w:hAnsi="MIonic" w:eastAsia="MIonic"/>
          <w:b w:val="0"/>
          <w:i w:val="0"/>
          <w:color w:val="000000"/>
          <w:sz w:val="16"/>
        </w:rPr>
        <w:t>contract. No costs of services or prop-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erty supported by this income may </w:t>
      </w:r>
      <w:r>
        <w:rPr>
          <w:rFonts w:ascii="MIonic" w:hAnsi="MIonic" w:eastAsia="MIonic"/>
          <w:b w:val="0"/>
          <w:i w:val="0"/>
          <w:color w:val="000000"/>
          <w:sz w:val="16"/>
        </w:rPr>
        <w:t xml:space="preserve">count toward satisfying cost sharing or </w:t>
      </w:r>
      <w:r>
        <w:rPr>
          <w:rFonts w:ascii="MIonic" w:hAnsi="MIonic" w:eastAsia="MIonic"/>
          <w:b w:val="0"/>
          <w:i w:val="0"/>
          <w:color w:val="000000"/>
          <w:sz w:val="16"/>
        </w:rPr>
        <w:t>matching requirement unless other</w:t>
      </w:r>
    </w:p>
    <w:p>
      <w:pPr>
        <w:sectPr>
          <w:type w:val="nextColumn"/>
          <w:pgSz w:w="12240" w:h="15840"/>
          <w:pgMar w:top="1440" w:right="1440" w:bottom="632" w:left="1440" w:header="720" w:footer="720" w:gutter="0"/>
          <w:cols w:num="2" w:equalWidth="0">
            <w:col w:w="4682" w:space="0"/>
            <w:col w:w="46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MIonic" w:hAnsi="MIonic" w:eastAsia="MIonic"/>
          <w:b w:val="0"/>
          <w:i w:val="0"/>
          <w:color w:val="000000"/>
          <w:sz w:val="20"/>
        </w:rPr>
        <w:t>178</w:t>
      </w:r>
    </w:p>
    <w:sectPr w:rsidR="00FC693F" w:rsidRPr="0006063C" w:rsidSect="00034616">
      <w:type w:val="continuous"/>
      <w:pgSz w:w="12240" w:h="15840"/>
      <w:pgMar w:top="1440" w:right="1440" w:bottom="63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