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right"/>
      </w:pPr>
      <w:r>
        <w:rPr>
          <w:rFonts w:ascii="Courier" w:hAnsi="Courier" w:eastAsia="Courier"/>
          <w:b/>
          <w:i w:val="0"/>
          <w:color w:val="000000"/>
          <w:sz w:val="28"/>
        </w:rPr>
        <w:t xml:space="preserve">August 5, 2013 </w:t>
      </w:r>
    </w:p>
    <w:p>
      <w:pPr>
        <w:autoSpaceDN w:val="0"/>
        <w:autoSpaceDE w:val="0"/>
        <w:widowControl/>
        <w:spacing w:line="240" w:lineRule="auto" w:before="54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0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30" w:val="left"/>
          <w:tab w:pos="8158" w:val="left"/>
        </w:tabs>
        <w:autoSpaceDE w:val="0"/>
        <w:widowControl/>
        <w:spacing w:line="204" w:lineRule="exact" w:before="0" w:after="0"/>
        <w:ind w:left="0" w:right="144" w:firstLine="0"/>
        <w:jc w:val="left"/>
      </w:pP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7F"/>
          <w:sz w:val="12"/>
        </w:rPr>
        <w:t xml:space="preserve">East Building, PHH-30 </w:t>
      </w:r>
      <w:r>
        <w:rPr>
          <w:rFonts w:ascii="Helvetica" w:hAnsi="Helvetica" w:eastAsia="Helvetica"/>
          <w:b w:val="0"/>
          <w:i w:val="0"/>
          <w:color w:val="00007F"/>
          <w:sz w:val="18"/>
        </w:rPr>
        <w:t xml:space="preserve">U.S. Department </w:t>
      </w:r>
      <w:r>
        <w:tab/>
      </w:r>
      <w:r>
        <w:rPr>
          <w:rFonts w:ascii="Helvetica" w:hAnsi="Helvetica" w:eastAsia="Helvetica"/>
          <w:b w:val="0"/>
          <w:i w:val="0"/>
          <w:color w:val="00007F"/>
          <w:sz w:val="12"/>
        </w:rPr>
        <w:t>1200 New Jersey Avenue S.E.</w:t>
      </w:r>
    </w:p>
    <w:p>
      <w:pPr>
        <w:autoSpaceDN w:val="0"/>
        <w:tabs>
          <w:tab w:pos="8004" w:val="left"/>
        </w:tabs>
        <w:autoSpaceDE w:val="0"/>
        <w:widowControl/>
        <w:spacing w:line="180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7F"/>
          <w:sz w:val="18"/>
        </w:rPr>
        <w:t xml:space="preserve">of Transportation </w:t>
      </w:r>
      <w:r>
        <w:tab/>
      </w:r>
      <w:r>
        <w:rPr>
          <w:rFonts w:ascii="Helvetica" w:hAnsi="Helvetica" w:eastAsia="Helvetica"/>
          <w:b w:val="0"/>
          <w:i w:val="0"/>
          <w:color w:val="00007F"/>
          <w:sz w:val="12"/>
        </w:rPr>
        <w:t xml:space="preserve">Washington, D.C.  20590 </w:t>
      </w:r>
    </w:p>
    <w:p>
      <w:pPr>
        <w:autoSpaceDN w:val="0"/>
        <w:autoSpaceDE w:val="0"/>
        <w:widowControl/>
        <w:spacing w:line="200" w:lineRule="exact" w:before="26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323299"/>
          <w:sz w:val="20"/>
        </w:rPr>
        <w:t xml:space="preserve">Pipeline and Hazardous </w:t>
      </w:r>
    </w:p>
    <w:p>
      <w:pPr>
        <w:autoSpaceDN w:val="0"/>
        <w:autoSpaceDE w:val="0"/>
        <w:widowControl/>
        <w:spacing w:line="198" w:lineRule="exact" w:before="3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323299"/>
          <w:sz w:val="20"/>
        </w:rPr>
        <w:t xml:space="preserve">Materials Safety Administration </w:t>
      </w:r>
    </w:p>
    <w:p>
      <w:pPr>
        <w:autoSpaceDN w:val="0"/>
        <w:autoSpaceDE w:val="0"/>
        <w:widowControl/>
        <w:spacing w:line="256" w:lineRule="exact" w:before="228" w:after="0"/>
        <w:ind w:left="3456" w:right="3456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DOT-SP 13544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(FIFTH REVISION) </w:t>
      </w:r>
    </w:p>
    <w:p>
      <w:pPr>
        <w:autoSpaceDN w:val="0"/>
        <w:autoSpaceDE w:val="0"/>
        <w:widowControl/>
        <w:spacing w:line="240" w:lineRule="exact" w:before="274" w:after="214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(FOR RENEWAL, SEE 49 CFR § 107.109)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3"/>
        <w:gridCol w:w="4773"/>
      </w:tblGrid>
      <w:tr>
        <w:trPr>
          <w:trHeight w:hRule="exact" w:val="306"/>
        </w:trPr>
        <w:tc>
          <w:tcPr>
            <w:tcW w:type="dxa" w:w="7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7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GRANTEE: (See individual authorization letter) </w:t>
            </w:r>
          </w:p>
        </w:tc>
      </w:tr>
      <w:tr>
        <w:trPr>
          <w:trHeight w:hRule="exact" w:val="514"/>
        </w:trPr>
        <w:tc>
          <w:tcPr>
            <w:tcW w:type="dxa" w:w="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78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PURPOSE AND LIMITATIONS: </w:t>
            </w:r>
          </w:p>
        </w:tc>
      </w:tr>
      <w:tr>
        <w:trPr>
          <w:trHeight w:hRule="exact" w:val="52"/>
        </w:trPr>
        <w:tc>
          <w:tcPr>
            <w:tcW w:type="dxa" w:w="7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6" w:lineRule="exact" w:before="198" w:after="0"/>
        <w:ind w:left="72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a.  This special permit authorizes the transportation in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commerce of DOT Specification 4BA240 cylinders containing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liquefied petroleum gas (LPG) and/or residue of LPG without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hazard warning labels when transported by a motor vehicle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that is placarded. This special permit provides no relief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from the Hazardous Materials Regulations (HMR) other than as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specifically stated herein. The most recent revision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supersedes all previous revisions. </w:t>
      </w:r>
    </w:p>
    <w:p>
      <w:pPr>
        <w:autoSpaceDN w:val="0"/>
        <w:autoSpaceDE w:val="0"/>
        <w:widowControl/>
        <w:spacing w:line="256" w:lineRule="exact" w:before="258" w:after="0"/>
        <w:ind w:left="72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b.  The safety analyses performed in development of this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special permit only considered the hazards and risks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associated with transportation in commerce.  The safety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analyses did not consider the hazards and risks associated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with consumer use, use as a component of a transport vehicle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or other device, or other uses not associated with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transportation in commerce. </w:t>
      </w:r>
    </w:p>
    <w:p>
      <w:pPr>
        <w:autoSpaceDN w:val="0"/>
        <w:autoSpaceDE w:val="0"/>
        <w:widowControl/>
        <w:spacing w:line="258" w:lineRule="exact" w:before="258" w:after="214"/>
        <w:ind w:left="72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c.   Unless otherwise stated herein, this special permit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consists of the special permit authorization letter issued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to the grantee together with this document.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3"/>
        <w:gridCol w:w="4773"/>
      </w:tblGrid>
      <w:tr>
        <w:trPr>
          <w:trHeight w:hRule="exact" w:val="307"/>
        </w:trPr>
        <w:tc>
          <w:tcPr>
            <w:tcW w:type="dxa" w:w="7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REGULATORY SYSTEM AFFECTED:  49 CFR Parts 106, 107 and 171-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214"/>
        <w:ind w:left="72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180.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3"/>
        <w:gridCol w:w="4773"/>
      </w:tblGrid>
      <w:tr>
        <w:trPr>
          <w:trHeight w:hRule="exact" w:val="308"/>
        </w:trPr>
        <w:tc>
          <w:tcPr>
            <w:tcW w:type="dxa" w:w="7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4. </w:t>
            </w:r>
          </w:p>
        </w:tc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REGULATIONS FROM WHICH EXEMPTED:  49 CFR § 172.301(a) in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72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that the proper shipping name and identification number need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not be marked on each package, § 172.301(c) in that marking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of the special permit number on each package is not required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and § 172.401 in that each cylinder must be labeled, except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as provided herein. </w:t>
      </w:r>
    </w:p>
    <w:p>
      <w:pPr>
        <w:sectPr>
          <w:pgSz w:w="12240" w:h="15840"/>
          <w:pgMar w:top="724" w:right="1254" w:bottom="9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144" w:val="left"/>
          <w:tab w:pos="8632" w:val="left"/>
        </w:tabs>
        <w:autoSpaceDE w:val="0"/>
        <w:widowControl/>
        <w:spacing w:line="284" w:lineRule="exact" w:before="0" w:after="192"/>
        <w:ind w:left="1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Continuation of DOT-SP 13544 (5</w:t>
      </w:r>
      <w:r>
        <w:rPr>
          <w:w w:val="98.9033043384552"/>
          <w:rFonts w:ascii="Courier" w:hAnsi="Courier" w:eastAsia="Courier"/>
          <w:b w:val="0"/>
          <w:i w:val="0"/>
          <w:color w:val="000000"/>
          <w:sz w:val="16"/>
        </w:rPr>
        <w:t>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Rev.)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Page 2 </w:t>
      </w:r>
      <w:r>
        <w:tab/>
      </w:r>
      <w:r>
        <w:rPr>
          <w:rFonts w:ascii="Courier" w:hAnsi="Courier" w:eastAsia="Courier"/>
          <w:b/>
          <w:i w:val="0"/>
          <w:color w:val="000000"/>
          <w:sz w:val="28"/>
        </w:rPr>
        <w:t xml:space="preserve">August 5, 2013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841"/>
        <w:gridCol w:w="4841"/>
      </w:tblGrid>
      <w:tr>
        <w:trPr>
          <w:trHeight w:hRule="exact" w:val="307"/>
        </w:trPr>
        <w:tc>
          <w:tcPr>
            <w:tcW w:type="dxa" w:w="8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5. </w:t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BASIS:  This special permit is based on the application of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214"/>
        <w:ind w:left="856" w:right="576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Carlson Logistics dated March 7, 2013 and additional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information dated July 23, 2013, submitted in accordance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with § 107.105 and the public proceeding thereon.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841"/>
        <w:gridCol w:w="4841"/>
      </w:tblGrid>
      <w:tr>
        <w:trPr>
          <w:trHeight w:hRule="exact" w:val="308"/>
        </w:trPr>
        <w:tc>
          <w:tcPr>
            <w:tcW w:type="dxa" w:w="8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6. </w:t>
            </w:r>
          </w:p>
        </w:tc>
        <w:tc>
          <w:tcPr>
            <w:tcW w:type="dxa" w:w="7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HAZARDOUS MATERIALS (49 CFR § 172.101): </w:t>
            </w:r>
          </w:p>
        </w:tc>
      </w:tr>
      <w:tr>
        <w:trPr>
          <w:trHeight w:hRule="exact" w:val="52"/>
        </w:trPr>
        <w:tc>
          <w:tcPr>
            <w:tcW w:type="dxa" w:w="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8295" w:type="dxa"/>
      </w:tblPr>
      <w:tblGrid>
        <w:gridCol w:w="2420"/>
        <w:gridCol w:w="2420"/>
        <w:gridCol w:w="2420"/>
        <w:gridCol w:w="2420"/>
      </w:tblGrid>
      <w:tr>
        <w:trPr>
          <w:trHeight w:hRule="exact" w:val="528"/>
        </w:trPr>
        <w:tc>
          <w:tcPr>
            <w:tcW w:type="dxa" w:w="9618"/>
            <w:gridSpan w:val="4"/>
            <w:tcBorders>
              <w:start w:sz="5.600000000000023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Hazardous Materials Description</w:t>
            </w:r>
          </w:p>
        </w:tc>
      </w:tr>
      <w:tr>
        <w:trPr>
          <w:trHeight w:hRule="exact" w:val="1076"/>
        </w:trPr>
        <w:tc>
          <w:tcPr>
            <w:tcW w:type="dxa" w:w="409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Proper Shipping Name</w:t>
            </w:r>
          </w:p>
        </w:tc>
        <w:tc>
          <w:tcPr>
            <w:tcW w:type="dxa" w:w="20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6" w:after="0"/>
              <w:ind w:left="288" w:right="418" w:firstLine="0"/>
              <w:jc w:val="right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 xml:space="preserve">Hazard </w:t>
            </w:r>
            <w:r>
              <w:br/>
            </w: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 xml:space="preserve">Class/ </w:t>
            </w:r>
            <w:r>
              <w:br/>
            </w: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Division</w:t>
            </w:r>
          </w:p>
        </w:tc>
        <w:tc>
          <w:tcPr>
            <w:tcW w:type="dxa" w:w="22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  <w:tab w:pos="660" w:val="left"/>
              </w:tabs>
              <w:autoSpaceDE w:val="0"/>
              <w:widowControl/>
              <w:spacing w:line="272" w:lineRule="exact" w:before="106" w:after="0"/>
              <w:ind w:left="516" w:right="288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Identi-</w:t>
            </w:r>
            <w:r>
              <w:br/>
            </w: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 xml:space="preserve">fication </w:t>
            </w:r>
            <w:r>
              <w:tab/>
            </w: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Number</w:t>
            </w:r>
          </w:p>
        </w:tc>
        <w:tc>
          <w:tcPr>
            <w:tcW w:type="dxa" w:w="1320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444" w:lineRule="exact" w:before="0" w:after="0"/>
              <w:ind w:left="148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 xml:space="preserve">Packing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4"/>
              </w:rPr>
              <w:t>Group</w:t>
            </w:r>
          </w:p>
        </w:tc>
      </w:tr>
      <w:tr>
        <w:trPr>
          <w:trHeight w:hRule="exact" w:val="512"/>
        </w:trPr>
        <w:tc>
          <w:tcPr>
            <w:tcW w:type="dxa" w:w="409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98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Liquefied petroleum gas</w:t>
            </w:r>
          </w:p>
        </w:tc>
        <w:tc>
          <w:tcPr>
            <w:tcW w:type="dxa" w:w="20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220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UN1075</w:t>
            </w:r>
          </w:p>
        </w:tc>
        <w:tc>
          <w:tcPr>
            <w:tcW w:type="dxa" w:w="1320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>N/A</w:t>
            </w:r>
          </w:p>
        </w:tc>
      </w:tr>
      <w:tr>
        <w:trPr>
          <w:trHeight w:hRule="exact" w:val="512"/>
        </w:trPr>
        <w:tc>
          <w:tcPr>
            <w:tcW w:type="dxa" w:w="4098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98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Propane </w:t>
            </w:r>
          </w:p>
        </w:tc>
        <w:tc>
          <w:tcPr>
            <w:tcW w:type="dxa" w:w="20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634" w:firstLine="0"/>
              <w:jc w:val="righ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2.1 </w:t>
            </w:r>
          </w:p>
        </w:tc>
        <w:tc>
          <w:tcPr>
            <w:tcW w:type="dxa" w:w="220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516" w:firstLine="0"/>
              <w:jc w:val="righ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UN1978 </w:t>
            </w:r>
          </w:p>
        </w:tc>
        <w:tc>
          <w:tcPr>
            <w:tcW w:type="dxa" w:w="1320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294" w:firstLine="0"/>
              <w:jc w:val="righ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841"/>
        <w:gridCol w:w="4841"/>
      </w:tblGrid>
      <w:tr>
        <w:trPr>
          <w:trHeight w:hRule="exact" w:val="308"/>
        </w:trPr>
        <w:tc>
          <w:tcPr>
            <w:tcW w:type="dxa" w:w="8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7. </w:t>
            </w:r>
          </w:p>
        </w:tc>
        <w:tc>
          <w:tcPr>
            <w:tcW w:type="dxa" w:w="6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SAFETY CONTROL MEASURES: </w:t>
            </w:r>
          </w:p>
        </w:tc>
      </w:tr>
      <w:tr>
        <w:trPr>
          <w:trHeight w:hRule="exact" w:val="52"/>
        </w:trPr>
        <w:tc>
          <w:tcPr>
            <w:tcW w:type="dxa" w:w="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6" w:lineRule="exact" w:before="198" w:after="214"/>
        <w:ind w:left="8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a.   PACKAGING – Prescribed packagings are DOT Specification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4BA240 steel cylinders.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5.99999999999994" w:type="dxa"/>
      </w:tblPr>
      <w:tblGrid>
        <w:gridCol w:w="4841"/>
        <w:gridCol w:w="4841"/>
      </w:tblGrid>
      <w:tr>
        <w:trPr>
          <w:trHeight w:hRule="exact" w:val="308"/>
        </w:trPr>
        <w:tc>
          <w:tcPr>
            <w:tcW w:type="dxa" w:w="11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288" w:firstLine="0"/>
              <w:jc w:val="righ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b. </w:t>
            </w:r>
          </w:p>
        </w:tc>
        <w:tc>
          <w:tcPr>
            <w:tcW w:type="dxa" w:w="5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OPERATIONAL CONTROLS: </w:t>
            </w:r>
          </w:p>
        </w:tc>
      </w:tr>
      <w:tr>
        <w:trPr>
          <w:trHeight w:hRule="exact" w:val="52"/>
        </w:trPr>
        <w:tc>
          <w:tcPr>
            <w:tcW w:type="dxa" w:w="1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8" w:lineRule="exact" w:before="176" w:after="0"/>
        <w:ind w:left="1576" w:right="8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(1)  The cylinders must be transported on a motor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vehicle that is placarded with “FLAMMABLE GAS”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placards. </w:t>
      </w:r>
    </w:p>
    <w:p>
      <w:pPr>
        <w:autoSpaceDN w:val="0"/>
        <w:tabs>
          <w:tab w:pos="1636" w:val="left"/>
        </w:tabs>
        <w:autoSpaceDE w:val="0"/>
        <w:widowControl/>
        <w:spacing w:line="280" w:lineRule="exact" w:before="276" w:after="0"/>
        <w:ind w:left="1576" w:right="43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(2)  Shipping papers must reflect a correct current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accounting of all cylinders both full and expended. </w:t>
      </w:r>
    </w:p>
    <w:p>
      <w:pPr>
        <w:autoSpaceDN w:val="0"/>
        <w:tabs>
          <w:tab w:pos="1636" w:val="left"/>
        </w:tabs>
        <w:autoSpaceDE w:val="0"/>
        <w:widowControl/>
        <w:spacing w:line="278" w:lineRule="exact" w:before="278" w:after="258"/>
        <w:ind w:left="1576" w:right="115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(3) Cylinders must be secured in the vehicle in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accordance with § 177.834(a).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841"/>
        <w:gridCol w:w="4841"/>
      </w:tblGrid>
      <w:tr>
        <w:trPr>
          <w:trHeight w:hRule="exact" w:val="312"/>
        </w:trPr>
        <w:tc>
          <w:tcPr>
            <w:tcW w:type="dxa" w:w="8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8. </w:t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SPECIAL PROVISIONS:  A current copy of this special permit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56"/>
        <w:ind w:left="856" w:right="576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must be maintained at each facility where the package is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offered for transportation.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841"/>
        <w:gridCol w:w="4841"/>
      </w:tblGrid>
      <w:tr>
        <w:trPr>
          <w:trHeight w:hRule="exact" w:val="310"/>
        </w:trPr>
        <w:tc>
          <w:tcPr>
            <w:tcW w:type="dxa" w:w="8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8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9. </w:t>
            </w:r>
          </w:p>
        </w:tc>
        <w:tc>
          <w:tcPr>
            <w:tcW w:type="dxa" w:w="81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MODES OF TRANSPORTATION AUTHORIZED:  Motor vehicle. </w:t>
            </w:r>
          </w:p>
        </w:tc>
      </w:tr>
      <w:tr>
        <w:trPr>
          <w:trHeight w:hRule="exact" w:val="50"/>
        </w:trPr>
        <w:tc>
          <w:tcPr>
            <w:tcW w:type="dxa" w:w="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56" w:val="left"/>
        </w:tabs>
        <w:autoSpaceDE w:val="0"/>
        <w:widowControl/>
        <w:spacing w:line="278" w:lineRule="exact" w:before="220" w:after="0"/>
        <w:ind w:left="136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10. MODAL REQUIREMENTS:   None as a requirement of this special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permit. </w:t>
      </w:r>
    </w:p>
    <w:p>
      <w:pPr>
        <w:sectPr>
          <w:pgSz w:w="12240" w:h="15840"/>
          <w:pgMar w:top="704" w:right="1254" w:bottom="107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008" w:val="left"/>
          <w:tab w:pos="8496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Continuation of DOT-SP 13544 (5</w:t>
      </w:r>
      <w:r>
        <w:rPr>
          <w:w w:val="98.9033043384552"/>
          <w:rFonts w:ascii="Courier" w:hAnsi="Courier" w:eastAsia="Courier"/>
          <w:b w:val="0"/>
          <w:i w:val="0"/>
          <w:color w:val="000000"/>
          <w:sz w:val="16"/>
        </w:rPr>
        <w:t>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Rev.)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Page 3 </w:t>
      </w:r>
      <w:r>
        <w:tab/>
      </w:r>
      <w:r>
        <w:rPr>
          <w:rFonts w:ascii="Courier" w:hAnsi="Courier" w:eastAsia="Courier"/>
          <w:b/>
          <w:i w:val="0"/>
          <w:color w:val="000000"/>
          <w:sz w:val="28"/>
        </w:rPr>
        <w:t xml:space="preserve">August 5, 2013 </w:t>
      </w:r>
    </w:p>
    <w:p>
      <w:pPr>
        <w:autoSpaceDN w:val="0"/>
        <w:autoSpaceDE w:val="0"/>
        <w:widowControl/>
        <w:spacing w:line="256" w:lineRule="exact" w:before="1092" w:after="4"/>
        <w:ind w:left="720" w:right="288" w:hanging="72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11. COMPLIANCE:  Failure by a person to comply with any of the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following may result in suspension or revocation of this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special permit and penalties prescribed by the Federal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hazardous materials transportation law, 49 U.S.C. 5101 et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seq: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773"/>
        <w:gridCol w:w="4773"/>
      </w:tblGrid>
      <w:tr>
        <w:trPr>
          <w:trHeight w:hRule="exact" w:val="514"/>
        </w:trPr>
        <w:tc>
          <w:tcPr>
            <w:tcW w:type="dxa" w:w="43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o </w:t>
            </w:r>
          </w:p>
        </w:tc>
        <w:tc>
          <w:tcPr>
            <w:tcW w:type="dxa" w:w="80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All terms and conditions prescribed in this special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144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permit and the Hazardous Materials Regulations, Parts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171-180. </w:t>
      </w:r>
    </w:p>
    <w:p>
      <w:pPr>
        <w:autoSpaceDN w:val="0"/>
        <w:tabs>
          <w:tab w:pos="1440" w:val="left"/>
        </w:tabs>
        <w:autoSpaceDE w:val="0"/>
        <w:widowControl/>
        <w:spacing w:line="256" w:lineRule="exact" w:before="256" w:after="214"/>
        <w:ind w:left="72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Persons operating under the terms of this special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permit must comply with the security plan requirement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in Subpart I of Part 172 of the HMR, when applicable.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773"/>
        <w:gridCol w:w="4773"/>
      </w:tblGrid>
      <w:tr>
        <w:trPr>
          <w:trHeight w:hRule="exact" w:val="307"/>
        </w:trPr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212" w:firstLine="0"/>
              <w:jc w:val="righ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o 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2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4"/>
              </w:rPr>
              <w:t xml:space="preserve">Registration required by § 107.601 et seq., when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44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applicable. </w:t>
      </w:r>
    </w:p>
    <w:p>
      <w:pPr>
        <w:autoSpaceDN w:val="0"/>
        <w:autoSpaceDE w:val="0"/>
        <w:widowControl/>
        <w:spacing w:line="256" w:lineRule="exact" w:before="258" w:after="0"/>
        <w:ind w:left="720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Each “Hazmat employee”, as defined in § 171.8, who performs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 function subject to this special permit must receive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training on the requirements and conditions of this special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permit in addition to the training required by §§ 172.700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through 172.704. </w:t>
      </w:r>
    </w:p>
    <w:p>
      <w:pPr>
        <w:autoSpaceDN w:val="0"/>
        <w:autoSpaceDE w:val="0"/>
        <w:widowControl/>
        <w:spacing w:line="256" w:lineRule="exact" w:before="258" w:after="0"/>
        <w:ind w:left="72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No person may use or apply this special permit, including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display of its number, when the special permit has expired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or is otherwise no longer in effect. </w:t>
      </w:r>
    </w:p>
    <w:p>
      <w:pPr>
        <w:autoSpaceDN w:val="0"/>
        <w:autoSpaceDE w:val="0"/>
        <w:widowControl/>
        <w:spacing w:line="256" w:lineRule="exact" w:before="258" w:after="0"/>
        <w:ind w:left="720" w:right="288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Under Title VII of the Safe, Accountable, Flexible,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Efficient Transportation Equity Act: A Legacy for Users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(SAFETEA-LU)- 'The Hazardous Materials Safety and Security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Reauthorization Act of 2005' (Pub. L. 109-59), 119 Stat. </w:t>
      </w:r>
    </w:p>
    <w:p>
      <w:pPr>
        <w:autoSpaceDN w:val="0"/>
        <w:autoSpaceDE w:val="0"/>
        <w:widowControl/>
        <w:spacing w:line="256" w:lineRule="exact" w:before="0" w:after="0"/>
        <w:ind w:left="72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1144 (August 10, 2005), amended the Federal hazardous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materials transportation law by changing the term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“exemption” to “special permit” and authorizes a special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permit to be granted up to two years for new special permits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and up to four years for renewals. </w:t>
      </w:r>
    </w:p>
    <w:p>
      <w:pPr>
        <w:sectPr>
          <w:pgSz w:w="12240" w:h="15840"/>
          <w:pgMar w:top="704" w:right="125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008" w:val="left"/>
          <w:tab w:pos="8496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Continuation of DOT-SP 13544 (5</w:t>
      </w:r>
      <w:r>
        <w:rPr>
          <w:w w:val="98.9033043384552"/>
          <w:rFonts w:ascii="Courier" w:hAnsi="Courier" w:eastAsia="Courier"/>
          <w:b w:val="0"/>
          <w:i w:val="0"/>
          <w:color w:val="000000"/>
          <w:sz w:val="16"/>
        </w:rPr>
        <w:t>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Rev.)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Page 4 </w:t>
      </w:r>
      <w:r>
        <w:tab/>
      </w:r>
      <w:r>
        <w:rPr>
          <w:rFonts w:ascii="Courier" w:hAnsi="Courier" w:eastAsia="Courier"/>
          <w:b/>
          <w:i w:val="0"/>
          <w:color w:val="000000"/>
          <w:sz w:val="28"/>
        </w:rPr>
        <w:t xml:space="preserve">August 5, 2013 </w:t>
      </w:r>
    </w:p>
    <w:p>
      <w:pPr>
        <w:autoSpaceDN w:val="0"/>
        <w:autoSpaceDE w:val="0"/>
        <w:widowControl/>
        <w:spacing w:line="256" w:lineRule="exact" w:before="236" w:after="0"/>
        <w:ind w:left="720" w:right="144" w:hanging="72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12. REPORTING REQUIREMENTS:  Shipments or operations conducted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under this special permit are subject to the Hazardous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Materials Incident Reporting requirements specified in 49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CFR §§ 171.15 - Immediate notice of certain hazardous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materials incidents, and 171.16 - Detailed hazardous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materials incident reports.  In addition, the grantee(s) of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this special permit must notify the Associate Administrator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for Hazardous Materials Safety in writing, of any incident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involving a package, shipment or operation conducted under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terms of this special permit. </w:t>
      </w:r>
    </w:p>
    <w:p>
      <w:pPr>
        <w:autoSpaceDN w:val="0"/>
        <w:autoSpaceDE w:val="0"/>
        <w:widowControl/>
        <w:spacing w:line="240" w:lineRule="exact" w:before="27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Issued in Washington, D.C. </w:t>
      </w:r>
    </w:p>
    <w:p>
      <w:pPr>
        <w:autoSpaceDN w:val="0"/>
        <w:autoSpaceDE w:val="0"/>
        <w:widowControl/>
        <w:spacing w:line="240" w:lineRule="auto" w:before="3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04390" cy="63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63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6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for Dr. Magdy El-Sibaie </w:t>
      </w:r>
    </w:p>
    <w:p>
      <w:pPr>
        <w:autoSpaceDN w:val="0"/>
        <w:autoSpaceDE w:val="0"/>
        <w:widowControl/>
        <w:spacing w:line="240" w:lineRule="exact" w:before="38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Associate Administrator for Hazardous Materials Safety </w:t>
      </w:r>
    </w:p>
    <w:p>
      <w:pPr>
        <w:autoSpaceDN w:val="0"/>
        <w:autoSpaceDE w:val="0"/>
        <w:widowControl/>
        <w:spacing w:line="256" w:lineRule="exact" w:before="258" w:after="0"/>
        <w:ind w:left="0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Address all inquiries to:  Associate Administrator for Hazardous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Materials Safety, Pipeline and Hazardous Materials Safety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Administration, Department of Transportation, Washington, D.C.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20590. Attention:  PHH-31. </w:t>
      </w:r>
    </w:p>
    <w:p>
      <w:pPr>
        <w:autoSpaceDN w:val="0"/>
        <w:autoSpaceDE w:val="0"/>
        <w:widowControl/>
        <w:spacing w:line="256" w:lineRule="exact" w:before="258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Copies of this special permit may be obtained by accessing the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Hazardous Materials Safety Homepage at </w:t>
      </w:r>
      <w:r>
        <w:br/>
      </w:r>
      <w:r>
        <w:rPr>
          <w:rFonts w:ascii="Courier" w:hAnsi="Courier" w:eastAsia="Courier"/>
          <w:b w:val="0"/>
          <w:i w:val="0"/>
          <w:color w:val="0000FF"/>
          <w:sz w:val="24"/>
        </w:rPr>
        <w:t xml:space="preserve">http://hazmat.dot.gov/sp_app/special_permits/spec_perm_index.htm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Photo reproductions and legible reductions of this special permit 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are permitted.  Any alteration of this special permit is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prohibited. </w:t>
      </w:r>
    </w:p>
    <w:p>
      <w:pPr>
        <w:autoSpaceDN w:val="0"/>
        <w:autoSpaceDE w:val="0"/>
        <w:widowControl/>
        <w:spacing w:line="240" w:lineRule="exact" w:before="27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PO: bmoore </w:t>
      </w:r>
    </w:p>
    <w:sectPr w:rsidR="00FC693F" w:rsidRPr="0006063C" w:rsidSect="00034616">
      <w:pgSz w:w="12240" w:h="15840"/>
      <w:pgMar w:top="704" w:right="125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