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- Sarah Mitchell</w:t>
      </w:r>
    </w:p>
    <w:p>
      <w:r>
        <w:t>Visit 1 - 2026-05-04</w:t>
      </w:r>
    </w:p>
    <w:p>
      <w:r>
        <w:t>Chief complaint: disturbance of memory, temper problems, excessive anger.</w:t>
      </w:r>
    </w:p>
    <w:p>
      <w:r>
        <w:t>Notes: Symptoms discussed, advised to monitor and return if they persist or worsen.</w:t>
      </w:r>
    </w:p>
    <w:p>
      <w:r>
        <w:t>Visit 2 - 2026-06-18</w:t>
      </w:r>
    </w:p>
    <w:p>
      <w:r>
        <w:t>Chief complaint: excessive anger, abusing alcohol, depression, anxiety and nervousness, depressive or psychotic symptoms, temper problems.</w:t>
      </w:r>
    </w:p>
    <w:p>
      <w:r>
        <w:t>Diagnosis: Depression.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