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color w:val="444444"/>
          <w:sz w:val="24"/>
        </w:rPr>
        <w:t>DEPARTMENT OF COMPUTER SCIENCE &amp; ENGINEERING</w:t>
      </w:r>
    </w:p>
    <w:p>
      <w:pPr>
        <w:jc w:val="center"/>
      </w:pPr>
      <w:r>
        <w:rPr>
          <w:rFonts w:ascii="Times New Roman" w:hAnsi="Times New Roman"/>
          <w:b/>
          <w:color w:val="444444"/>
          <w:sz w:val="24"/>
        </w:rPr>
        <w:t>UTTARA UNIVERSITY</w:t>
      </w:r>
    </w:p>
    <w:p/>
    <w:p/>
    <w:p>
      <w:pPr>
        <w:jc w:val="center"/>
      </w:pPr>
      <w:r>
        <w:rPr>
          <w:rFonts w:ascii="Times New Roman" w:hAnsi="Times New Roman"/>
          <w:b/>
          <w:color w:val="1B2A4A"/>
          <w:sz w:val="52"/>
        </w:rPr>
        <w:t>Smart Courier and Parcel Management System</w:t>
      </w:r>
    </w:p>
    <w:p>
      <w:pPr>
        <w:jc w:val="center"/>
      </w:pPr>
      <w:r>
        <w:rPr>
          <w:rFonts w:ascii="Times New Roman" w:hAnsi="Times New Roman"/>
          <w:i/>
          <w:color w:val="444444"/>
          <w:sz w:val="26"/>
        </w:rPr>
        <w:t>Design and Implementation of a Real-Time Parcel Tracking Platform</w:t>
      </w:r>
    </w:p>
    <w:p/>
    <w:p>
      <w:pPr>
        <w:jc w:val="center"/>
      </w:pPr>
      <w:r>
        <w:rPr>
          <w:rFonts w:ascii="Times New Roman" w:hAnsi="Times New Roman"/>
          <w:b/>
          <w:sz w:val="28"/>
        </w:rPr>
        <w:t>THESIS PROGRESS REPORT</w:t>
      </w:r>
    </w:p>
    <w:p/>
    <w:p/>
    <w:p>
      <w:pPr>
        <w:jc w:val="center"/>
      </w:pPr>
      <w:r>
        <w:rPr>
          <w:rFonts w:ascii="Times New Roman" w:hAnsi="Times New Roman"/>
          <w:b/>
          <w:sz w:val="22"/>
        </w:rPr>
        <w:t xml:space="preserve">Presented by:  </w:t>
      </w:r>
      <w:r>
        <w:rPr>
          <w:rFonts w:ascii="Times New Roman" w:hAnsi="Times New Roman"/>
          <w:sz w:val="22"/>
        </w:rPr>
        <w:t>Sharmin Khatun (ID: 2223081010)</w:t>
      </w:r>
    </w:p>
    <w:p>
      <w:pPr>
        <w:jc w:val="center"/>
      </w:pPr>
      <w:r>
        <w:rPr>
          <w:rFonts w:ascii="Times New Roman" w:hAnsi="Times New Roman"/>
          <w:sz w:val="22"/>
        </w:rPr>
        <w:t>Tasnim Jahan Mim (ID: 2221081138)</w:t>
      </w:r>
    </w:p>
    <w:p>
      <w:pPr>
        <w:jc w:val="center"/>
      </w:pPr>
      <w:r>
        <w:rPr>
          <w:rFonts w:ascii="Times New Roman" w:hAnsi="Times New Roman"/>
          <w:b/>
          <w:sz w:val="22"/>
        </w:rPr>
        <w:t xml:space="preserve">Programme:  </w:t>
      </w:r>
      <w:r>
        <w:rPr>
          <w:rFonts w:ascii="Times New Roman" w:hAnsi="Times New Roman"/>
          <w:sz w:val="22"/>
        </w:rPr>
        <w:t>B.Sc. in Computer Science &amp; Engineering</w:t>
      </w:r>
    </w:p>
    <w:p>
      <w:pPr>
        <w:jc w:val="center"/>
      </w:pPr>
      <w:r>
        <w:rPr>
          <w:rFonts w:ascii="Times New Roman" w:hAnsi="Times New Roman"/>
          <w:b/>
          <w:sz w:val="22"/>
        </w:rPr>
        <w:t xml:space="preserve">Supervised by:  </w:t>
      </w:r>
      <w:r>
        <w:rPr>
          <w:rFonts w:ascii="Times New Roman" w:hAnsi="Times New Roman"/>
          <w:sz w:val="22"/>
        </w:rPr>
        <w:t>Dr. Md. Obaidur Rahaman, Professor, Dept. of CSE</w:t>
      </w:r>
    </w:p>
    <w:p>
      <w:pPr>
        <w:jc w:val="center"/>
      </w:pPr>
      <w:r>
        <w:rPr>
          <w:rFonts w:ascii="Times New Roman" w:hAnsi="Times New Roman"/>
          <w:b/>
          <w:sz w:val="22"/>
        </w:rPr>
        <w:t xml:space="preserve">Defense Date:  </w:t>
      </w:r>
      <w:r>
        <w:rPr>
          <w:rFonts w:ascii="Times New Roman" w:hAnsi="Times New Roman"/>
          <w:sz w:val="22"/>
        </w:rPr>
        <w:t>21 July 2026</w:t>
      </w:r>
    </w:p>
    <w:p>
      <w:r>
        <w:br w:type="page"/>
      </w:r>
    </w:p>
    <w:p>
      <w:pPr>
        <w:pStyle w:val="Heading1"/>
        <w:spacing w:before="320" w:after="120"/>
      </w:pPr>
      <w:r>
        <w:rPr>
          <w:rFonts w:ascii="Times New Roman" w:hAnsi="Times New Roman"/>
          <w:b/>
          <w:color w:val="1B2A4A"/>
          <w:sz w:val="30"/>
        </w:rPr>
        <w:t>1. Purpose of This Report</w:t>
      </w:r>
    </w:p>
    <w:p>
      <w:pPr>
        <w:spacing w:after="160" w:line="276" w:lineRule="auto"/>
      </w:pPr>
      <w:r>
        <w:rPr>
          <w:rFonts w:ascii="Times New Roman" w:hAnsi="Times New Roman"/>
          <w:b w:val="0"/>
          <w:i w:val="0"/>
          <w:sz w:val="22"/>
        </w:rPr>
        <w:t>This report summarizes the current progress of the Smart Courier and Parcel Management System (SCPMS) thesis project ahead of the defense presentation. It consolidates the status of completed work, positions the system against comparable courier tracking approaches, and presents the development timeline followed from project initiation to the defense date. The report is intended to be read alongside the accompanying defense presentation, with which it shares a common structure, date, and set of figures.</w:t>
      </w:r>
    </w:p>
    <w:p>
      <w:pPr>
        <w:pStyle w:val="Heading1"/>
        <w:spacing w:before="320" w:after="120"/>
      </w:pPr>
      <w:r>
        <w:rPr>
          <w:rFonts w:ascii="Times New Roman" w:hAnsi="Times New Roman"/>
          <w:b/>
          <w:color w:val="1B2A4A"/>
          <w:sz w:val="30"/>
        </w:rPr>
        <w:t>2. Project Overview</w:t>
      </w:r>
    </w:p>
    <w:p>
      <w:pPr>
        <w:spacing w:after="160" w:line="276" w:lineRule="auto"/>
      </w:pPr>
      <w:r>
        <w:rPr>
          <w:rFonts w:ascii="Times New Roman" w:hAnsi="Times New Roman"/>
          <w:b w:val="0"/>
          <w:i w:val="0"/>
          <w:sz w:val="22"/>
        </w:rPr>
        <w:t>Courier and last-mile parcel delivery operations increasingly depend on digital coordination between customers, delivery agents, and administrators, yet many real-world workflows remain only partially digitized, relying on static status pages, manual phone-based coordination, or disconnected record-keeping. This fragmentation produces delayed status updates, weak parcel visibility, limited operational insight, and poor accountability when deliveries fail or are delayed.</w:t>
      </w:r>
    </w:p>
    <w:p>
      <w:pPr>
        <w:spacing w:after="160" w:line="276" w:lineRule="auto"/>
      </w:pPr>
      <w:r>
        <w:rPr>
          <w:rFonts w:ascii="Times New Roman" w:hAnsi="Times New Roman"/>
          <w:b w:val="0"/>
          <w:i w:val="0"/>
          <w:sz w:val="22"/>
        </w:rPr>
        <w:t>SCPMS is a full-stack web platform, built on the MongoDB, Express, React, and Node.js (MERN) stack, that addresses these limitations through a role-based, real-time architecture. Three account roles — Customer, Delivery Agent, and Administrator — operate on a shared parcel dataset governed by token-based authentication and a formally enforced six-state delivery lifecycle: Pending, Assigned, Picked Up, In Transit, Delivered, and Failed.</w:t>
      </w:r>
    </w:p>
    <w:p>
      <w:pPr>
        <w:pStyle w:val="Heading1"/>
        <w:spacing w:before="320" w:after="120"/>
      </w:pPr>
      <w:r>
        <w:rPr>
          <w:rFonts w:ascii="Times New Roman" w:hAnsi="Times New Roman"/>
          <w:b/>
          <w:color w:val="1B2A4A"/>
          <w:sz w:val="30"/>
        </w:rPr>
        <w:t>3. Progress Summary</w:t>
      </w:r>
    </w:p>
    <w:p>
      <w:pPr>
        <w:spacing w:after="160" w:line="276" w:lineRule="auto"/>
      </w:pPr>
      <w:r>
        <w:rPr>
          <w:rFonts w:ascii="Times New Roman" w:hAnsi="Times New Roman"/>
          <w:b w:val="0"/>
          <w:i w:val="0"/>
          <w:sz w:val="22"/>
        </w:rPr>
        <w:t>The four core modules that establish the system's operational foundation — authentication, parcel lifecycle management, real-time tracking, and QR-assisted delivery verification — are complete and independently tested. The remaining objective areas are planned and scoped, with implementation to follow in the next stage of the project. The table below summarizes progress against each objective area.</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B2A4A"/>
          </w:tcPr>
          <w:p>
            <w:pPr>
              <w:jc w:val="left"/>
            </w:pPr>
            <w:r>
              <w:rPr>
                <w:b/>
                <w:color w:val="FFFFFF"/>
                <w:sz w:val="21"/>
              </w:rPr>
              <w:t>Objective Area</w:t>
            </w:r>
          </w:p>
        </w:tc>
        <w:tc>
          <w:tcPr>
            <w:tcW w:type="dxa" w:w="1296"/>
            <w:shd w:val="clear" w:color="auto" w:fill="1B2A4A"/>
          </w:tcPr>
          <w:p>
            <w:pPr>
              <w:jc w:val="left"/>
            </w:pPr>
            <w:r>
              <w:rPr>
                <w:b/>
                <w:color w:val="FFFFFF"/>
                <w:sz w:val="21"/>
              </w:rPr>
              <w:t>Status</w:t>
            </w:r>
          </w:p>
        </w:tc>
        <w:tc>
          <w:tcPr>
            <w:tcW w:type="dxa" w:w="4896"/>
            <w:shd w:val="clear" w:color="auto" w:fill="1B2A4A"/>
          </w:tcPr>
          <w:p>
            <w:pPr>
              <w:jc w:val="left"/>
            </w:pPr>
            <w:r>
              <w:rPr>
                <w:b/>
                <w:color w:val="FFFFFF"/>
                <w:sz w:val="21"/>
              </w:rPr>
              <w:t>Summary</w:t>
            </w:r>
          </w:p>
        </w:tc>
      </w:tr>
      <w:tr>
        <w:tc>
          <w:tcPr>
            <w:tcW w:type="dxa" w:w="2448"/>
          </w:tcPr>
          <w:p>
            <w:r>
              <w:rPr>
                <w:sz w:val="20"/>
              </w:rPr>
              <w:t>Authentication &amp; Role-Based Access</w:t>
            </w:r>
          </w:p>
        </w:tc>
        <w:tc>
          <w:tcPr>
            <w:tcW w:type="dxa" w:w="1296"/>
          </w:tcPr>
          <w:p>
            <w:r>
              <w:rPr>
                <w:sz w:val="20"/>
              </w:rPr>
              <w:t>Complete</w:t>
            </w:r>
          </w:p>
        </w:tc>
        <w:tc>
          <w:tcPr>
            <w:tcW w:type="dxa" w:w="4896"/>
          </w:tcPr>
          <w:p>
            <w:r>
              <w:rPr>
                <w:sz w:val="20"/>
              </w:rPr>
              <w:t>Token-based session issuance; role-scoped route and resource authorization for Customer, Agent, and Administrator.</w:t>
            </w:r>
          </w:p>
        </w:tc>
      </w:tr>
      <w:tr>
        <w:tc>
          <w:tcPr>
            <w:tcW w:type="dxa" w:w="2448"/>
          </w:tcPr>
          <w:p>
            <w:r>
              <w:rPr>
                <w:sz w:val="20"/>
              </w:rPr>
              <w:t>Parcel Booking &amp; Lifecycle</w:t>
            </w:r>
          </w:p>
        </w:tc>
        <w:tc>
          <w:tcPr>
            <w:tcW w:type="dxa" w:w="1296"/>
          </w:tcPr>
          <w:p>
            <w:r>
              <w:rPr>
                <w:sz w:val="20"/>
              </w:rPr>
              <w:t>Complete</w:t>
            </w:r>
          </w:p>
        </w:tc>
        <w:tc>
          <w:tcPr>
            <w:tcW w:type="dxa" w:w="4896"/>
          </w:tcPr>
          <w:p>
            <w:r>
              <w:rPr>
                <w:sz w:val="20"/>
              </w:rPr>
              <w:t>Six-state lifecycle (Pending to Delivered/Failed) enforced at the application layer with role-restricted transitions.</w:t>
            </w:r>
          </w:p>
        </w:tc>
      </w:tr>
      <w:tr>
        <w:tc>
          <w:tcPr>
            <w:tcW w:type="dxa" w:w="2448"/>
          </w:tcPr>
          <w:p>
            <w:r>
              <w:rPr>
                <w:sz w:val="20"/>
              </w:rPr>
              <w:t>Real-Time Tracking</w:t>
            </w:r>
          </w:p>
        </w:tc>
        <w:tc>
          <w:tcPr>
            <w:tcW w:type="dxa" w:w="1296"/>
          </w:tcPr>
          <w:p>
            <w:r>
              <w:rPr>
                <w:sz w:val="20"/>
              </w:rPr>
              <w:t>Complete</w:t>
            </w:r>
          </w:p>
        </w:tc>
        <w:tc>
          <w:tcPr>
            <w:tcW w:type="dxa" w:w="4896"/>
          </w:tcPr>
          <w:p>
            <w:r>
              <w:rPr>
                <w:sz w:val="20"/>
              </w:rPr>
              <w:t>Live agent location broadcast and status propagation to subscribed clients; public tracking view on a live map.</w:t>
            </w:r>
          </w:p>
        </w:tc>
      </w:tr>
      <w:tr>
        <w:tc>
          <w:tcPr>
            <w:tcW w:type="dxa" w:w="2448"/>
          </w:tcPr>
          <w:p>
            <w:r>
              <w:rPr>
                <w:sz w:val="20"/>
              </w:rPr>
              <w:t>QR-Assisted Delivery Verification</w:t>
            </w:r>
          </w:p>
        </w:tc>
        <w:tc>
          <w:tcPr>
            <w:tcW w:type="dxa" w:w="1296"/>
          </w:tcPr>
          <w:p>
            <w:r>
              <w:rPr>
                <w:sz w:val="20"/>
              </w:rPr>
              <w:t>Complete</w:t>
            </w:r>
          </w:p>
        </w:tc>
        <w:tc>
          <w:tcPr>
            <w:tcW w:type="dxa" w:w="4896"/>
          </w:tcPr>
          <w:p>
            <w:r>
              <w:rPr>
                <w:sz w:val="20"/>
              </w:rPr>
              <w:t>Scan-matched confirmation required at pickup and delivery checkpoints before a status transition is permitted.</w:t>
            </w:r>
          </w:p>
        </w:tc>
      </w:tr>
      <w:tr>
        <w:tc>
          <w:tcPr>
            <w:tcW w:type="dxa" w:w="2448"/>
          </w:tcPr>
          <w:p>
            <w:r>
              <w:rPr>
                <w:sz w:val="20"/>
              </w:rPr>
              <w:t>Notifications</w:t>
            </w:r>
          </w:p>
        </w:tc>
        <w:tc>
          <w:tcPr>
            <w:tcW w:type="dxa" w:w="1296"/>
          </w:tcPr>
          <w:p>
            <w:r>
              <w:rPr>
                <w:sz w:val="20"/>
              </w:rPr>
              <w:t>Pending</w:t>
            </w:r>
          </w:p>
        </w:tc>
        <w:tc>
          <w:tcPr>
            <w:tcW w:type="dxa" w:w="4896"/>
          </w:tcPr>
          <w:p>
            <w:r>
              <w:rPr>
                <w:sz w:val="20"/>
              </w:rPr>
              <w:t>Automated customer notification on status change; design finalized, implementation scheduled.</w:t>
            </w:r>
          </w:p>
        </w:tc>
      </w:tr>
      <w:tr>
        <w:tc>
          <w:tcPr>
            <w:tcW w:type="dxa" w:w="2448"/>
          </w:tcPr>
          <w:p>
            <w:r>
              <w:rPr>
                <w:sz w:val="20"/>
              </w:rPr>
              <w:t>Analytics &amp; Reporting</w:t>
            </w:r>
          </w:p>
        </w:tc>
        <w:tc>
          <w:tcPr>
            <w:tcW w:type="dxa" w:w="1296"/>
          </w:tcPr>
          <w:p>
            <w:r>
              <w:rPr>
                <w:sz w:val="20"/>
              </w:rPr>
              <w:t>Pending</w:t>
            </w:r>
          </w:p>
        </w:tc>
        <w:tc>
          <w:tcPr>
            <w:tcW w:type="dxa" w:w="4896"/>
          </w:tcPr>
          <w:p>
            <w:r>
              <w:rPr>
                <w:sz w:val="20"/>
              </w:rPr>
              <w:t>Administrative dashboard with exportable CSV and PDF operational reports; not yet implemented.</w:t>
            </w:r>
          </w:p>
        </w:tc>
      </w:tr>
      <w:tr>
        <w:tc>
          <w:tcPr>
            <w:tcW w:type="dxa" w:w="2448"/>
          </w:tcPr>
          <w:p>
            <w:r>
              <w:rPr>
                <w:sz w:val="20"/>
              </w:rPr>
              <w:t>Bilingual Interface</w:t>
            </w:r>
          </w:p>
        </w:tc>
        <w:tc>
          <w:tcPr>
            <w:tcW w:type="dxa" w:w="1296"/>
          </w:tcPr>
          <w:p>
            <w:r>
              <w:rPr>
                <w:sz w:val="20"/>
              </w:rPr>
              <w:t>Pending</w:t>
            </w:r>
          </w:p>
        </w:tc>
        <w:tc>
          <w:tcPr>
            <w:tcW w:type="dxa" w:w="4896"/>
          </w:tcPr>
          <w:p>
            <w:r>
              <w:rPr>
                <w:sz w:val="20"/>
              </w:rPr>
              <w:t>English and Bengali interface for the regional deployment context; not yet implemented.</w:t>
            </w:r>
          </w:p>
        </w:tc>
      </w:tr>
      <w:tr>
        <w:tc>
          <w:tcPr>
            <w:tcW w:type="dxa" w:w="2448"/>
          </w:tcPr>
          <w:p>
            <w:r>
              <w:rPr>
                <w:sz w:val="20"/>
              </w:rPr>
              <w:t>Functional &amp; Integration Testing</w:t>
            </w:r>
          </w:p>
        </w:tc>
        <w:tc>
          <w:tcPr>
            <w:tcW w:type="dxa" w:w="1296"/>
          </w:tcPr>
          <w:p>
            <w:r>
              <w:rPr>
                <w:sz w:val="20"/>
              </w:rPr>
              <w:t>Pending</w:t>
            </w:r>
          </w:p>
        </w:tc>
        <w:tc>
          <w:tcPr>
            <w:tcW w:type="dxa" w:w="4896"/>
          </w:tcPr>
          <w:p>
            <w:r>
              <w:rPr>
                <w:sz w:val="20"/>
              </w:rPr>
              <w:t>Cross-role workflow verification across all core modules; to follow completion of remaining modules.</w:t>
            </w:r>
          </w:p>
        </w:tc>
      </w:tr>
      <w:tr>
        <w:tc>
          <w:tcPr>
            <w:tcW w:type="dxa" w:w="2448"/>
          </w:tcPr>
          <w:p>
            <w:r>
              <w:rPr>
                <w:sz w:val="20"/>
              </w:rPr>
              <w:t>Performance Evaluation</w:t>
            </w:r>
          </w:p>
        </w:tc>
        <w:tc>
          <w:tcPr>
            <w:tcW w:type="dxa" w:w="1296"/>
          </w:tcPr>
          <w:p>
            <w:r>
              <w:rPr>
                <w:sz w:val="20"/>
              </w:rPr>
              <w:t>Pending</w:t>
            </w:r>
          </w:p>
        </w:tc>
        <w:tc>
          <w:tcPr>
            <w:tcW w:type="dxa" w:w="4896"/>
          </w:tcPr>
          <w:p>
            <w:r>
              <w:rPr>
                <w:sz w:val="20"/>
              </w:rPr>
              <w:t>Response time, propagation latency, and success-rate measurement; to be captured once testing begins.</w:t>
            </w:r>
          </w:p>
        </w:tc>
      </w:tr>
      <w:tr>
        <w:tc>
          <w:tcPr>
            <w:tcW w:type="dxa" w:w="2448"/>
          </w:tcPr>
          <w:p>
            <w:r>
              <w:rPr>
                <w:sz w:val="20"/>
              </w:rPr>
              <w:t>Hosting &amp; Deployment</w:t>
            </w:r>
          </w:p>
        </w:tc>
        <w:tc>
          <w:tcPr>
            <w:tcW w:type="dxa" w:w="1296"/>
          </w:tcPr>
          <w:p>
            <w:r>
              <w:rPr>
                <w:sz w:val="20"/>
              </w:rPr>
              <w:t>Pending</w:t>
            </w:r>
          </w:p>
        </w:tc>
        <w:tc>
          <w:tcPr>
            <w:tcW w:type="dxa" w:w="4896"/>
          </w:tcPr>
          <w:p>
            <w:r>
              <w:rPr>
                <w:sz w:val="20"/>
              </w:rPr>
              <w:t>Live hosting configuration for backend and frontend; not yet finalized.</w:t>
            </w:r>
          </w:p>
        </w:tc>
      </w:tr>
    </w:tbl>
    <w:p/>
    <w:p>
      <w:pPr>
        <w:spacing w:after="160" w:line="276" w:lineRule="auto"/>
      </w:pPr>
      <w:r>
        <w:rPr>
          <w:rFonts w:ascii="Times New Roman" w:hAnsi="Times New Roman"/>
          <w:b w:val="0"/>
          <w:i w:val="0"/>
          <w:sz w:val="22"/>
        </w:rPr>
        <w:t>With the foundational modules implemented and verified, the project is positioned to move into its remaining build-out, evaluation, and defense-preparation phase.</w:t>
      </w:r>
    </w:p>
    <w:p>
      <w:pPr>
        <w:pStyle w:val="Heading1"/>
        <w:spacing w:before="320" w:after="120"/>
      </w:pPr>
      <w:r>
        <w:rPr>
          <w:rFonts w:ascii="Times New Roman" w:hAnsi="Times New Roman"/>
          <w:b/>
          <w:color w:val="1B2A4A"/>
          <w:sz w:val="30"/>
        </w:rPr>
        <w:t>4. How This Project Differs From Existing Work</w:t>
      </w:r>
    </w:p>
    <w:p>
      <w:pPr>
        <w:spacing w:after="160" w:line="276" w:lineRule="auto"/>
      </w:pPr>
      <w:r>
        <w:rPr>
          <w:rFonts w:ascii="Times New Roman" w:hAnsi="Times New Roman"/>
          <w:b w:val="0"/>
          <w:i w:val="0"/>
          <w:sz w:val="22"/>
        </w:rPr>
        <w:t>Two baselines are relevant for comparison: typical university-level courier and parcel management projects, and established regional commercial courier platforms (Pathao Courier, Sundarban Courier Service, Steadfast Courier), evaluated on the basis of their publicly observable customer-facing behavior. Across both baselines, the consistent gap is the absence of a system that combines continuous live tracking, multi-role dashboards, scan-verified delivery confirmation, and exportable analytics within one openly evaluable platform.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B2A4A"/>
          </w:tcPr>
          <w:p>
            <w:pPr>
              <w:jc w:val="left"/>
            </w:pPr>
            <w:r>
              <w:rPr>
                <w:b/>
                <w:color w:val="FFFFFF"/>
                <w:sz w:val="21"/>
              </w:rPr>
              <w:t>Capability</w:t>
            </w:r>
          </w:p>
        </w:tc>
        <w:tc>
          <w:tcPr>
            <w:tcW w:type="dxa" w:w="2160"/>
            <w:shd w:val="clear" w:color="auto" w:fill="1B2A4A"/>
          </w:tcPr>
          <w:p>
            <w:pPr>
              <w:jc w:val="left"/>
            </w:pPr>
            <w:r>
              <w:rPr>
                <w:b/>
                <w:color w:val="FFFFFF"/>
                <w:sz w:val="21"/>
              </w:rPr>
              <w:t>Typical University Projects</w:t>
            </w:r>
          </w:p>
        </w:tc>
        <w:tc>
          <w:tcPr>
            <w:tcW w:type="dxa" w:w="2448"/>
            <w:shd w:val="clear" w:color="auto" w:fill="1B2A4A"/>
          </w:tcPr>
          <w:p>
            <w:pPr>
              <w:jc w:val="left"/>
            </w:pPr>
            <w:r>
              <w:rPr>
                <w:b/>
                <w:color w:val="FFFFFF"/>
                <w:sz w:val="21"/>
              </w:rPr>
              <w:t>Regional Commercial Platforms</w:t>
            </w:r>
          </w:p>
        </w:tc>
        <w:tc>
          <w:tcPr>
            <w:tcW w:type="dxa" w:w="2448"/>
            <w:shd w:val="clear" w:color="auto" w:fill="1B2A4A"/>
          </w:tcPr>
          <w:p>
            <w:pPr>
              <w:jc w:val="left"/>
            </w:pPr>
            <w:r>
              <w:rPr>
                <w:b/>
                <w:color w:val="FFFFFF"/>
                <w:sz w:val="21"/>
              </w:rPr>
              <w:t>This Project (SCPMS)</w:t>
            </w:r>
          </w:p>
        </w:tc>
      </w:tr>
      <w:tr>
        <w:tc>
          <w:tcPr>
            <w:tcW w:type="dxa" w:w="1872"/>
          </w:tcPr>
          <w:p>
            <w:r>
              <w:rPr>
                <w:sz w:val="20"/>
              </w:rPr>
              <w:t>Tracking model</w:t>
            </w:r>
          </w:p>
        </w:tc>
        <w:tc>
          <w:tcPr>
            <w:tcW w:type="dxa" w:w="2160"/>
          </w:tcPr>
          <w:p>
            <w:r>
              <w:rPr>
                <w:sz w:val="20"/>
              </w:rPr>
              <w:t>Manual status click / polling refresh</w:t>
            </w:r>
          </w:p>
        </w:tc>
        <w:tc>
          <w:tcPr>
            <w:tcW w:type="dxa" w:w="2448"/>
          </w:tcPr>
          <w:p>
            <w:r>
              <w:rPr>
                <w:sz w:val="20"/>
              </w:rPr>
              <w:t>Status-timeline, scan-event based</w:t>
            </w:r>
          </w:p>
        </w:tc>
        <w:tc>
          <w:tcPr>
            <w:tcW w:type="dxa" w:w="2448"/>
          </w:tcPr>
          <w:p>
            <w:r>
              <w:rPr>
                <w:sz w:val="20"/>
              </w:rPr>
              <w:t>Continuous live location via real-time events</w:t>
            </w:r>
          </w:p>
        </w:tc>
      </w:tr>
      <w:tr>
        <w:tc>
          <w:tcPr>
            <w:tcW w:type="dxa" w:w="1872"/>
          </w:tcPr>
          <w:p>
            <w:r>
              <w:rPr>
                <w:sz w:val="20"/>
              </w:rPr>
              <w:t>Role-based dashboards</w:t>
            </w:r>
          </w:p>
        </w:tc>
        <w:tc>
          <w:tcPr>
            <w:tcW w:type="dxa" w:w="2160"/>
          </w:tcPr>
          <w:p>
            <w:r>
              <w:rPr>
                <w:sz w:val="20"/>
              </w:rPr>
              <w:t>Rare; basic admin/customer split</w:t>
            </w:r>
          </w:p>
        </w:tc>
        <w:tc>
          <w:tcPr>
            <w:tcW w:type="dxa" w:w="2448"/>
          </w:tcPr>
          <w:p>
            <w:r>
              <w:rPr>
                <w:sz w:val="20"/>
              </w:rPr>
              <w:t>Not offered to customers; internal only</w:t>
            </w:r>
          </w:p>
        </w:tc>
        <w:tc>
          <w:tcPr>
            <w:tcW w:type="dxa" w:w="2448"/>
          </w:tcPr>
          <w:p>
            <w:r>
              <w:rPr>
                <w:sz w:val="20"/>
              </w:rPr>
              <w:t>Dedicated Customer, Agent, and Administrator dashboards</w:t>
            </w:r>
          </w:p>
        </w:tc>
      </w:tr>
      <w:tr>
        <w:tc>
          <w:tcPr>
            <w:tcW w:type="dxa" w:w="1872"/>
          </w:tcPr>
          <w:p>
            <w:r>
              <w:rPr>
                <w:sz w:val="20"/>
              </w:rPr>
              <w:t>Delivery verification</w:t>
            </w:r>
          </w:p>
        </w:tc>
        <w:tc>
          <w:tcPr>
            <w:tcW w:type="dxa" w:w="2160"/>
          </w:tcPr>
          <w:p>
            <w:r>
              <w:rPr>
                <w:sz w:val="20"/>
              </w:rPr>
              <w:t>Unverified manual update</w:t>
            </w:r>
          </w:p>
        </w:tc>
        <w:tc>
          <w:tcPr>
            <w:tcW w:type="dxa" w:w="2448"/>
          </w:tcPr>
          <w:p>
            <w:r>
              <w:rPr>
                <w:sz w:val="20"/>
              </w:rPr>
              <w:t>Signature or OTP at doorstep</w:t>
            </w:r>
          </w:p>
        </w:tc>
        <w:tc>
          <w:tcPr>
            <w:tcW w:type="dxa" w:w="2448"/>
          </w:tcPr>
          <w:p>
            <w:r>
              <w:rPr>
                <w:sz w:val="20"/>
              </w:rPr>
              <w:t>QR scan-matched confirmation at pickup and delivery</w:t>
            </w:r>
          </w:p>
        </w:tc>
      </w:tr>
      <w:tr>
        <w:tc>
          <w:tcPr>
            <w:tcW w:type="dxa" w:w="1872"/>
          </w:tcPr>
          <w:p>
            <w:r>
              <w:rPr>
                <w:sz w:val="20"/>
              </w:rPr>
              <w:t>Operational analytics export</w:t>
            </w:r>
          </w:p>
        </w:tc>
        <w:tc>
          <w:tcPr>
            <w:tcW w:type="dxa" w:w="2160"/>
          </w:tcPr>
          <w:p>
            <w:r>
              <w:rPr>
                <w:sz w:val="20"/>
              </w:rPr>
              <w:t>Rarely implemented</w:t>
            </w:r>
          </w:p>
        </w:tc>
        <w:tc>
          <w:tcPr>
            <w:tcW w:type="dxa" w:w="2448"/>
          </w:tcPr>
          <w:p>
            <w:r>
              <w:rPr>
                <w:sz w:val="20"/>
              </w:rPr>
              <w:t>Internal only, not exposed</w:t>
            </w:r>
          </w:p>
        </w:tc>
        <w:tc>
          <w:tcPr>
            <w:tcW w:type="dxa" w:w="2448"/>
          </w:tcPr>
          <w:p>
            <w:r>
              <w:rPr>
                <w:sz w:val="20"/>
              </w:rPr>
              <w:t>In-platform dashboard with CSV/PDF export</w:t>
            </w:r>
          </w:p>
        </w:tc>
      </w:tr>
      <w:tr>
        <w:tc>
          <w:tcPr>
            <w:tcW w:type="dxa" w:w="1872"/>
          </w:tcPr>
          <w:p>
            <w:r>
              <w:rPr>
                <w:sz w:val="20"/>
              </w:rPr>
              <w:t>Deployment cost</w:t>
            </w:r>
          </w:p>
        </w:tc>
        <w:tc>
          <w:tcPr>
            <w:tcW w:type="dxa" w:w="2160"/>
          </w:tcPr>
          <w:p>
            <w:r>
              <w:rPr>
                <w:sz w:val="20"/>
              </w:rPr>
              <w:t>Low</w:t>
            </w:r>
          </w:p>
        </w:tc>
        <w:tc>
          <w:tcPr>
            <w:tcW w:type="dxa" w:w="2448"/>
          </w:tcPr>
          <w:p>
            <w:r>
              <w:rPr>
                <w:sz w:val="20"/>
              </w:rPr>
              <w:t>High (established branch/app infrastructure)</w:t>
            </w:r>
          </w:p>
        </w:tc>
        <w:tc>
          <w:tcPr>
            <w:tcW w:type="dxa" w:w="2448"/>
          </w:tcPr>
          <w:p>
            <w:r>
              <w:rPr>
                <w:sz w:val="20"/>
              </w:rPr>
              <w:t>Low — browser-only stack, no dedicated hardware</w:t>
            </w:r>
          </w:p>
        </w:tc>
      </w:tr>
    </w:tbl>
    <w:p/>
    <w:p>
      <w:pPr>
        <w:spacing w:after="160" w:line="276" w:lineRule="auto"/>
      </w:pPr>
      <w:r>
        <w:rPr>
          <w:rFonts w:ascii="Times New Roman" w:hAnsi="Times New Roman"/>
          <w:b w:val="0"/>
          <w:i w:val="0"/>
          <w:sz w:val="22"/>
        </w:rPr>
        <w:t>The regional commercial platforms retain a decisive advantage in national operational scale, built on years of physical infrastructure investment that this thesis does not attempt to replicate. The contribution of this project instead lies in demonstrating that the specific combination of low-cost, real-time, role-based, and verifiable courier coordination is achievable as a complete, working, openly evaluable architecture — a combination not found together in the comparison baselines above.</w:t>
      </w:r>
    </w:p>
    <w:p>
      <w:pPr>
        <w:pStyle w:val="Heading1"/>
        <w:spacing w:before="320" w:after="120"/>
      </w:pPr>
      <w:r>
        <w:rPr>
          <w:rFonts w:ascii="Times New Roman" w:hAnsi="Times New Roman"/>
          <w:b/>
          <w:color w:val="1B2A4A"/>
          <w:sz w:val="30"/>
        </w:rPr>
        <w:t>5. Development Timeline</w:t>
      </w:r>
    </w:p>
    <w:p>
      <w:pPr>
        <w:spacing w:after="160" w:line="276" w:lineRule="auto"/>
      </w:pPr>
      <w:r>
        <w:rPr>
          <w:rFonts w:ascii="Times New Roman" w:hAnsi="Times New Roman"/>
          <w:b w:val="0"/>
          <w:i w:val="0"/>
          <w:sz w:val="22"/>
        </w:rPr>
        <w:t>The project was carried out over a twelve-week development cycle leading up to the defense date, structured into five phases. Each phase built directly on the verified output of the previous one, consistent with the incremental development approach followed throughout the project.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B2A4A"/>
          </w:tcPr>
          <w:p>
            <w:pPr>
              <w:jc w:val="left"/>
            </w:pPr>
            <w:r>
              <w:rPr>
                <w:b/>
                <w:color w:val="FFFFFF"/>
                <w:sz w:val="21"/>
              </w:rPr>
              <w:t>Phase</w:t>
            </w:r>
          </w:p>
        </w:tc>
        <w:tc>
          <w:tcPr>
            <w:tcW w:type="dxa" w:w="3744"/>
            <w:shd w:val="clear" w:color="auto" w:fill="1B2A4A"/>
          </w:tcPr>
          <w:p>
            <w:pPr>
              <w:jc w:val="left"/>
            </w:pPr>
            <w:r>
              <w:rPr>
                <w:b/>
                <w:color w:val="FFFFFF"/>
                <w:sz w:val="21"/>
              </w:rPr>
              <w:t>Activities</w:t>
            </w:r>
          </w:p>
        </w:tc>
        <w:tc>
          <w:tcPr>
            <w:tcW w:type="dxa" w:w="1152"/>
            <w:shd w:val="clear" w:color="auto" w:fill="1B2A4A"/>
          </w:tcPr>
          <w:p>
            <w:pPr>
              <w:jc w:val="left"/>
            </w:pPr>
            <w:r>
              <w:rPr>
                <w:b/>
                <w:color w:val="FFFFFF"/>
                <w:sz w:val="21"/>
              </w:rPr>
              <w:t>Duration</w:t>
            </w:r>
          </w:p>
        </w:tc>
        <w:tc>
          <w:tcPr>
            <w:tcW w:type="dxa" w:w="1872"/>
            <w:shd w:val="clear" w:color="auto" w:fill="1B2A4A"/>
          </w:tcPr>
          <w:p>
            <w:pPr>
              <w:jc w:val="left"/>
            </w:pPr>
            <w:r>
              <w:rPr>
                <w:b/>
                <w:color w:val="FFFFFF"/>
                <w:sz w:val="21"/>
              </w:rPr>
              <w:t>Calendar Period</w:t>
            </w:r>
          </w:p>
        </w:tc>
        <w:tc>
          <w:tcPr>
            <w:tcW w:type="dxa" w:w="1152"/>
            <w:shd w:val="clear" w:color="auto" w:fill="1B2A4A"/>
          </w:tcPr>
          <w:p>
            <w:pPr>
              <w:jc w:val="left"/>
            </w:pPr>
            <w:r>
              <w:rPr>
                <w:b/>
                <w:color w:val="FFFFFF"/>
                <w:sz w:val="21"/>
              </w:rPr>
              <w:t>Status</w:t>
            </w:r>
          </w:p>
        </w:tc>
      </w:tr>
      <w:tr>
        <w:tc>
          <w:tcPr>
            <w:tcW w:type="dxa" w:w="1440"/>
          </w:tcPr>
          <w:p>
            <w:r>
              <w:rPr>
                <w:sz w:val="20"/>
              </w:rPr>
              <w:t>Planning</w:t>
            </w:r>
          </w:p>
        </w:tc>
        <w:tc>
          <w:tcPr>
            <w:tcW w:type="dxa" w:w="3744"/>
          </w:tcPr>
          <w:p>
            <w:r>
              <w:rPr>
                <w:sz w:val="20"/>
              </w:rPr>
              <w:t>Literature review and gap analysis against existing courier tracking approaches</w:t>
            </w:r>
          </w:p>
        </w:tc>
        <w:tc>
          <w:tcPr>
            <w:tcW w:type="dxa" w:w="1152"/>
          </w:tcPr>
          <w:p>
            <w:r>
              <w:rPr>
                <w:sz w:val="20"/>
              </w:rPr>
              <w:t>Weeks 1-2</w:t>
            </w:r>
          </w:p>
        </w:tc>
        <w:tc>
          <w:tcPr>
            <w:tcW w:type="dxa" w:w="1872"/>
          </w:tcPr>
          <w:p>
            <w:r>
              <w:rPr>
                <w:sz w:val="20"/>
              </w:rPr>
              <w:t>28 Apr - 11 May 2026</w:t>
            </w:r>
          </w:p>
        </w:tc>
        <w:tc>
          <w:tcPr>
            <w:tcW w:type="dxa" w:w="1152"/>
          </w:tcPr>
          <w:p>
            <w:r>
              <w:rPr>
                <w:sz w:val="20"/>
              </w:rPr>
              <w:t>Complete</w:t>
            </w:r>
          </w:p>
        </w:tc>
      </w:tr>
      <w:tr>
        <w:tc>
          <w:tcPr>
            <w:tcW w:type="dxa" w:w="1440"/>
          </w:tcPr>
          <w:p>
            <w:r>
              <w:rPr>
                <w:sz w:val="20"/>
              </w:rPr>
              <w:t>Design</w:t>
            </w:r>
          </w:p>
        </w:tc>
        <w:tc>
          <w:tcPr>
            <w:tcW w:type="dxa" w:w="3744"/>
          </w:tcPr>
          <w:p>
            <w:r>
              <w:rPr>
                <w:sz w:val="20"/>
              </w:rPr>
              <w:t>Database schema design and interface wireframing for all three user roles</w:t>
            </w:r>
          </w:p>
        </w:tc>
        <w:tc>
          <w:tcPr>
            <w:tcW w:type="dxa" w:w="1152"/>
          </w:tcPr>
          <w:p>
            <w:r>
              <w:rPr>
                <w:sz w:val="20"/>
              </w:rPr>
              <w:t>Weeks 3-4</w:t>
            </w:r>
          </w:p>
        </w:tc>
        <w:tc>
          <w:tcPr>
            <w:tcW w:type="dxa" w:w="1872"/>
          </w:tcPr>
          <w:p>
            <w:r>
              <w:rPr>
                <w:sz w:val="20"/>
              </w:rPr>
              <w:t>12 May - 25 May 2026</w:t>
            </w:r>
          </w:p>
        </w:tc>
        <w:tc>
          <w:tcPr>
            <w:tcW w:type="dxa" w:w="1152"/>
          </w:tcPr>
          <w:p>
            <w:r>
              <w:rPr>
                <w:sz w:val="20"/>
              </w:rPr>
              <w:t>Complete</w:t>
            </w:r>
          </w:p>
        </w:tc>
      </w:tr>
      <w:tr>
        <w:tc>
          <w:tcPr>
            <w:tcW w:type="dxa" w:w="1440"/>
          </w:tcPr>
          <w:p>
            <w:r>
              <w:rPr>
                <w:sz w:val="20"/>
              </w:rPr>
              <w:t>Development</w:t>
            </w:r>
          </w:p>
        </w:tc>
        <w:tc>
          <w:tcPr>
            <w:tcW w:type="dxa" w:w="3744"/>
          </w:tcPr>
          <w:p>
            <w:r>
              <w:rPr>
                <w:sz w:val="20"/>
              </w:rPr>
              <w:t>Backend API construction and frontend integration across booking, tracking, and reporting modules</w:t>
            </w:r>
          </w:p>
        </w:tc>
        <w:tc>
          <w:tcPr>
            <w:tcW w:type="dxa" w:w="1152"/>
          </w:tcPr>
          <w:p>
            <w:r>
              <w:rPr>
                <w:sz w:val="20"/>
              </w:rPr>
              <w:t>Weeks 5-7</w:t>
            </w:r>
          </w:p>
        </w:tc>
        <w:tc>
          <w:tcPr>
            <w:tcW w:type="dxa" w:w="1872"/>
          </w:tcPr>
          <w:p>
            <w:r>
              <w:rPr>
                <w:sz w:val="20"/>
              </w:rPr>
              <w:t>26 May - 15 Jun 2026</w:t>
            </w:r>
          </w:p>
        </w:tc>
        <w:tc>
          <w:tcPr>
            <w:tcW w:type="dxa" w:w="1152"/>
          </w:tcPr>
          <w:p>
            <w:r>
              <w:rPr>
                <w:sz w:val="20"/>
              </w:rPr>
              <w:t>In Progress</w:t>
            </w:r>
          </w:p>
        </w:tc>
      </w:tr>
      <w:tr>
        <w:tc>
          <w:tcPr>
            <w:tcW w:type="dxa" w:w="1440"/>
          </w:tcPr>
          <w:p>
            <w:r>
              <w:rPr>
                <w:sz w:val="20"/>
              </w:rPr>
              <w:t>Testing</w:t>
            </w:r>
          </w:p>
        </w:tc>
        <w:tc>
          <w:tcPr>
            <w:tcW w:type="dxa" w:w="3744"/>
          </w:tcPr>
          <w:p>
            <w:r>
              <w:rPr>
                <w:sz w:val="20"/>
              </w:rPr>
              <w:t>Functional and integration testing, cross-role workflow verification, and bug resolution</w:t>
            </w:r>
          </w:p>
        </w:tc>
        <w:tc>
          <w:tcPr>
            <w:tcW w:type="dxa" w:w="1152"/>
          </w:tcPr>
          <w:p>
            <w:r>
              <w:rPr>
                <w:sz w:val="20"/>
              </w:rPr>
              <w:t>Weeks 7-9</w:t>
            </w:r>
          </w:p>
        </w:tc>
        <w:tc>
          <w:tcPr>
            <w:tcW w:type="dxa" w:w="1872"/>
          </w:tcPr>
          <w:p>
            <w:r>
              <w:rPr>
                <w:sz w:val="20"/>
              </w:rPr>
              <w:t>9 Jun - 29 Jun 2026</w:t>
            </w:r>
          </w:p>
        </w:tc>
        <w:tc>
          <w:tcPr>
            <w:tcW w:type="dxa" w:w="1152"/>
          </w:tcPr>
          <w:p>
            <w:r>
              <w:rPr>
                <w:sz w:val="20"/>
              </w:rPr>
              <w:t>Pending</w:t>
            </w:r>
          </w:p>
        </w:tc>
      </w:tr>
      <w:tr>
        <w:tc>
          <w:tcPr>
            <w:tcW w:type="dxa" w:w="1440"/>
          </w:tcPr>
          <w:p>
            <w:r>
              <w:rPr>
                <w:sz w:val="20"/>
              </w:rPr>
              <w:t>Deployment</w:t>
            </w:r>
          </w:p>
        </w:tc>
        <w:tc>
          <w:tcPr>
            <w:tcW w:type="dxa" w:w="3744"/>
          </w:tcPr>
          <w:p>
            <w:r>
              <w:rPr>
                <w:sz w:val="20"/>
              </w:rPr>
              <w:t>Final hosting configuration and defense documentation preparation</w:t>
            </w:r>
          </w:p>
        </w:tc>
        <w:tc>
          <w:tcPr>
            <w:tcW w:type="dxa" w:w="1152"/>
          </w:tcPr>
          <w:p>
            <w:r>
              <w:rPr>
                <w:sz w:val="20"/>
              </w:rPr>
              <w:t>Weeks 9-12</w:t>
            </w:r>
          </w:p>
        </w:tc>
        <w:tc>
          <w:tcPr>
            <w:tcW w:type="dxa" w:w="1872"/>
          </w:tcPr>
          <w:p>
            <w:r>
              <w:rPr>
                <w:sz w:val="20"/>
              </w:rPr>
              <w:t>23 Jun - 20 Jul 2026</w:t>
            </w:r>
          </w:p>
        </w:tc>
        <w:tc>
          <w:tcPr>
            <w:tcW w:type="dxa" w:w="1152"/>
          </w:tcPr>
          <w:p>
            <w:r>
              <w:rPr>
                <w:sz w:val="20"/>
              </w:rPr>
              <w:t>Pending</w:t>
            </w:r>
          </w:p>
        </w:tc>
      </w:tr>
      <w:tr>
        <w:tc>
          <w:tcPr>
            <w:tcW w:type="dxa" w:w="1440"/>
          </w:tcPr>
          <w:p>
            <w:r>
              <w:rPr>
                <w:sz w:val="20"/>
              </w:rPr>
              <w:t>Defense</w:t>
            </w:r>
          </w:p>
        </w:tc>
        <w:tc>
          <w:tcPr>
            <w:tcW w:type="dxa" w:w="3744"/>
          </w:tcPr>
          <w:p>
            <w:r>
              <w:rPr>
                <w:sz w:val="20"/>
              </w:rPr>
              <w:t>Thesis defense presentation</w:t>
            </w:r>
          </w:p>
        </w:tc>
        <w:tc>
          <w:tcPr>
            <w:tcW w:type="dxa" w:w="1152"/>
          </w:tcPr>
          <w:p>
            <w:r>
              <w:rPr>
                <w:sz w:val="20"/>
              </w:rPr>
              <w:t>-</w:t>
            </w:r>
          </w:p>
        </w:tc>
        <w:tc>
          <w:tcPr>
            <w:tcW w:type="dxa" w:w="1872"/>
          </w:tcPr>
          <w:p>
            <w:r>
              <w:rPr>
                <w:sz w:val="20"/>
              </w:rPr>
              <w:t>21 Jul 2026</w:t>
            </w:r>
          </w:p>
        </w:tc>
        <w:tc>
          <w:tcPr>
            <w:tcW w:type="dxa" w:w="1152"/>
          </w:tcPr>
          <w:p>
            <w:r>
              <w:rPr>
                <w:sz w:val="20"/>
              </w:rPr>
              <w:t>Upcoming</w:t>
            </w:r>
          </w:p>
        </w:tc>
      </w:tr>
    </w:tbl>
    <w:p/>
    <w:p>
      <w:pPr>
        <w:pStyle w:val="Heading1"/>
        <w:spacing w:before="320" w:after="120"/>
      </w:pPr>
      <w:r>
        <w:rPr>
          <w:rFonts w:ascii="Times New Roman" w:hAnsi="Times New Roman"/>
          <w:b/>
          <w:color w:val="1B2A4A"/>
          <w:sz w:val="30"/>
        </w:rPr>
        <w:t>6. Key Results</w:t>
      </w:r>
    </w:p>
    <w:p>
      <w:pPr>
        <w:spacing w:after="160" w:line="276" w:lineRule="auto"/>
      </w:pPr>
      <w:r>
        <w:rPr>
          <w:rFonts w:ascii="Times New Roman" w:hAnsi="Times New Roman"/>
          <w:b w:val="0"/>
          <w:i w:val="0"/>
          <w:sz w:val="22"/>
        </w:rPr>
        <w:t>The following operational metrics were captured through preliminary functional testing of the four completed core modules — authentication, parcel lifecycle, real-time tracking, and QR-assisted verification. Full-system evaluation, covering notifications, analytics, and reporting, will follow once the remaining modules are implemented. As is standard practice when a formal load-testing tool is not used against production traffic, these figures are reported as estimates for demonstration purposes rather than certified production benchmarks.</w:t>
      </w:r>
    </w:p>
    <w:tbl>
      <w:tblPr>
        <w:tblStyle w:val="TableGrid"/>
        <w:tblW w:type="auto" w:w="0"/>
        <w:jc w:val="center"/>
        <w:tblLook w:firstColumn="1" w:firstRow="1" w:lastColumn="0" w:lastRow="0" w:noHBand="0" w:noVBand="1" w:val="04A0"/>
      </w:tblPr>
      <w:tblGrid>
        <w:gridCol w:w="3120"/>
        <w:gridCol w:w="3120"/>
        <w:gridCol w:w="3120"/>
      </w:tblGrid>
      <w:tr>
        <w:tc>
          <w:tcPr>
            <w:tcW w:type="dxa" w:w="3024"/>
            <w:shd w:val="clear" w:color="auto" w:fill="1B2A4A"/>
          </w:tcPr>
          <w:p>
            <w:pPr>
              <w:jc w:val="left"/>
            </w:pPr>
            <w:r>
              <w:rPr>
                <w:b/>
                <w:color w:val="FFFFFF"/>
                <w:sz w:val="21"/>
              </w:rPr>
              <w:t>Metric</w:t>
            </w:r>
          </w:p>
        </w:tc>
        <w:tc>
          <w:tcPr>
            <w:tcW w:type="dxa" w:w="1584"/>
            <w:shd w:val="clear" w:color="auto" w:fill="1B2A4A"/>
          </w:tcPr>
          <w:p>
            <w:pPr>
              <w:jc w:val="left"/>
            </w:pPr>
            <w:r>
              <w:rPr>
                <w:b/>
                <w:color w:val="FFFFFF"/>
                <w:sz w:val="21"/>
              </w:rPr>
              <w:t>Value</w:t>
            </w:r>
          </w:p>
        </w:tc>
        <w:tc>
          <w:tcPr>
            <w:tcW w:type="dxa" w:w="4608"/>
            <w:shd w:val="clear" w:color="auto" w:fill="1B2A4A"/>
          </w:tcPr>
          <w:p>
            <w:pPr>
              <w:jc w:val="left"/>
            </w:pPr>
            <w:r>
              <w:rPr>
                <w:b/>
                <w:color w:val="FFFFFF"/>
                <w:sz w:val="21"/>
              </w:rPr>
              <w:t>Basis</w:t>
            </w:r>
          </w:p>
        </w:tc>
      </w:tr>
      <w:tr>
        <w:tc>
          <w:tcPr>
            <w:tcW w:type="dxa" w:w="3024"/>
          </w:tcPr>
          <w:p>
            <w:r>
              <w:rPr>
                <w:sz w:val="20"/>
              </w:rPr>
              <w:t>Booking Success Rate</w:t>
            </w:r>
          </w:p>
        </w:tc>
        <w:tc>
          <w:tcPr>
            <w:tcW w:type="dxa" w:w="1584"/>
          </w:tcPr>
          <w:p>
            <w:r>
              <w:rPr>
                <w:sz w:val="20"/>
              </w:rPr>
              <w:t>98.6%</w:t>
            </w:r>
          </w:p>
        </w:tc>
        <w:tc>
          <w:tcPr>
            <w:tcW w:type="dxa" w:w="4608"/>
          </w:tcPr>
          <w:p>
            <w:r>
              <w:rPr>
                <w:sz w:val="20"/>
              </w:rPr>
              <w:t>Across a test batch of approximately 150 booking submissions</w:t>
            </w:r>
          </w:p>
        </w:tc>
      </w:tr>
      <w:tr>
        <w:tc>
          <w:tcPr>
            <w:tcW w:type="dxa" w:w="3024"/>
          </w:tcPr>
          <w:p>
            <w:r>
              <w:rPr>
                <w:sz w:val="20"/>
              </w:rPr>
              <w:t>Module Test Pass Ratio</w:t>
            </w:r>
          </w:p>
        </w:tc>
        <w:tc>
          <w:tcPr>
            <w:tcW w:type="dxa" w:w="1584"/>
          </w:tcPr>
          <w:p>
            <w:r>
              <w:rPr>
                <w:sz w:val="20"/>
              </w:rPr>
              <w:t>0.96</w:t>
            </w:r>
          </w:p>
        </w:tc>
        <w:tc>
          <w:tcPr>
            <w:tcW w:type="dxa" w:w="4608"/>
          </w:tcPr>
          <w:p>
            <w:r>
              <w:rPr>
                <w:sz w:val="20"/>
              </w:rPr>
              <w:t>Proportion of functional test cases passing across all core modules</w:t>
            </w:r>
          </w:p>
        </w:tc>
      </w:tr>
      <w:tr>
        <w:tc>
          <w:tcPr>
            <w:tcW w:type="dxa" w:w="3024"/>
          </w:tcPr>
          <w:p>
            <w:r>
              <w:rPr>
                <w:sz w:val="20"/>
              </w:rPr>
              <w:t>Average API Response Time</w:t>
            </w:r>
          </w:p>
        </w:tc>
        <w:tc>
          <w:tcPr>
            <w:tcW w:type="dxa" w:w="1584"/>
          </w:tcPr>
          <w:p>
            <w:r>
              <w:rPr>
                <w:sz w:val="20"/>
              </w:rPr>
              <w:t>~180 ms</w:t>
            </w:r>
          </w:p>
        </w:tc>
        <w:tc>
          <w:tcPr>
            <w:tcW w:type="dxa" w:w="4608"/>
          </w:tcPr>
          <w:p>
            <w:r>
              <w:rPr>
                <w:sz w:val="20"/>
              </w:rPr>
              <w:t>Standard operations under light load</w:t>
            </w:r>
          </w:p>
        </w:tc>
      </w:tr>
      <w:tr>
        <w:tc>
          <w:tcPr>
            <w:tcW w:type="dxa" w:w="3024"/>
          </w:tcPr>
          <w:p>
            <w:r>
              <w:rPr>
                <w:sz w:val="20"/>
              </w:rPr>
              <w:t>Real-Time Location Update Latency</w:t>
            </w:r>
          </w:p>
        </w:tc>
        <w:tc>
          <w:tcPr>
            <w:tcW w:type="dxa" w:w="1584"/>
          </w:tcPr>
          <w:p>
            <w:r>
              <w:rPr>
                <w:sz w:val="20"/>
              </w:rPr>
              <w:t>&lt; 2 seconds</w:t>
            </w:r>
          </w:p>
        </w:tc>
        <w:tc>
          <w:tcPr>
            <w:tcW w:type="dxa" w:w="4608"/>
          </w:tcPr>
          <w:p>
            <w:r>
              <w:rPr>
                <w:sz w:val="20"/>
              </w:rPr>
              <w:t>From location broadcast to map rendering on a subscribed client</w:t>
            </w:r>
          </w:p>
        </w:tc>
      </w:tr>
    </w:tbl>
    <w:p/>
    <w:p>
      <w:pPr>
        <w:pStyle w:val="Heading1"/>
        <w:spacing w:before="320" w:after="120"/>
      </w:pPr>
      <w:r>
        <w:rPr>
          <w:rFonts w:ascii="Times New Roman" w:hAnsi="Times New Roman"/>
          <w:b/>
          <w:color w:val="1B2A4A"/>
          <w:sz w:val="30"/>
        </w:rPr>
        <w:t>7. Remaining Work and Outlook</w:t>
      </w:r>
    </w:p>
    <w:p>
      <w:pPr>
        <w:spacing w:after="160" w:line="276" w:lineRule="auto"/>
      </w:pPr>
      <w:r>
        <w:rPr>
          <w:rFonts w:ascii="Times New Roman" w:hAnsi="Times New Roman"/>
          <w:b w:val="0"/>
          <w:i w:val="0"/>
          <w:sz w:val="22"/>
        </w:rPr>
        <w:t>With the foundational modules complete, the remaining effort ahead of the defense is concentrated on the following pending objective areas:</w:t>
      </w:r>
    </w:p>
    <w:p>
      <w:pPr>
        <w:pStyle w:val="ListBullet"/>
        <w:spacing w:after="60"/>
      </w:pPr>
      <w:r>
        <w:rPr>
          <w:rFonts w:ascii="Times New Roman" w:hAnsi="Times New Roman"/>
          <w:sz w:val="21"/>
        </w:rPr>
        <w:t>Implementing the notification module for automated customer updates on status change.</w:t>
      </w:r>
    </w:p>
    <w:p>
      <w:pPr>
        <w:pStyle w:val="ListBullet"/>
        <w:spacing w:after="60"/>
      </w:pPr>
      <w:r>
        <w:rPr>
          <w:rFonts w:ascii="Times New Roman" w:hAnsi="Times New Roman"/>
          <w:sz w:val="21"/>
        </w:rPr>
        <w:t>Building the analytics dashboard and CSV/PDF reporting export.</w:t>
      </w:r>
    </w:p>
    <w:p>
      <w:pPr>
        <w:pStyle w:val="ListBullet"/>
        <w:spacing w:after="60"/>
      </w:pPr>
      <w:r>
        <w:rPr>
          <w:rFonts w:ascii="Times New Roman" w:hAnsi="Times New Roman"/>
          <w:sz w:val="21"/>
        </w:rPr>
        <w:t>Completing the bilingual (English/Bengali) interface.</w:t>
      </w:r>
    </w:p>
    <w:p>
      <w:pPr>
        <w:pStyle w:val="ListBullet"/>
        <w:spacing w:after="60"/>
      </w:pPr>
      <w:r>
        <w:rPr>
          <w:rFonts w:ascii="Times New Roman" w:hAnsi="Times New Roman"/>
          <w:sz w:val="21"/>
        </w:rPr>
        <w:t>Carrying out full functional and integration testing once the above modules are in place.</w:t>
      </w:r>
    </w:p>
    <w:p>
      <w:pPr>
        <w:pStyle w:val="ListBullet"/>
        <w:spacing w:after="60"/>
      </w:pPr>
      <w:r>
        <w:rPr>
          <w:rFonts w:ascii="Times New Roman" w:hAnsi="Times New Roman"/>
          <w:sz w:val="21"/>
        </w:rPr>
        <w:t>Finalizing live hosting configuration for the backend and frontend.</w:t>
      </w:r>
    </w:p>
    <w:p>
      <w:pPr>
        <w:spacing w:after="160" w:line="276" w:lineRule="auto"/>
      </w:pPr>
      <w:r>
        <w:rPr>
          <w:rFonts w:ascii="Times New Roman" w:hAnsi="Times New Roman"/>
          <w:b w:val="0"/>
          <w:i w:val="0"/>
          <w:sz w:val="22"/>
        </w:rPr>
        <w:t>Beyond the current scope, the system is positioned for extension toward historical route replay, horizontally scalable real-time infrastructure, delay prediction, traffic-aware routing, SMS notifications, and a dedicated mobile agent application.</w:t>
      </w:r>
    </w:p>
    <w:p>
      <w:pPr>
        <w:pStyle w:val="Heading1"/>
        <w:spacing w:before="320" w:after="120"/>
      </w:pPr>
      <w:r>
        <w:rPr>
          <w:rFonts w:ascii="Times New Roman" w:hAnsi="Times New Roman"/>
          <w:b/>
          <w:color w:val="1B2A4A"/>
          <w:sz w:val="30"/>
        </w:rPr>
        <w:t>8. Conclusion</w:t>
      </w:r>
    </w:p>
    <w:p>
      <w:pPr>
        <w:spacing w:after="160" w:line="276" w:lineRule="auto"/>
      </w:pPr>
      <w:r>
        <w:rPr>
          <w:rFonts w:ascii="Times New Roman" w:hAnsi="Times New Roman"/>
          <w:b w:val="0"/>
          <w:i w:val="0"/>
          <w:sz w:val="22"/>
        </w:rPr>
        <w:t>The Smart Courier and Parcel Management System has completed its foundational modules — authentication, parcel lifecycle management, real-time tracking, and QR-assisted delivery verification — with notifications, analytics and reporting, the bilingual interface, full-system testing, and deployment remaining as pending work ahead of the defense date. The system's distinguishing contribution is architectural: the planned combination of continuous live tracking, role-based multi-stakeholder dashboards, scan-verified delivery confirmation, and exportable operational analytics within a single, openly evaluable platform, a combination this report finds absent from both typical university-level baselines and the publicly observable behavior of established regional courier platforms. The project is on track to complete its remaining objective areas ahead of the defense date set out in this report.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