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60" w:right="0" w:hanging="360"/>
        <w:jc w:val="center"/>
        <w:rPr>
          <w:rFonts w:ascii="Arial" w:cs="Arial" w:eastAsia="Arial" w:hAnsi="Arial"/>
          <w:b w:val="1"/>
          <w:bCs w:val="1"/>
          <w:i w:val="0"/>
          <w:iCs w:val="0"/>
          <w:smallCaps w:val="0"/>
          <w:strike w:val="0"/>
          <w:color w:val="6e82be"/>
          <w:sz w:val="36"/>
          <w:szCs w:val="36"/>
          <w:u w:val="none"/>
          <w:shd w:fill="auto" w:val="clear"/>
          <w:vertAlign w:val="baseline"/>
        </w:rPr>
      </w:pPr>
      <w:bookmarkStart w:colFirst="0" w:colLast="0" w:name="_heading=h.czmvv4po4nso" w:id="0"/>
      <w:bookmarkEnd w:id="0"/>
      <w:r w:rsidDel="00000000" w:rsidR="00000000" w:rsidRPr="00000000">
        <w:rPr>
          <w:rFonts w:ascii="Arial" w:cs="Arial" w:eastAsia="Arial" w:hAnsi="Arial"/>
          <w:b w:val="1"/>
          <w:bCs w:val="1"/>
          <w:i w:val="0"/>
          <w:iCs w:val="0"/>
          <w:smallCaps w:val="0"/>
          <w:strike w:val="0"/>
          <w:color w:val="6e82be"/>
          <w:sz w:val="36"/>
          <w:szCs w:val="36"/>
          <w:u w:val="none"/>
          <w:shd w:fill="auto" w:val="clear"/>
          <w:vertAlign w:val="baseline"/>
          <w:rtl w:val="0"/>
        </w:rPr>
        <w:t xml:space="preserve">Short-Term Scientific Mission Grant</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720" w:right="0" w:hanging="360"/>
        <w:jc w:val="center"/>
        <w:rPr>
          <w:b w:val="1"/>
          <w:bCs w:val="1"/>
          <w:i w:val="0"/>
          <w:iCs w:val="0"/>
          <w:smallCaps w:val="0"/>
          <w:strike w:val="0"/>
          <w:color w:val="6e82b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6e82be"/>
          <w:sz w:val="36"/>
          <w:szCs w:val="36"/>
          <w:u w:val="none"/>
          <w:shd w:fill="auto" w:val="clear"/>
          <w:vertAlign w:val="baseline"/>
          <w:rtl w:val="0"/>
        </w:rPr>
        <w:t xml:space="preserve">APPLICATION FORM</w:t>
      </w:r>
      <w:r w:rsidDel="00000000" w:rsidR="00000000" w:rsidRPr="00000000">
        <w:rPr>
          <w:rFonts w:ascii="Arial" w:cs="Arial" w:eastAsia="Arial" w:hAnsi="Arial"/>
          <w:b w:val="1"/>
          <w:bCs w:val="1"/>
          <w:i w:val="0"/>
          <w:iCs w:val="0"/>
          <w:smallCaps w:val="0"/>
          <w:strike w:val="0"/>
          <w:color w:val="6e82be"/>
          <w:sz w:val="36"/>
          <w:szCs w:val="36"/>
          <w:u w:val="none"/>
          <w:shd w:fill="auto" w:val="clear"/>
          <w:vertAlign w:val="superscript"/>
        </w:rPr>
        <w:footnoteReference w:customMarkFollows="0" w:id="0"/>
      </w:r>
      <w:r w:rsidDel="00000000" w:rsidR="00000000" w:rsidRPr="00000000">
        <w:rPr>
          <w:rFonts w:ascii="Arial" w:cs="Arial" w:eastAsia="Arial" w:hAnsi="Arial"/>
          <w:b w:val="1"/>
          <w:bCs w:val="1"/>
          <w:i w:val="0"/>
          <w:iCs w:val="0"/>
          <w:smallCaps w:val="0"/>
          <w:strike w:val="0"/>
          <w:color w:val="6e82be"/>
          <w:sz w:val="36"/>
          <w:szCs w:val="36"/>
          <w:u w:val="none"/>
          <w:shd w:fill="auto" w:val="clear"/>
          <w:vertAlign w:val="baseline"/>
          <w:rtl w:val="0"/>
        </w:rPr>
        <w:t xml:space="preserve"> -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1"/>
          <w:bCs w:val="1"/>
          <w:i w:val="0"/>
          <w:iCs w:val="0"/>
          <w:smallCaps w:val="0"/>
          <w:strike w:val="0"/>
          <w:color w:val="56585b"/>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 number:    CA24103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Applicant name:  Dr. Ožbej Vodeb</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1"/>
          <w:bCs w:val="1"/>
          <w:i w:val="0"/>
          <w:iCs w:val="0"/>
          <w:smallCaps w:val="0"/>
          <w:strike w:val="0"/>
          <w:color w:val="56585b"/>
          <w:sz w:val="22"/>
          <w:szCs w:val="22"/>
          <w:u w:val="none"/>
          <w:shd w:fill="auto" w:val="clear"/>
          <w:vertAlign w:val="baseline"/>
        </w:rPr>
      </w:pPr>
      <w:r w:rsidDel="00000000" w:rsidR="00000000" w:rsidRPr="00000000">
        <w:rPr>
          <w:rtl w:val="0"/>
        </w:rPr>
      </w:r>
    </w:p>
    <w:tbl>
      <w:tblPr>
        <w:tblStyle w:val="Table1"/>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6"/>
        <w:tblGridChange w:id="0">
          <w:tblGrid>
            <w:gridCol w:w="9356"/>
          </w:tblGrid>
        </w:tblGridChange>
      </w:tblGrid>
      <w:tr>
        <w:trPr>
          <w:cantSplit w:val="0"/>
          <w:tblHeader w:val="0"/>
        </w:trPr>
        <w:tc>
          <w:tcPr>
            <w:tcBorders>
              <w:bottom w:color="000000" w:space="0" w:sz="0" w:val="nil"/>
            </w:tcBorders>
          </w:tcPr>
          <w:p w:rsidR="00000000" w:rsidDel="00000000" w:rsidP="00000000" w:rsidRDefault="00000000" w:rsidRPr="00000000" w14:paraId="00000007">
            <w:pPr>
              <w:spacing w:before="120" w:lineRule="auto"/>
              <w:rPr>
                <w:b w:val="1"/>
                <w:bCs w:val="1"/>
                <w:sz w:val="22"/>
                <w:szCs w:val="22"/>
                <w:u w:val="single"/>
              </w:rPr>
            </w:pPr>
            <w:r w:rsidDel="00000000" w:rsidR="00000000" w:rsidRPr="00000000">
              <w:rPr>
                <w:b w:val="1"/>
                <w:bCs w:val="1"/>
                <w:sz w:val="22"/>
                <w:szCs w:val="22"/>
                <w:u w:val="single"/>
                <w:rtl w:val="0"/>
              </w:rPr>
              <w:t xml:space="preserve">Details of the STSM</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w:t>
            </w:r>
            <w:r w:rsidDel="00000000" w:rsidR="00000000" w:rsidRPr="00000000">
              <w:rPr>
                <w:sz w:val="22"/>
                <w:szCs w:val="22"/>
                <w:rtl w:val="0"/>
              </w:rPr>
              <w:t xml:space="preserve">Advanced Voltammetry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sz w:val="22"/>
                <w:szCs w:val="22"/>
                <w:rtl w:val="0"/>
              </w:rPr>
              <w:t xml:space="preserve">Electrochemical Simulations Training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b w:val="1"/>
                <w:bCs w:val="1"/>
                <w:i w:val="0"/>
                <w:iCs w:val="0"/>
                <w:smallCaps w:val="0"/>
                <w:strike w:val="0"/>
                <w:color w:val="69395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and end date: </w:t>
            </w:r>
            <w:r w:rsidDel="00000000" w:rsidR="00000000" w:rsidRPr="00000000">
              <w:rPr>
                <w:sz w:val="22"/>
                <w:szCs w:val="22"/>
                <w:rtl w:val="0"/>
              </w:rPr>
              <w:t xml:space="preserve">16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/08/2026 to </w:t>
            </w:r>
            <w:r w:rsidDel="00000000" w:rsidR="00000000" w:rsidRPr="00000000">
              <w:rPr>
                <w:sz w:val="22"/>
                <w:szCs w:val="22"/>
                <w:rtl w:val="0"/>
              </w:rPr>
              <w:t xml:space="preserve">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/08/2026</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0A">
            <w:pPr>
              <w:spacing w:before="120" w:lineRule="auto"/>
              <w:rPr>
                <w:sz w:val="22"/>
                <w:szCs w:val="22"/>
              </w:rPr>
            </w:pPr>
            <w:r w:rsidDel="00000000" w:rsidR="00000000" w:rsidRPr="00000000">
              <w:rPr>
                <w:sz w:val="22"/>
                <w:szCs w:val="22"/>
                <w:rtl w:val="0"/>
              </w:rPr>
              <w:t xml:space="preserve">Extracting reaction parameters from electrocatalytic reactions requires moving beyond linear and steady state voltammetry, as they show limited sensitivity to reaction parameters. We will provide in-depth training on an advanced electrochemical technique called Fourier-transformed ac voltammetry (FTACV) and the methodology to analyze such experiments, i.e., electrochemical simulations. Dr. Vodeb will be trained in measurements and calculations. Subsequently, Dr. Vodeb will provide training on electrochemical simulations based on the Python-based ElectroKitty software, which he has developed. Dr. Snitkoff-Sol will provide training on FTACV and data acquisition and analysis. Furthermore, Dr. Vladislav Ivanistsev will provide training on Density Functional Theory (DFT) calculations. This training will specifically involve participants from the University of Tartu (research groups of professors P. Pikma, E. Lust, K. Tammeveski, J. Nerut, A. Jänes, and N. Kongi). To ensure wide dissemination of these techniques throughout the COST CONCERT Action, selected seminars will be conducted in a hybrid format, allowing members to join online, with recordings to be made available for later viewing.</w:t>
            </w:r>
          </w:p>
          <w:p w:rsidR="00000000" w:rsidDel="00000000" w:rsidP="00000000" w:rsidRDefault="00000000" w:rsidRPr="00000000" w14:paraId="0000000B">
            <w:pPr>
              <w:spacing w:before="120" w:lineRule="auto"/>
              <w:rPr>
                <w:b w:val="1"/>
                <w:bCs w:val="1"/>
                <w:sz w:val="22"/>
                <w:szCs w:val="22"/>
                <w:u w:val="single"/>
              </w:rPr>
            </w:pPr>
            <w:r w:rsidDel="00000000" w:rsidR="00000000" w:rsidRPr="00000000">
              <w:rPr>
                <w:b w:val="1"/>
                <w:bCs w:val="1"/>
                <w:sz w:val="22"/>
                <w:szCs w:val="22"/>
                <w:u w:val="single"/>
                <w:rtl w:val="0"/>
              </w:rPr>
              <w:t xml:space="preserve">Goals of the STSM</w:t>
            </w:r>
          </w:p>
          <w:p w:rsidR="00000000" w:rsidDel="00000000" w:rsidP="00000000" w:rsidRDefault="00000000" w:rsidRPr="00000000" w14:paraId="0000000C">
            <w:pPr>
              <w:numPr>
                <w:ilvl w:val="0"/>
                <w:numId w:val="1"/>
              </w:numPr>
              <w:spacing w:before="120" w:lineRule="auto"/>
              <w:ind w:left="720" w:hanging="360"/>
            </w:pPr>
            <w:r w:rsidDel="00000000" w:rsidR="00000000" w:rsidRPr="00000000">
              <w:rPr>
                <w:b w:val="1"/>
                <w:bCs w:val="1"/>
                <w:rtl w:val="0"/>
              </w:rPr>
              <w:t xml:space="preserve">Facilitate knowledge transfer</w:t>
            </w:r>
            <w:r w:rsidDel="00000000" w:rsidR="00000000" w:rsidRPr="00000000">
              <w:rPr>
                <w:rtl w:val="0"/>
              </w:rPr>
              <w:t xml:space="preserve"> by providing hands-on training in FTACV, Python-based simulation using </w:t>
            </w:r>
            <w:r w:rsidDel="00000000" w:rsidR="00000000" w:rsidRPr="00000000">
              <w:rPr>
                <w:i w:val="1"/>
                <w:iCs w:val="1"/>
                <w:rtl w:val="0"/>
              </w:rPr>
              <w:t xml:space="preserve">ElectroKitty</w:t>
            </w:r>
            <w:r w:rsidDel="00000000" w:rsidR="00000000" w:rsidRPr="00000000">
              <w:rPr>
                <w:rtl w:val="0"/>
              </w:rPr>
              <w:t xml:space="preserve">, and DFT-informed thermodynamic and micro-kinetic modelling.</w:t>
            </w:r>
          </w:p>
          <w:p w:rsidR="00000000" w:rsidDel="00000000" w:rsidP="00000000" w:rsidRDefault="00000000" w:rsidRPr="00000000" w14:paraId="0000000D">
            <w:pPr>
              <w:numPr>
                <w:ilvl w:val="0"/>
                <w:numId w:val="1"/>
              </w:numPr>
              <w:spacing w:before="120" w:lineRule="auto"/>
              <w:ind w:left="720" w:hanging="360"/>
            </w:pPr>
            <w:r w:rsidDel="00000000" w:rsidR="00000000" w:rsidRPr="00000000">
              <w:rPr>
                <w:b w:val="1"/>
                <w:bCs w:val="1"/>
                <w:rtl w:val="0"/>
              </w:rPr>
              <w:t xml:space="preserve">Develop and standardize</w:t>
            </w:r>
            <w:r w:rsidDel="00000000" w:rsidR="00000000" w:rsidRPr="00000000">
              <w:rPr>
                <w:rtl w:val="0"/>
              </w:rPr>
              <w:t xml:space="preserve"> a repository of teaching materials, tutorials, and benchmark datasets for the wider COST CONCERT network.</w:t>
            </w:r>
          </w:p>
          <w:p w:rsidR="00000000" w:rsidDel="00000000" w:rsidP="00000000" w:rsidRDefault="00000000" w:rsidRPr="00000000" w14:paraId="0000000E">
            <w:pPr>
              <w:numPr>
                <w:ilvl w:val="0"/>
                <w:numId w:val="1"/>
              </w:numPr>
              <w:spacing w:before="120" w:lineRule="auto"/>
              <w:ind w:left="720" w:hanging="360"/>
            </w:pPr>
            <w:r w:rsidDel="00000000" w:rsidR="00000000" w:rsidRPr="00000000">
              <w:rPr>
                <w:b w:val="1"/>
                <w:bCs w:val="1"/>
                <w:rtl w:val="0"/>
              </w:rPr>
              <w:t xml:space="preserve">Validate experimental–computational workflow</w:t>
            </w:r>
            <w:r w:rsidDel="00000000" w:rsidR="00000000" w:rsidRPr="00000000">
              <w:rPr>
                <w:rtl w:val="0"/>
              </w:rPr>
              <w:t xml:space="preserve"> by establishing a direct comparison between experimental FTACV data and theoretical simulations.</w:t>
            </w:r>
          </w:p>
          <w:p w:rsidR="00000000" w:rsidDel="00000000" w:rsidP="00000000" w:rsidRDefault="00000000" w:rsidRPr="00000000" w14:paraId="0000000F">
            <w:pPr>
              <w:numPr>
                <w:ilvl w:val="0"/>
                <w:numId w:val="1"/>
              </w:numPr>
              <w:spacing w:before="120" w:lineRule="auto"/>
              <w:ind w:left="720" w:hanging="360"/>
            </w:pPr>
            <w:r w:rsidDel="00000000" w:rsidR="00000000" w:rsidRPr="00000000">
              <w:rPr>
                <w:b w:val="1"/>
                <w:bCs w:val="1"/>
                <w:rtl w:val="0"/>
              </w:rPr>
              <w:t xml:space="preserve">Initiate long-term institutional collaboration</w:t>
            </w:r>
            <w:r w:rsidDel="00000000" w:rsidR="00000000" w:rsidRPr="00000000">
              <w:rPr>
                <w:rtl w:val="0"/>
              </w:rPr>
              <w:t xml:space="preserve"> through the preparation of a joint scientific publication, advancing the rational design of electrocatalysts within the COST CONCERT.</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10">
            <w:pPr>
              <w:spacing w:before="120" w:lineRule="auto"/>
              <w:rPr>
                <w:b w:val="1"/>
                <w:bCs w:val="1"/>
                <w:sz w:val="22"/>
                <w:szCs w:val="22"/>
                <w:u w:val="single"/>
              </w:rPr>
            </w:pPr>
            <w:r w:rsidDel="00000000" w:rsidR="00000000" w:rsidRPr="00000000">
              <w:rPr>
                <w:b w:val="1"/>
                <w:bCs w:val="1"/>
                <w:sz w:val="22"/>
                <w:szCs w:val="22"/>
                <w:u w:val="single"/>
                <w:rtl w:val="0"/>
              </w:rPr>
              <w:t xml:space="preserve">Work Plan </w:t>
            </w:r>
          </w:p>
          <w:p w:rsidR="00000000" w:rsidDel="00000000" w:rsidP="00000000" w:rsidRDefault="00000000" w:rsidRPr="00000000" w14:paraId="00000011">
            <w:pPr>
              <w:spacing w:after="0" w:before="0" w:lineRule="auto"/>
              <w:rPr>
                <w:sz w:val="22"/>
                <w:szCs w:val="22"/>
                <w:u w:val="single"/>
              </w:rPr>
            </w:pPr>
            <w:r w:rsidDel="00000000" w:rsidR="00000000" w:rsidRPr="00000000">
              <w:rPr>
                <w:sz w:val="22"/>
                <w:szCs w:val="22"/>
                <w:rtl w:val="0"/>
              </w:rPr>
              <w:t xml:space="preserve">The training will be performed during a 4 day program provided below:</w:t>
              <w:br w:type="textWrapping"/>
            </w:r>
            <w:r w:rsidDel="00000000" w:rsidR="00000000" w:rsidRPr="00000000">
              <w:rPr>
                <w:sz w:val="22"/>
                <w:szCs w:val="22"/>
                <w:u w:val="single"/>
                <w:rtl w:val="0"/>
              </w:rPr>
              <w:t xml:space="preserve">Day 1</w:t>
            </w:r>
          </w:p>
          <w:p w:rsidR="00000000" w:rsidDel="00000000" w:rsidP="00000000" w:rsidRDefault="00000000" w:rsidRPr="00000000" w14:paraId="00000012">
            <w:pPr>
              <w:spacing w:after="0" w:before="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Introduction to ACV – Overview of the method</w:t>
            </w:r>
          </w:p>
          <w:p w:rsidR="00000000" w:rsidDel="00000000" w:rsidP="00000000" w:rsidRDefault="00000000" w:rsidRPr="00000000" w14:paraId="00000013">
            <w:pPr>
              <w:spacing w:after="0" w:before="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Introduction to electrochemical simulations and micro-kinetics</w:t>
            </w:r>
          </w:p>
          <w:p w:rsidR="00000000" w:rsidDel="00000000" w:rsidP="00000000" w:rsidRDefault="00000000" w:rsidRPr="00000000" w14:paraId="00000014">
            <w:pPr>
              <w:spacing w:after="0" w:before="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Hands-on practice – simulations</w:t>
            </w:r>
          </w:p>
          <w:p w:rsidR="00000000" w:rsidDel="00000000" w:rsidP="00000000" w:rsidRDefault="00000000" w:rsidRPr="00000000" w14:paraId="00000015">
            <w:pPr>
              <w:spacing w:after="0" w:before="0" w:lineRule="auto"/>
              <w:rPr>
                <w:sz w:val="22"/>
                <w:szCs w:val="22"/>
                <w:u w:val="single"/>
              </w:rPr>
            </w:pPr>
            <w:r w:rsidDel="00000000" w:rsidR="00000000" w:rsidRPr="00000000">
              <w:rPr>
                <w:sz w:val="22"/>
                <w:szCs w:val="22"/>
                <w:u w:val="single"/>
                <w:rtl w:val="0"/>
              </w:rPr>
              <w:t xml:space="preserve">Day 2</w:t>
            </w:r>
          </w:p>
          <w:p w:rsidR="00000000" w:rsidDel="00000000" w:rsidP="00000000" w:rsidRDefault="00000000" w:rsidRPr="00000000" w14:paraId="00000016">
            <w:pPr>
              <w:spacing w:after="0" w:before="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Intuition building on FTACV using simulations (FT, windowing, Gibbs, 2</w:t>
            </w:r>
            <w:r w:rsidDel="00000000" w:rsidR="00000000" w:rsidRPr="00000000">
              <w:rPr>
                <w:i w:val="1"/>
                <w:iCs w:val="1"/>
                <w:sz w:val="22"/>
                <w:szCs w:val="22"/>
                <w:vertAlign w:val="superscript"/>
                <w:rtl w:val="0"/>
              </w:rPr>
              <w:t xml:space="preserve">N</w:t>
            </w:r>
            <w:r w:rsidDel="00000000" w:rsidR="00000000" w:rsidRPr="00000000">
              <w:rPr>
                <w:sz w:val="22"/>
                <w:szCs w:val="22"/>
                <w:rtl w:val="0"/>
              </w:rPr>
              <w:t xml:space="preserve">, frequency, amplitude, </w:t>
            </w:r>
            <w:r w:rsidDel="00000000" w:rsidR="00000000" w:rsidRPr="00000000">
              <w:rPr>
                <w:i w:val="1"/>
                <w:iCs w:val="1"/>
                <w:sz w:val="22"/>
                <w:szCs w:val="22"/>
                <w:rtl w:val="0"/>
              </w:rPr>
              <w:t xml:space="preserve">R</w:t>
            </w:r>
            <w:r w:rsidDel="00000000" w:rsidR="00000000" w:rsidRPr="00000000">
              <w:rPr>
                <w:sz w:val="22"/>
                <w:szCs w:val="22"/>
                <w:vertAlign w:val="subscript"/>
                <w:rtl w:val="0"/>
              </w:rPr>
              <w:t xml:space="preserve">u</w:t>
            </w:r>
            <w:r w:rsidDel="00000000" w:rsidR="00000000" w:rsidRPr="00000000">
              <w:rPr>
                <w:sz w:val="22"/>
                <w:szCs w:val="22"/>
                <w:rtl w:val="0"/>
              </w:rPr>
              <w:t xml:space="preserve">, </w:t>
            </w:r>
            <w:r w:rsidDel="00000000" w:rsidR="00000000" w:rsidRPr="00000000">
              <w:rPr>
                <w:i w:val="1"/>
                <w:iCs w:val="1"/>
                <w:sz w:val="22"/>
                <w:szCs w:val="22"/>
                <w:rtl w:val="0"/>
              </w:rPr>
              <w:t xml:space="preserve">C</w:t>
            </w:r>
            <w:r w:rsidDel="00000000" w:rsidR="00000000" w:rsidRPr="00000000">
              <w:rPr>
                <w:sz w:val="22"/>
                <w:szCs w:val="22"/>
                <w:vertAlign w:val="subscript"/>
                <w:rtl w:val="0"/>
              </w:rPr>
              <w:t xml:space="preserve">dl</w:t>
            </w:r>
            <w:r w:rsidDel="00000000" w:rsidR="00000000" w:rsidRPr="00000000">
              <w:rPr>
                <w:sz w:val="22"/>
                <w:szCs w:val="22"/>
                <w:rtl w:val="0"/>
              </w:rPr>
              <w:t xml:space="preserve">, </w:t>
            </w:r>
            <w:r w:rsidDel="00000000" w:rsidR="00000000" w:rsidRPr="00000000">
              <w:rPr>
                <w:i w:val="1"/>
                <w:iCs w:val="1"/>
                <w:sz w:val="22"/>
                <w:szCs w:val="22"/>
                <w:rtl w:val="0"/>
              </w:rPr>
              <w:t xml:space="preserve">k</w:t>
            </w:r>
            <w:r w:rsidDel="00000000" w:rsidR="00000000" w:rsidRPr="00000000">
              <w:rPr>
                <w:sz w:val="22"/>
                <w:szCs w:val="22"/>
                <w:rtl w:val="0"/>
              </w:rPr>
              <w:t xml:space="preserve">, </w:t>
            </w:r>
            <w:r w:rsidDel="00000000" w:rsidR="00000000" w:rsidRPr="00000000">
              <w:rPr>
                <w:i w:val="1"/>
                <w:iCs w:val="1"/>
                <w:sz w:val="22"/>
                <w:szCs w:val="22"/>
                <w:rtl w:val="0"/>
              </w:rPr>
              <w:t xml:space="preserve">E</w:t>
            </w:r>
            <w:r w:rsidDel="00000000" w:rsidR="00000000" w:rsidRPr="00000000">
              <w:rPr>
                <w:sz w:val="22"/>
                <w:szCs w:val="22"/>
                <w:rtl w:val="0"/>
              </w:rPr>
              <w:t xml:space="preserve">, α)</w:t>
            </w:r>
          </w:p>
          <w:p w:rsidR="00000000" w:rsidDel="00000000" w:rsidP="00000000" w:rsidRDefault="00000000" w:rsidRPr="00000000" w14:paraId="00000017">
            <w:pPr>
              <w:spacing w:after="0" w:before="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Run experiments:</w:t>
              <w:br w:type="textWrapping"/>
              <w:t xml:space="preserve">(1) RC elements - testing limits of the potentiostat</w:t>
              <w:br w:type="textWrapping"/>
              <w:t xml:space="preserve">(2) species dissolved in solution such as Ferricyanide</w:t>
            </w:r>
          </w:p>
          <w:p w:rsidR="00000000" w:rsidDel="00000000" w:rsidP="00000000" w:rsidRDefault="00000000" w:rsidRPr="00000000" w14:paraId="00000018">
            <w:pPr>
              <w:spacing w:after="0" w:before="0" w:lineRule="auto"/>
              <w:rPr>
                <w:sz w:val="22"/>
                <w:szCs w:val="22"/>
                <w:u w:val="single"/>
              </w:rPr>
            </w:pPr>
            <w:r w:rsidDel="00000000" w:rsidR="00000000" w:rsidRPr="00000000">
              <w:rPr>
                <w:sz w:val="22"/>
                <w:szCs w:val="22"/>
                <w:u w:val="single"/>
                <w:rtl w:val="0"/>
              </w:rPr>
              <w:t xml:space="preserve">Day 3</w:t>
            </w:r>
          </w:p>
          <w:p w:rsidR="00000000" w:rsidDel="00000000" w:rsidP="00000000" w:rsidRDefault="00000000" w:rsidRPr="00000000" w14:paraId="00000019">
            <w:pPr>
              <w:spacing w:after="0" w:before="0" w:lineRule="auto"/>
              <w:ind w:left="720" w:firstLine="0"/>
              <w:rPr>
                <w:sz w:val="22"/>
                <w:szCs w:val="22"/>
              </w:rPr>
            </w:pPr>
            <w:r w:rsidDel="00000000" w:rsidR="00000000" w:rsidRPr="00000000">
              <w:rPr>
                <w:sz w:val="22"/>
                <w:szCs w:val="22"/>
                <w:rtl w:val="0"/>
              </w:rPr>
              <w:t xml:space="preserve">- Foundational simulations and mechanism definition (basic simulations, Marcus-Hush theory, and reaction mechanism construction) with ElectroKitty</w:t>
            </w:r>
          </w:p>
          <w:p w:rsidR="00000000" w:rsidDel="00000000" w:rsidP="00000000" w:rsidRDefault="00000000" w:rsidRPr="00000000" w14:paraId="0000001A">
            <w:pPr>
              <w:spacing w:after="0" w:before="0" w:lineRule="auto"/>
              <w:ind w:left="720" w:firstLine="0"/>
              <w:rPr>
                <w:sz w:val="22"/>
                <w:szCs w:val="22"/>
              </w:rPr>
            </w:pPr>
            <w:r w:rsidDel="00000000" w:rsidR="00000000" w:rsidRPr="00000000">
              <w:rPr>
                <w:sz w:val="22"/>
                <w:szCs w:val="22"/>
                <w:rtl w:val="0"/>
              </w:rPr>
              <w:t xml:space="preserve">- Surface dynamics and advanced modeling (surface-confined reactions, dispersion effects, and advanced simulation topics) with ElectroKitty</w:t>
            </w:r>
          </w:p>
          <w:p w:rsidR="00000000" w:rsidDel="00000000" w:rsidP="00000000" w:rsidRDefault="00000000" w:rsidRPr="00000000" w14:paraId="0000001B">
            <w:pPr>
              <w:spacing w:after="0" w:before="0" w:lineRule="auto"/>
              <w:ind w:left="720" w:firstLine="0"/>
              <w:rPr>
                <w:sz w:val="22"/>
                <w:szCs w:val="22"/>
              </w:rPr>
            </w:pPr>
            <w:r w:rsidDel="00000000" w:rsidR="00000000" w:rsidRPr="00000000">
              <w:rPr>
                <w:sz w:val="22"/>
                <w:szCs w:val="22"/>
                <w:rtl w:val="0"/>
              </w:rPr>
              <w:t xml:space="preserve">- Data processing and parameter optimization (workflow for experimental data handling and automated fitting routines) with ElectroKitty</w:t>
            </w:r>
          </w:p>
          <w:p w:rsidR="00000000" w:rsidDel="00000000" w:rsidP="00000000" w:rsidRDefault="00000000" w:rsidRPr="00000000" w14:paraId="0000001C">
            <w:pPr>
              <w:spacing w:after="0" w:before="0" w:lineRule="auto"/>
              <w:rPr>
                <w:sz w:val="22"/>
                <w:szCs w:val="22"/>
                <w:u w:val="single"/>
              </w:rPr>
            </w:pPr>
            <w:r w:rsidDel="00000000" w:rsidR="00000000" w:rsidRPr="00000000">
              <w:rPr>
                <w:sz w:val="22"/>
                <w:szCs w:val="22"/>
                <w:u w:val="single"/>
                <w:rtl w:val="0"/>
              </w:rPr>
              <w:t xml:space="preserve">Day 4</w:t>
            </w:r>
          </w:p>
          <w:p w:rsidR="00000000" w:rsidDel="00000000" w:rsidP="00000000" w:rsidRDefault="00000000" w:rsidRPr="00000000" w14:paraId="0000001D">
            <w:pPr>
              <w:spacing w:after="0" w:before="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DFT calculations of adsorption energies</w:t>
            </w:r>
          </w:p>
          <w:p w:rsidR="00000000" w:rsidDel="00000000" w:rsidP="00000000" w:rsidRDefault="00000000" w:rsidRPr="00000000" w14:paraId="0000001E">
            <w:pPr>
              <w:spacing w:after="0" w:before="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Construction of Free energy diagrams and Predicting the limiting potential</w:t>
            </w:r>
          </w:p>
          <w:p w:rsidR="00000000" w:rsidDel="00000000" w:rsidP="00000000" w:rsidRDefault="00000000" w:rsidRPr="00000000" w14:paraId="0000001F">
            <w:pPr>
              <w:spacing w:after="0" w:before="0" w:lineRule="auto"/>
              <w:ind w:left="720" w:firstLine="0"/>
              <w:rPr>
                <w:sz w:val="22"/>
                <w:szCs w:val="22"/>
              </w:rPr>
            </w:pPr>
            <w:r w:rsidDel="00000000" w:rsidR="00000000" w:rsidRPr="00000000">
              <w:rPr>
                <w:sz w:val="22"/>
                <w:szCs w:val="22"/>
                <w:rtl w:val="0"/>
              </w:rPr>
              <w:t xml:space="preserve">- Micro-kinetics modelling based on DFT data</w:t>
            </w:r>
          </w:p>
          <w:p w:rsidR="00000000" w:rsidDel="00000000" w:rsidP="00000000" w:rsidRDefault="00000000" w:rsidRPr="00000000" w14:paraId="00000020">
            <w:pPr>
              <w:spacing w:after="0" w:before="0" w:lineRule="auto"/>
              <w:ind w:left="0" w:firstLine="0"/>
              <w:rPr>
                <w:sz w:val="22"/>
                <w:szCs w:val="22"/>
                <w:u w:val="single"/>
              </w:rPr>
            </w:pPr>
            <w:r w:rsidDel="00000000" w:rsidR="00000000" w:rsidRPr="00000000">
              <w:rPr>
                <w:sz w:val="22"/>
                <w:szCs w:val="22"/>
                <w:u w:val="single"/>
                <w:rtl w:val="0"/>
              </w:rPr>
              <w:t xml:space="preserve">Day 5</w:t>
            </w:r>
          </w:p>
          <w:p w:rsidR="00000000" w:rsidDel="00000000" w:rsidP="00000000" w:rsidRDefault="00000000" w:rsidRPr="00000000" w14:paraId="00000021">
            <w:pPr>
              <w:spacing w:after="0" w:before="0" w:lineRule="auto"/>
              <w:ind w:left="720" w:firstLine="0"/>
              <w:rPr>
                <w:sz w:val="22"/>
                <w:szCs w:val="22"/>
              </w:rPr>
            </w:pPr>
            <w:r w:rsidDel="00000000" w:rsidR="00000000" w:rsidRPr="00000000">
              <w:rPr>
                <w:sz w:val="22"/>
                <w:szCs w:val="22"/>
                <w:rtl w:val="0"/>
              </w:rPr>
              <w:t xml:space="preserve">- Summarising the visit and writing the report. </w:t>
            </w:r>
          </w:p>
          <w:p w:rsidR="00000000" w:rsidDel="00000000" w:rsidP="00000000" w:rsidRDefault="00000000" w:rsidRPr="00000000" w14:paraId="00000022">
            <w:pPr>
              <w:spacing w:after="0" w:before="0" w:lineRule="auto"/>
              <w:ind w:left="720" w:firstLine="0"/>
              <w:rPr>
                <w:sz w:val="22"/>
                <w:szCs w:val="22"/>
              </w:rPr>
            </w:pPr>
            <w:r w:rsidDel="00000000" w:rsidR="00000000" w:rsidRPr="00000000">
              <w:rPr>
                <w:sz w:val="22"/>
                <w:szCs w:val="22"/>
                <w:rtl w:val="0"/>
              </w:rPr>
              <w:t xml:space="preserve">- Making the plan and preparing infrastructure for the joint publication.</w:t>
            </w:r>
            <w:r w:rsidDel="00000000" w:rsidR="00000000" w:rsidRPr="00000000">
              <w:rPr>
                <w:rtl w:val="0"/>
              </w:rPr>
            </w:r>
          </w:p>
        </w:tc>
      </w:tr>
      <w:tr>
        <w:trPr>
          <w:cantSplit w:val="0"/>
          <w:trHeight w:val="1952" w:hRule="atLeast"/>
          <w:tblHeader w:val="0"/>
        </w:trPr>
        <w:tc>
          <w:tcPr>
            <w:tcBorders>
              <w:top w:color="000000" w:space="0" w:sz="4" w:val="single"/>
              <w:bottom w:color="000000" w:space="0" w:sz="4" w:val="single"/>
            </w:tcBorders>
          </w:tcPr>
          <w:p w:rsidR="00000000" w:rsidDel="00000000" w:rsidP="00000000" w:rsidRDefault="00000000" w:rsidRPr="00000000" w14:paraId="00000023">
            <w:pPr>
              <w:spacing w:before="120" w:lineRule="auto"/>
              <w:rPr>
                <w:b w:val="1"/>
                <w:bCs w:val="1"/>
                <w:sz w:val="22"/>
                <w:szCs w:val="22"/>
                <w:u w:val="single"/>
              </w:rPr>
            </w:pPr>
            <w:r w:rsidDel="00000000" w:rsidR="00000000" w:rsidRPr="00000000">
              <w:rPr>
                <w:b w:val="1"/>
                <w:bCs w:val="1"/>
                <w:sz w:val="22"/>
                <w:szCs w:val="22"/>
                <w:u w:val="single"/>
                <w:rtl w:val="0"/>
              </w:rPr>
              <w:t xml:space="preserve">Expected outputs and contribution to the Action MoU objectives and deliverables. </w:t>
            </w:r>
          </w:p>
          <w:p w:rsidR="00000000" w:rsidDel="00000000" w:rsidP="00000000" w:rsidRDefault="00000000" w:rsidRPr="00000000" w14:paraId="00000024">
            <w:pPr>
              <w:spacing w:before="120" w:lineRule="auto"/>
              <w:rPr/>
            </w:pPr>
            <w:r w:rsidDel="00000000" w:rsidR="00000000" w:rsidRPr="00000000">
              <w:rPr>
                <w:rtl w:val="0"/>
              </w:rPr>
              <w:t xml:space="preserve">This STSM provides a significant contribution to the EU-CONCERT Action by integrating theoretical and experimental expertise across 4 member institutions, directly addressing the following MoU objectives:</w:t>
            </w:r>
          </w:p>
          <w:p w:rsidR="00000000" w:rsidDel="00000000" w:rsidP="00000000" w:rsidRDefault="00000000" w:rsidRPr="00000000" w14:paraId="00000025">
            <w:pPr>
              <w:numPr>
                <w:ilvl w:val="0"/>
                <w:numId w:val="1"/>
              </w:numPr>
              <w:spacing w:before="120" w:lineRule="auto"/>
              <w:ind w:left="720" w:hanging="360"/>
            </w:pPr>
            <w:r w:rsidDel="00000000" w:rsidR="00000000" w:rsidRPr="00000000">
              <w:rPr>
                <w:b w:val="1"/>
                <w:bCs w:val="1"/>
                <w:rtl w:val="0"/>
              </w:rPr>
              <w:t xml:space="preserve">Capacity Building and Knowledge Transfer (Objective 4):</w:t>
            </w:r>
            <w:r w:rsidDel="00000000" w:rsidR="00000000" w:rsidRPr="00000000">
              <w:rPr>
                <w:rtl w:val="0"/>
              </w:rPr>
              <w:t xml:space="preserve"> The primary goal is the transfer of specialized knowledge on FTACV and electrochemical simulations. We will establish a sustainable repository of teaching and learning materials, including tutorials, to support early-career researchers within the network. Dissemination will be achieved through online seminars and professional outreach, ensuring the training impact extends to the wider CA24103 community.</w:t>
            </w:r>
          </w:p>
          <w:p w:rsidR="00000000" w:rsidDel="00000000" w:rsidP="00000000" w:rsidRDefault="00000000" w:rsidRPr="00000000" w14:paraId="00000026">
            <w:pPr>
              <w:numPr>
                <w:ilvl w:val="0"/>
                <w:numId w:val="1"/>
              </w:numPr>
              <w:spacing w:before="120" w:lineRule="auto"/>
              <w:ind w:left="720" w:hanging="360"/>
            </w:pPr>
            <w:r w:rsidDel="00000000" w:rsidR="00000000" w:rsidRPr="00000000">
              <w:rPr>
                <w:b w:val="1"/>
                <w:bCs w:val="1"/>
                <w:rtl w:val="0"/>
              </w:rPr>
              <w:t xml:space="preserve">Benchmarking and Data Sharing (Objective 3):</w:t>
            </w:r>
            <w:r w:rsidDel="00000000" w:rsidR="00000000" w:rsidRPr="00000000">
              <w:rPr>
                <w:rtl w:val="0"/>
              </w:rPr>
              <w:t xml:space="preserve"> We will establish a new repository dedicated to FTACV experimental data and workflows. Additionally, we will update the existing </w:t>
            </w:r>
            <w:r w:rsidDel="00000000" w:rsidR="00000000" w:rsidRPr="00000000">
              <w:rPr>
                <w:i w:val="1"/>
                <w:iCs w:val="1"/>
                <w:rtl w:val="0"/>
              </w:rPr>
              <w:t xml:space="preserve">ElectroKitty (https://github.com/RedrumKid/ElectroKitty)</w:t>
            </w:r>
            <w:r w:rsidDel="00000000" w:rsidR="00000000" w:rsidRPr="00000000">
              <w:rPr>
                <w:rtl w:val="0"/>
              </w:rPr>
              <w:t xml:space="preserve"> and </w:t>
            </w:r>
            <w:r w:rsidDel="00000000" w:rsidR="00000000" w:rsidRPr="00000000">
              <w:rPr>
                <w:i w:val="1"/>
                <w:iCs w:val="1"/>
                <w:rtl w:val="0"/>
              </w:rPr>
              <w:t xml:space="preserve">ElectrocatalysisNotebooks (https://github.com/doublelayer/ElectrocatalysisNotebooks)</w:t>
            </w:r>
            <w:r w:rsidDel="00000000" w:rsidR="00000000" w:rsidRPr="00000000">
              <w:rPr>
                <w:rtl w:val="0"/>
              </w:rPr>
              <w:t xml:space="preserve"> repositories, ensuring standardized data formats and improved simulation workflows. This infrastructure will serve as a resource for the COST CONCERT to promote reproducibility and harmonized data analysis.</w:t>
            </w:r>
          </w:p>
          <w:p w:rsidR="00000000" w:rsidDel="00000000" w:rsidP="00000000" w:rsidRDefault="00000000" w:rsidRPr="00000000" w14:paraId="00000027">
            <w:pPr>
              <w:spacing w:before="120" w:lineRule="auto"/>
              <w:rPr>
                <w:color w:val="000000"/>
              </w:rPr>
            </w:pPr>
            <w:r w:rsidDel="00000000" w:rsidR="00000000" w:rsidRPr="00000000">
              <w:rPr>
                <w:b w:val="1"/>
                <w:bCs w:val="1"/>
                <w:rtl w:val="0"/>
              </w:rPr>
              <w:t xml:space="preserve">Collection of Experimental Data and Simulation Validation (Objective 2):</w:t>
            </w:r>
            <w:r w:rsidDel="00000000" w:rsidR="00000000" w:rsidRPr="00000000">
              <w:rPr>
                <w:rtl w:val="0"/>
              </w:rPr>
              <w:t xml:space="preserve"> By combining high-level FTACV experimental data with Python-based simulation techniques and DFT-informed micro-kinetic modelling, this work will generate benchmark datasets for the COST CONCERT. These activities are designed to validate computational predictions against standardized experimental systems, laying the groundwork for a joint scientific publication.</w:t>
            </w: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sectPr>
      <w:headerReference r:id="rId8" w:type="default"/>
      <w:headerReference r:id="rId9" w:type="first"/>
      <w:footerReference r:id="rId10" w:type="default"/>
      <w:footerReference r:id="rId11" w:type="first"/>
      <w:pgSz w:h="16840" w:w="11900" w:orient="portrait"/>
      <w:pgMar w:bottom="851" w:top="1418" w:left="1418" w:right="1418" w:header="1418" w:footer="59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Effr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-10172283</wp:posOffset>
              </wp:positionV>
              <wp:extent cx="5769525" cy="549525"/>
              <wp:effectExtent b="0" l="0" r="0" t="0"/>
              <wp:wrapNone/>
              <wp:docPr id="1" name=""/>
              <a:graphic>
                <a:graphicData uri="http://schemas.microsoft.com/office/word/2010/wordprocessingShape">
                  <wps:wsp>
                    <wps:cNvSpPr/>
                    <wps:cNvPr id="2" name="Shape 2"/>
                    <wps:spPr>
                      <a:xfrm>
                        <a:off x="2466000" y="3510000"/>
                        <a:ext cx="5760000" cy="540000"/>
                      </a:xfrm>
                      <a:prstGeom prst="rect">
                        <a:avLst/>
                      </a:prstGeom>
                      <a:noFill/>
                      <a:ln>
                        <a:noFill/>
                      </a:ln>
                    </wps:spPr>
                    <wps:txbx>
                      <w:txbxContent>
                        <w:p w:rsidR="00000000" w:rsidDel="00000000" w:rsidP="00000000" w:rsidRDefault="00000000" w:rsidRPr="00000000">
                          <w:pPr>
                            <w:spacing w:after="20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 3</w:t>
                          </w:r>
                        </w:p>
                      </w:txbxContent>
                    </wps:txbx>
                    <wps:bodyPr anchorCtr="0" anchor="t" bIns="288000" lIns="91425"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-10172283</wp:posOffset>
              </wp:positionV>
              <wp:extent cx="5769525" cy="549525"/>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769525" cy="5495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Effra" w:cs="Effra" w:eastAsia="Effra" w:hAnsi="Effra"/>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bCs w:val="1"/>
        <w:i w:val="0"/>
        <w:iCs w:val="0"/>
        <w:smallCaps w:val="0"/>
        <w:strike w:val="0"/>
        <w:color w:val="3d5abf"/>
        <w:sz w:val="17"/>
        <w:szCs w:val="17"/>
        <w:u w:val="none"/>
        <w:shd w:fill="auto" w:val="clear"/>
        <w:vertAlign w:val="baseline"/>
      </w:rPr>
    </w:pPr>
    <w:r w:rsidDel="00000000" w:rsidR="00000000" w:rsidRPr="00000000">
      <w:rPr>
        <w:rFonts w:ascii="Effra" w:cs="Effra" w:eastAsia="Effra" w:hAnsi="Effra"/>
        <w:b w:val="1"/>
        <w:bCs w:val="1"/>
        <w:i w:val="0"/>
        <w:iCs w:val="0"/>
        <w:smallCaps w:val="0"/>
        <w:strike w:val="0"/>
        <w:color w:val="3d5abf"/>
        <w:sz w:val="17"/>
        <w:szCs w:val="17"/>
        <w:u w:val="none"/>
        <w:shd w:fill="auto" w:val="clear"/>
        <w:vertAlign w:val="baseline"/>
        <w:rtl w:val="0"/>
      </w:rPr>
      <w:t xml:space="preserve">COST Association AISBL</w:t>
    </w:r>
    <w:r w:rsidDel="00000000" w:rsidR="00000000" w:rsidRPr="00000000">
      <w:drawing>
        <wp:anchor allowOverlap="1" behindDoc="0" distB="0" distT="0" distL="114300" distR="114300" hidden="0" layoutInCell="1" locked="0" relativeHeight="0" simplePos="0">
          <wp:simplePos x="0" y="0"/>
          <wp:positionH relativeFrom="column">
            <wp:posOffset>3995420</wp:posOffset>
          </wp:positionH>
          <wp:positionV relativeFrom="paragraph">
            <wp:posOffset>20320</wp:posOffset>
          </wp:positionV>
          <wp:extent cx="1572260" cy="329565"/>
          <wp:effectExtent b="0" l="0" r="0" t="0"/>
          <wp:wrapNone/>
          <wp:docPr descr="Graphical user interface, application&#10;&#10;Description automatically generated" id="4" name="image1.jpg"/>
          <a:graphic>
            <a:graphicData uri="http://schemas.openxmlformats.org/drawingml/2006/picture">
              <pic:pic>
                <pic:nvPicPr>
                  <pic:cNvPr descr="Graphical user interface, application&#10;&#10;Description automatically generated" id="0" name="image1.jpg"/>
                  <pic:cNvPicPr preferRelativeResize="0"/>
                </pic:nvPicPr>
                <pic:blipFill>
                  <a:blip r:embed="rId1"/>
                  <a:srcRect b="0" l="0" r="0" t="0"/>
                  <a:stretch>
                    <a:fillRect/>
                  </a:stretch>
                </pic:blipFill>
                <pic:spPr>
                  <a:xfrm>
                    <a:off x="0" y="0"/>
                    <a:ext cx="1572260" cy="329565"/>
                  </a:xfrm>
                  <a:prstGeom prst="rect"/>
                  <a:ln/>
                </pic:spPr>
              </pic:pic>
            </a:graphicData>
          </a:graphic>
        </wp:anchor>
      </w:drawing>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6379"/>
        <w:tab w:val="left" w:leader="none" w:pos="7210"/>
      </w:tabs>
      <w:spacing w:after="0" w:before="0" w:line="240" w:lineRule="auto"/>
      <w:ind w:left="0" w:right="0" w:firstLine="0"/>
      <w:jc w:val="both"/>
      <w:rPr>
        <w:rFonts w:ascii="Effra" w:cs="Effra" w:eastAsia="Effra" w:hAnsi="Effra"/>
        <w:b w:val="0"/>
        <w:bCs w:val="0"/>
        <w:i w:val="0"/>
        <w:iCs w:val="0"/>
        <w:smallCaps w:val="0"/>
        <w:strike w:val="0"/>
        <w:color w:val="000000"/>
        <w:sz w:val="17"/>
        <w:szCs w:val="17"/>
        <w:u w:val="none"/>
        <w:shd w:fill="auto" w:val="clear"/>
        <w:vertAlign w:val="baseline"/>
      </w:rPr>
    </w:pPr>
    <w:r w:rsidDel="00000000" w:rsidR="00000000" w:rsidRPr="00000000">
      <w:rPr>
        <w:rFonts w:ascii="Effra" w:cs="Effra" w:eastAsia="Effra" w:hAnsi="Effra"/>
        <w:b w:val="0"/>
        <w:bCs w:val="0"/>
        <w:i w:val="0"/>
        <w:iCs w:val="0"/>
        <w:smallCaps w:val="0"/>
        <w:strike w:val="0"/>
        <w:color w:val="000000"/>
        <w:sz w:val="17"/>
        <w:szCs w:val="17"/>
        <w:u w:val="none"/>
        <w:shd w:fill="auto" w:val="clear"/>
        <w:vertAlign w:val="baseline"/>
        <w:rtl w:val="0"/>
      </w:rPr>
      <w:t xml:space="preserve">Avenue du Boulevard – Bolwerklaan 21 | 1210 Brussels, Belgium</w:t>
      <w:tab/>
      <w:tab/>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s>
      <w:spacing w:after="0" w:before="0" w:line="240" w:lineRule="auto"/>
      <w:ind w:left="0" w:right="0" w:firstLine="0"/>
      <w:jc w:val="both"/>
      <w:rPr>
        <w:rFonts w:ascii="Effra" w:cs="Effra" w:eastAsia="Effra" w:hAnsi="Effra"/>
        <w:b w:val="0"/>
        <w:bCs w:val="0"/>
        <w:i w:val="0"/>
        <w:iCs w:val="0"/>
        <w:smallCaps w:val="0"/>
        <w:strike w:val="0"/>
        <w:color w:val="000000"/>
        <w:sz w:val="17"/>
        <w:szCs w:val="17"/>
        <w:u w:val="none"/>
        <w:shd w:fill="auto" w:val="clear"/>
        <w:vertAlign w:val="baseline"/>
      </w:rPr>
    </w:pPr>
    <w:r w:rsidDel="00000000" w:rsidR="00000000" w:rsidRPr="00000000">
      <w:rPr>
        <w:rFonts w:ascii="Effra" w:cs="Effra" w:eastAsia="Effra" w:hAnsi="Effra"/>
        <w:b w:val="0"/>
        <w:bCs w:val="0"/>
        <w:i w:val="0"/>
        <w:iCs w:val="0"/>
        <w:smallCaps w:val="0"/>
        <w:strike w:val="0"/>
        <w:color w:val="000000"/>
        <w:sz w:val="17"/>
        <w:szCs w:val="17"/>
        <w:u w:val="none"/>
        <w:shd w:fill="auto" w:val="clear"/>
        <w:vertAlign w:val="baseline"/>
        <w:rtl w:val="0"/>
      </w:rPr>
      <w:t xml:space="preserve">T +32 (0)2 533 3800 | office@cost.eu | www.cost.eu</w:t>
      <w:tab/>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656966"/>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6966"/>
          <w:sz w:val="16"/>
          <w:szCs w:val="16"/>
          <w:u w:val="none"/>
          <w:shd w:fill="auto" w:val="clear"/>
          <w:vertAlign w:val="baseline"/>
          <w:rtl w:val="0"/>
        </w:rPr>
        <w:t xml:space="preserve">This form is part of the application for a grant to visit a host organisation located in a different country than the country of affiliation.  It is submitted to the COST Action MC via-e-COST. The Grant Awarding Coordinator coordinates the evaluation on behalf of the Action MC and informs the Grant Holder of the result of the evaluation for issuing the Grant Letter.</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132292</wp:posOffset>
          </wp:positionH>
          <wp:positionV relativeFrom="page">
            <wp:posOffset>0</wp:posOffset>
          </wp:positionV>
          <wp:extent cx="7560000" cy="1090872"/>
          <wp:effectExtent b="0" l="0" r="0" t="0"/>
          <wp:wrapNone/>
          <wp:docPr id="3"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7560000" cy="1090872"/>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right" w:leader="none" w:pos="906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716915</wp:posOffset>
          </wp:positionH>
          <wp:positionV relativeFrom="page">
            <wp:posOffset>492125</wp:posOffset>
          </wp:positionV>
          <wp:extent cx="2222726" cy="875325"/>
          <wp:effectExtent b="0" l="0" r="0" t="0"/>
          <wp:wrapNone/>
          <wp:docPr id="5" name="image2.png"/>
          <a:graphic>
            <a:graphicData uri="http://schemas.openxmlformats.org/drawingml/2006/picture">
              <pic:pic>
                <pic:nvPicPr>
                  <pic:cNvPr id="0" name="image2.png"/>
                  <pic:cNvPicPr preferRelativeResize="0"/>
                </pic:nvPicPr>
                <pic:blipFill>
                  <a:blip r:embed="rId1"/>
                  <a:srcRect b="23428" l="7762" r="62672" t="27438"/>
                  <a:stretch>
                    <a:fillRect/>
                  </a:stretch>
                </pic:blipFill>
                <pic:spPr>
                  <a:xfrm>
                    <a:off x="0" y="0"/>
                    <a:ext cx="2222726" cy="875325"/>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4300483</wp:posOffset>
          </wp:positionH>
          <wp:positionV relativeFrom="paragraph">
            <wp:posOffset>-367664</wp:posOffset>
          </wp:positionV>
          <wp:extent cx="1439042" cy="786453"/>
          <wp:effectExtent b="0" l="0" r="0" t="0"/>
          <wp:wrapNone/>
          <wp:docPr descr="A blue logo with a person holding a guitar and pipette&#10;&#10;AI-generated content may be incorrect." id="2" name="image3.png"/>
          <a:graphic>
            <a:graphicData uri="http://schemas.openxmlformats.org/drawingml/2006/picture">
              <pic:pic>
                <pic:nvPicPr>
                  <pic:cNvPr descr="A blue logo with a person holding a guitar and pipette&#10;&#10;AI-generated content may be incorrect." id="0" name="image3.png"/>
                  <pic:cNvPicPr preferRelativeResize="0"/>
                </pic:nvPicPr>
                <pic:blipFill>
                  <a:blip r:embed="rId2"/>
                  <a:srcRect b="0" l="0" r="0" t="0"/>
                  <a:stretch>
                    <a:fillRect/>
                  </a:stretch>
                </pic:blipFill>
                <pic:spPr>
                  <a:xfrm>
                    <a:off x="0" y="0"/>
                    <a:ext cx="1439042" cy="786453"/>
                  </a:xfrm>
                  <a:prstGeom prst="rect"/>
                  <a:ln/>
                </pic:spPr>
              </pic:pic>
            </a:graphicData>
          </a:graphic>
        </wp:anchor>
      </w:drawing>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1"/>
        <w:bCs w:val="1"/>
        <w:i w:val="0"/>
        <w:iCs w:val="0"/>
        <w:smallCaps w:val="0"/>
        <w:strike w:val="0"/>
        <w:color w:val="3d5ab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right" w:leader="none" w:pos="906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_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240" w:line="360" w:lineRule="auto"/>
      <w:ind w:left="360" w:hanging="360"/>
    </w:pPr>
    <w:rPr>
      <w:b w:val="1"/>
      <w:bCs w:val="1"/>
      <w:smallCaps w:val="1"/>
      <w:color w:val="3d5abf"/>
      <w:sz w:val="34"/>
      <w:szCs w:val="34"/>
    </w:rPr>
  </w:style>
  <w:style w:type="paragraph" w:styleId="Heading2">
    <w:name w:val="heading 2"/>
    <w:basedOn w:val="Normal"/>
    <w:next w:val="Normal"/>
    <w:pPr>
      <w:spacing w:after="240" w:before="240" w:line="320" w:lineRule="auto"/>
      <w:ind w:left="1418" w:hanging="698"/>
    </w:pPr>
    <w:rPr>
      <w:b w:val="0"/>
      <w:bCs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1418" w:hanging="698"/>
    </w:pPr>
    <w:rPr>
      <w:b w:val="0"/>
      <w:bCs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1418" w:hanging="698"/>
    </w:pPr>
    <w:rPr>
      <w:b w:val="0"/>
      <w:bCs w:val="0"/>
      <w:i w:val="1"/>
      <w:iCs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2694" w:hanging="1973.9999999999998"/>
    </w:pPr>
    <w:rPr>
      <w:b w:val="0"/>
      <w:bCs w:val="0"/>
      <w:i w:val="0"/>
      <w:iCs w:val="0"/>
      <w:smallCaps w:val="0"/>
      <w:color w:val="1c254a"/>
      <w:sz w:val="20"/>
      <w:szCs w:val="2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color w:val="000000"/>
      <w:sz w:val="56"/>
      <w:szCs w:val="56"/>
    </w:rPr>
  </w:style>
  <w:style w:type="paragraph" w:styleId="Subtitle">
    <w:name w:val="Subtitle"/>
    <w:basedOn w:val="Normal"/>
    <w:next w:val="Normal"/>
    <w:pPr>
      <w:spacing w:after="240" w:line="240" w:lineRule="auto"/>
    </w:pPr>
    <w:rPr>
      <w:color w:val="5a5a5a"/>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FT/SkdZnbzCjZoqKAX0NI3FYxQ==">CgMxLjAyDmguY3ptdnY0cG80bnNvOAByITF4aDBkVkdMZmtYVXhKNVE3RFJYUzYtR2xQRzBpUzEwcQ==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0x010100E685109AC51BE24D8F9E0FD2B66D218100B54D9B0F53B6D84F867EA4FED4ECF795</vt:lpwstr>
  </property>
  <property fmtid="{D5CDD505-2E9C-101B-9397-08002B2CF9AE}" pid="3" name="j183d2c7879f46cdad1b7768093a4c45">
    <vt:lpwstr>j183d2c7879f46cdad1b7768093a4c45</vt:lpwstr>
  </property>
  <property fmtid="{D5CDD505-2E9C-101B-9397-08002B2CF9AE}" pid="4" name="Meeting_x002F_Event_x0020_Type">
    <vt:lpwstr>Meeting_x002F_Event_x0020_Type</vt:lpwstr>
  </property>
  <property fmtid="{D5CDD505-2E9C-101B-9397-08002B2CF9AE}" pid="5" name="h683663ddb1648d98d5d829c69644b8b">
    <vt:lpwstr>h683663ddb1648d98d5d829c69644b8b</vt:lpwstr>
  </property>
  <property fmtid="{D5CDD505-2E9C-101B-9397-08002B2CF9AE}" pid="6" name="m6dd6d7cf7dd434e9aac1e6dc36a87ef">
    <vt:lpwstr>m6dd6d7cf7dd434e9aac1e6dc36a87ef</vt:lpwstr>
  </property>
  <property fmtid="{D5CDD505-2E9C-101B-9397-08002B2CF9AE}" pid="7" name="Process">
    <vt:lpwstr>Process</vt:lpwstr>
  </property>
  <property fmtid="{D5CDD505-2E9C-101B-9397-08002B2CF9AE}" pid="8" name="Stakeholders">
    <vt:lpwstr>Stakeholders</vt:lpwstr>
  </property>
  <property fmtid="{D5CDD505-2E9C-101B-9397-08002B2CF9AE}" pid="9" name="Unit">
    <vt:lpwstr>Unit</vt:lpwstr>
  </property>
  <property fmtid="{D5CDD505-2E9C-101B-9397-08002B2CF9AE}" pid="10" name="Geographic_x0020_Location">
    <vt:lpwstr>Geographic_x0020_Location</vt:lpwstr>
  </property>
  <property fmtid="{D5CDD505-2E9C-101B-9397-08002B2CF9AE}" pid="11" name="Doument_x0020_Type">
    <vt:lpwstr>Doument_x0020_Type</vt:lpwstr>
  </property>
  <property fmtid="{D5CDD505-2E9C-101B-9397-08002B2CF9AE}" pid="12" name="k9326ab33cb644c9beade3642bf61ccd">
    <vt:lpwstr>k9326ab33cb644c9beade3642bf61ccd</vt:lpwstr>
  </property>
  <property fmtid="{D5CDD505-2E9C-101B-9397-08002B2CF9AE}" pid="13" name="Domain">
    <vt:lpwstr>Domain</vt:lpwstr>
  </property>
  <property fmtid="{D5CDD505-2E9C-101B-9397-08002B2CF9AE}" pid="14" name="Budget_x0020_Line">
    <vt:lpwstr>Budget_x0020_Line</vt:lpwstr>
  </property>
  <property fmtid="{D5CDD505-2E9C-101B-9397-08002B2CF9AE}" pid="15" name="kcdfa49aeaa74483b65ac40edc00c77e">
    <vt:lpwstr>kcdfa49aeaa74483b65ac40edc00c77e</vt:lpwstr>
  </property>
  <property fmtid="{D5CDD505-2E9C-101B-9397-08002B2CF9AE}" pid="16" name="Meeting/Event Type">
    <vt:lpwstr>Meeting/Event Type</vt:lpwstr>
  </property>
  <property fmtid="{D5CDD505-2E9C-101B-9397-08002B2CF9AE}" pid="17" name="Budget Line">
    <vt:lpwstr>Budget Line</vt:lpwstr>
  </property>
  <property fmtid="{D5CDD505-2E9C-101B-9397-08002B2CF9AE}" pid="18" name="Geographic Location">
    <vt:lpwstr>Geographic Location</vt:lpwstr>
  </property>
  <property fmtid="{D5CDD505-2E9C-101B-9397-08002B2CF9AE}" pid="19" name="Doument Type">
    <vt:lpwstr>Doument Type</vt:lpwstr>
  </property>
  <property fmtid="{D5CDD505-2E9C-101B-9397-08002B2CF9AE}" pid="20" name="Order">
    <vt:lpwstr>12300</vt:lpwstr>
  </property>
  <property fmtid="{D5CDD505-2E9C-101B-9397-08002B2CF9AE}" pid="21" name="Action Number">
    <vt:lpwstr>Action Number</vt:lpwstr>
  </property>
</Properties>
</file>