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b/>
          <w:sz w:val="28"/>
        </w:rPr>
        <w:t>SECUREAGENT</w:t>
      </w:r>
    </w:p>
    <w:p>
      <w:pPr>
        <w:spacing w:before="200" w:after="80"/>
      </w:pPr>
      <w:r>
        <w:rPr>
          <w:rFonts w:ascii="Times New Roman" w:hAnsi="Times New Roman"/>
          <w:b/>
          <w:sz w:val="28"/>
        </w:rPr>
        <w:t>Adversarial Attack Surface Analysis and Runtime Policy Enforcement for AI Agent Tools</w:t>
      </w:r>
    </w:p>
    <w:p>
      <w:r>
        <w:rPr>
          <w:rFonts w:ascii="Times New Roman" w:hAnsi="Times New Roman"/>
          <w:b w:val="0"/>
          <w:sz w:val="24"/>
        </w:rPr>
        <w:t>Capstone Project Report — Mid Semester Evaluation</w:t>
      </w:r>
    </w:p>
    <w:p>
      <w:r>
        <w:rPr>
          <w:rFonts w:ascii="Times New Roman" w:hAnsi="Times New Roman"/>
          <w:b w:val="0"/>
          <w:sz w:val="24"/>
        </w:rPr>
        <w:t>Submitted by:</w:t>
      </w:r>
    </w:p>
    <w:p>
      <w:r>
        <w:rPr>
          <w:rFonts w:ascii="Times New Roman" w:hAnsi="Times New Roman"/>
          <w:b w:val="0"/>
          <w:sz w:val="24"/>
        </w:rPr>
        <w:t>(102303179) AARAV DUDEJA</w:t>
      </w:r>
    </w:p>
    <w:p>
      <w:r>
        <w:rPr>
          <w:rFonts w:ascii="Times New Roman" w:hAnsi="Times New Roman"/>
          <w:b w:val="0"/>
          <w:sz w:val="24"/>
        </w:rPr>
        <w:t>(102303904) AKSHAT SRIVASTAVA</w:t>
      </w:r>
    </w:p>
    <w:p>
      <w:r>
        <w:rPr>
          <w:rFonts w:ascii="Times New Roman" w:hAnsi="Times New Roman"/>
          <w:b w:val="0"/>
          <w:sz w:val="24"/>
        </w:rPr>
        <w:t>(102306026) HITEN YADAV</w:t>
      </w:r>
    </w:p>
    <w:p>
      <w:r>
        <w:rPr>
          <w:rFonts w:ascii="Times New Roman" w:hAnsi="Times New Roman"/>
          <w:b w:val="0"/>
          <w:sz w:val="24"/>
        </w:rPr>
        <w:t>(102317215) SANIL GROVER</w:t>
      </w:r>
    </w:p>
    <w:p>
      <w:r>
        <w:rPr>
          <w:rFonts w:ascii="Times New Roman" w:hAnsi="Times New Roman"/>
          <w:b w:val="0"/>
          <w:sz w:val="24"/>
        </w:rPr>
        <w:t>(102306046) SIMRAN ARORA</w:t>
      </w:r>
    </w:p>
    <w:p>
      <w:r>
        <w:rPr>
          <w:rFonts w:ascii="Times New Roman" w:hAnsi="Times New Roman"/>
          <w:b w:val="0"/>
          <w:sz w:val="24"/>
        </w:rPr>
        <w:t>BE Fourth Year, COE/CSE — CPG No: 215</w:t>
      </w:r>
    </w:p>
    <w:p>
      <w:r>
        <w:rPr>
          <w:rFonts w:ascii="Times New Roman" w:hAnsi="Times New Roman"/>
          <w:b w:val="0"/>
          <w:sz w:val="24"/>
        </w:rPr>
        <w:t>Under the Mentorship of</w:t>
      </w:r>
    </w:p>
    <w:p>
      <w:r>
        <w:rPr>
          <w:rFonts w:ascii="Times New Roman" w:hAnsi="Times New Roman"/>
          <w:b/>
          <w:sz w:val="24"/>
        </w:rPr>
        <w:t>Dr. Gurpal Singh Chhabra</w:t>
      </w:r>
      <w:r>
        <w:rPr>
          <w:rFonts w:ascii="Times New Roman" w:hAnsi="Times New Roman"/>
          <w:b w:val="0"/>
          <w:sz w:val="24"/>
        </w:rPr>
        <w:t>, Assistant Professor, CSE</w:t>
      </w:r>
    </w:p>
    <w:p>
      <w:r>
        <w:rPr>
          <w:rFonts w:ascii="Times New Roman" w:hAnsi="Times New Roman"/>
          <w:b/>
          <w:sz w:val="24"/>
        </w:rPr>
        <w:t>Dr. Amit Kumar Trivedi</w:t>
      </w:r>
      <w:r>
        <w:rPr>
          <w:rFonts w:ascii="Times New Roman" w:hAnsi="Times New Roman"/>
          <w:b w:val="0"/>
          <w:sz w:val="24"/>
        </w:rPr>
        <w:t>, Assistant Professor, CSE</w:t>
      </w:r>
    </w:p>
    <w:p>
      <w:r>
        <w:rPr>
          <w:rFonts w:ascii="Times New Roman" w:hAnsi="Times New Roman"/>
          <w:b w:val="0"/>
          <w:sz w:val="24"/>
        </w:rPr>
        <w:t>Computer Science and Engineering Department</w:t>
      </w:r>
    </w:p>
    <w:p>
      <w:r>
        <w:rPr>
          <w:rFonts w:ascii="Times New Roman" w:hAnsi="Times New Roman"/>
          <w:b w:val="0"/>
          <w:sz w:val="24"/>
        </w:rPr>
        <w:t>Thapar Institute of Engineering and Technology, Patiala</w:t>
      </w:r>
    </w:p>
    <w:p>
      <w:r>
        <w:rPr>
          <w:rFonts w:ascii="Times New Roman" w:hAnsi="Times New Roman"/>
          <w:b w:val="0"/>
          <w:sz w:val="24"/>
        </w:rPr>
        <w:t>August 2026</w:t>
      </w:r>
    </w:p>
    <w:p>
      <w:r>
        <w:br w:type="page"/>
      </w:r>
    </w:p>
    <w:p>
      <w:pPr>
        <w:spacing w:before="200" w:after="80"/>
      </w:pPr>
      <w:r>
        <w:rPr>
          <w:rFonts w:ascii="Times New Roman" w:hAnsi="Times New Roman"/>
          <w:b/>
          <w:sz w:val="28"/>
        </w:rPr>
        <w:t>ABSTRACT</w:t>
      </w:r>
    </w:p>
    <w:p>
      <w:r>
        <w:rPr>
          <w:rFonts w:ascii="Times New Roman" w:hAnsi="Times New Roman"/>
          <w:b w:val="0"/>
          <w:sz w:val="24"/>
        </w:rPr>
        <w:t>Large language model agents now act on the world through tools: they read files, query databases, send email and run commands. The Model Context Protocol (MCP) has made these tools shareable between organisations, which creates a security boundary that current practice does not defend. When an agent connects to a third-party tool server, the tool's description is written by that third party but is read by the agent as trusted instruction text, and any content the tool returns can carry instructions the agent will follow.</w:t>
      </w:r>
    </w:p>
    <w:p>
      <w:r>
        <w:rPr>
          <w:rFonts w:ascii="Times New Roman" w:hAnsi="Times New Roman"/>
          <w:b w:val="0"/>
          <w:sz w:val="24"/>
        </w:rPr>
        <w:t>SecureAgent addresses this boundary without modifying the agent or the tool. Given only a tool's public description, the system generates adversarial prompts across six categories of tool misuse, runs them against a live agent, and records what the agent actually did. From the attacks that succeeded it synthesises an information-flow security policy, and it enforces that policy at runtime through a gateway placed in front of the agent.</w:t>
      </w:r>
    </w:p>
    <w:p>
      <w:r>
        <w:rPr>
          <w:rFonts w:ascii="Times New Roman" w:hAnsi="Times New Roman"/>
          <w:b w:val="0"/>
          <w:sz w:val="24"/>
        </w:rPr>
        <w:t>The central design problem is that blocking attacks is trivial if utility is ignored: a policy that disables the tool blocks every attack and every legitimate use. SecureAgent therefore measures both sides, replaying attack traces and legitimate-use traces through the same enforcement gates. Across a ten-tool corpus over five independent runs, the synthesised policies blocked 87% of the attacks that had succeeded against the unguarded agent while allowing 100% of legitimate use. Live enforcement was demonstrated end to end: an attempt to read a secret file and email it out was blocked at the network step, while an ordinary file read through the same gateway completed normally.</w:t>
      </w:r>
    </w:p>
    <w:p>
      <w:r>
        <w:rPr>
          <w:rFonts w:ascii="Times New Roman" w:hAnsi="Times New Roman"/>
          <w:b w:val="0"/>
          <w:sz w:val="24"/>
        </w:rPr>
        <w:t>Four objectives were approved at proposal evaluation. Three are substantially complete and one is partial, giving 71% weighted completion at mid-semester. The principal outstanding items are statistical repetition of the corpus evaluation and calibration of the automated grader against human labels.</w:t>
      </w:r>
    </w:p>
    <w:p>
      <w:r>
        <w:rPr>
          <w:rFonts w:ascii="Times New Roman" w:hAnsi="Times New Roman"/>
          <w:b/>
          <w:sz w:val="24"/>
        </w:rPr>
        <w:t>Keywords:</w:t>
      </w:r>
      <w:r>
        <w:rPr>
          <w:rFonts w:ascii="Times New Roman" w:hAnsi="Times New Roman"/>
          <w:b w:val="0"/>
          <w:sz w:val="24"/>
        </w:rPr>
        <w:t xml:space="preserve"> AI agent security, Model Context Protocol, prompt injection, information-flow control, runtime policy enforcement.</w:t>
      </w:r>
    </w:p>
    <w:p>
      <w:r>
        <w:br w:type="page"/>
      </w:r>
    </w:p>
    <w:p>
      <w:pPr>
        <w:sectPr>
          <w:footerReference w:type="default" r:id="rId9"/>
          <w:pgSz w:w="11909" w:h="16834"/>
          <w:pgMar w:top="1440" w:right="1440" w:bottom="1440" w:left="2160" w:header="720" w:footer="720" w:gutter="0"/>
          <w:cols w:space="720"/>
          <w:docGrid w:linePitch="360"/>
          <w:pgNumType w:fmt="lowerRoman" w:start="1"/>
        </w:sectPr>
      </w:pPr>
    </w:p>
    <w:p>
      <w:r>
        <w:br w:type="page"/>
      </w:r>
    </w:p>
    <w:p>
      <w:pPr>
        <w:spacing w:after="240"/>
        <w:jc w:val="right"/>
        <w:pBdr>
          <w:bottom w:val="single" w:sz="18" w:space="4" w:color="000000"/>
        </w:pBdr>
      </w:pPr>
      <w:r>
        <w:rPr>
          <w:rFonts w:ascii="Times New Roman" w:hAnsi="Times New Roman"/>
          <w:b/>
          <w:sz w:val="32"/>
        </w:rPr>
        <w:t>CHAPTER 1: INTRODUCTION</w:t>
      </w:r>
    </w:p>
    <w:p>
      <w:pPr>
        <w:spacing w:before="200" w:after="80"/>
      </w:pPr>
      <w:r>
        <w:rPr>
          <w:rFonts w:ascii="Times New Roman" w:hAnsi="Times New Roman"/>
          <w:b/>
          <w:sz w:val="28"/>
        </w:rPr>
        <w:t>1.1 Project Overview</w:t>
      </w:r>
    </w:p>
    <w:p>
      <w:r>
        <w:rPr>
          <w:rFonts w:ascii="Times New Roman" w:hAnsi="Times New Roman"/>
          <w:b w:val="0"/>
          <w:sz w:val="24"/>
        </w:rPr>
        <w:t>An AI agent is a language model that has been given tools and permission to use them. The model receives a request, decides which tools to call, sees the results, and continues until it judges the task complete. This is a significant change from a chatbot: the model's output is no longer text that a human reads and evaluates, it is an action that takes effect.</w:t>
      </w:r>
    </w:p>
    <w:p>
      <w:r>
        <w:rPr>
          <w:rFonts w:ascii="Times New Roman" w:hAnsi="Times New Roman"/>
          <w:b w:val="0"/>
          <w:sz w:val="24"/>
        </w:rPr>
        <w:t>The Model Context Protocol standardised how tools are described and offered to agents. A tool server publishes each tool's name, a natural-language description of what it does, and a schema for its parameters. An agent connects, reads the list, and can immediately use the tools. The benefit is obvious — tools become portable across vendors — but so is the consequence. The description that tells the agent what a tool does is supplied by whoever runs the server, and the agent treats it as trustworthy. When that server belongs to someone else, an untrusted party is writing text directly into the agent's reasoning.</w:t>
      </w:r>
    </w:p>
    <w:p>
      <w:r>
        <w:rPr>
          <w:rFonts w:ascii="Times New Roman" w:hAnsi="Times New Roman"/>
          <w:b w:val="0"/>
          <w:sz w:val="24"/>
        </w:rPr>
        <w:t>Two attack channels follow. In the first, the attacker controls the tool description and plants instructions inside it, so the agent is misdirected before any tool runs; OWASP catalogues this as tool poisoning [20]. In the second, the description is honest but the data the tool returns contains instructions — a web page, an email, a database row — and the agent, unable to separate data from instruction, follows them. This is indirect prompt injection [5], and it is the harder case because the user's own request was entirely benign.</w:t>
      </w:r>
    </w:p>
    <w:p>
      <w:r>
        <w:rPr>
          <w:rFonts w:ascii="Times New Roman" w:hAnsi="Times New Roman"/>
          <w:b w:val="0"/>
          <w:sz w:val="24"/>
        </w:rPr>
        <w:t>Existing defences fall into two groups, and neither closes the gap. Prompt-level defences such as spotlighting [11] mark untrusted content so the model is likelier to ignore embedded instructions. They are cheap and helpful, but they work by persuading the model, so they fail exactly when the model has been successfully manipulated. Architectural defences such as CaMeL [17] give strong guarantees by restructuring the agent around a trusted planner, but they require rebuilding the agent, which is not an option for a team that merely connects to a third-party tool.</w:t>
      </w:r>
    </w:p>
    <w:p>
      <w:r>
        <w:rPr>
          <w:rFonts w:ascii="Times New Roman" w:hAnsi="Times New Roman"/>
          <w:b w:val="0"/>
          <w:sz w:val="24"/>
        </w:rPr>
        <w:t>SecureAgent occupies the space between them. It assumes the agent cannot be rewritten and the tool's implementation cannot be inspected — only its public description is available, which is precisely the position of an organisation adopting an external tool server. From that description alone it determines how the tool can be abused, and it produces a policy enforced outside the model, so enforcement does not depend on the model behaving.</w:t>
      </w:r>
    </w:p>
    <w:p>
      <w:r>
        <w:rPr>
          <w:rFonts w:ascii="Times New Roman" w:hAnsi="Times New Roman"/>
          <w:b w:val="0"/>
          <w:sz w:val="24"/>
        </w:rPr>
        <w:t>The system runs in three stages. The first profiles the tool, generates adversarial prompts across six misuse categories using eight named red-team techniques, sends them to a live agent, and scores what the agent did. Attacks that fail are refined and retried with progressively stronger techniques. The second stage analyses the successful attacks, classifies why each worked, and aggregates patterns across them. The third converts those patterns into a machine-readable policy: which capabilities the tool may use, how sensitive data may flow, and which operations must be blocked, audited, or escalated for human confirmation.</w:t>
      </w:r>
    </w:p>
    <w:p>
      <w:r>
        <w:rPr>
          <w:rFonts w:ascii="Times New Roman" w:hAnsi="Times New Roman"/>
          <w:b w:val="0"/>
          <w:sz w:val="24"/>
        </w:rPr>
        <w:t>The policy is then checked rather than assumed. Every recorded attack trace is replayed through the policy by a deterministic checker that consults no language model, so reported effectiveness is a measurement rather than a prediction. The same checker replays a suite of legitimate tasks, which is what stops the security number being achieved by simply switching the tool off. Finally a gateway loads the policy and enforces it on a live agent, so the offline measurement is reproduced in a running system.</w:t>
      </w:r>
    </w:p>
    <w:p>
      <w:pPr>
        <w:spacing w:before="200" w:after="80"/>
      </w:pPr>
      <w:r>
        <w:rPr>
          <w:rFonts w:ascii="Times New Roman" w:hAnsi="Times New Roman"/>
          <w:b/>
          <w:sz w:val="28"/>
        </w:rPr>
        <w:t>1.2 Need Analysis</w:t>
      </w:r>
    </w:p>
    <w:p>
      <w:r>
        <w:rPr>
          <w:rFonts w:ascii="Times New Roman" w:hAnsi="Times New Roman"/>
          <w:b w:val="0"/>
          <w:sz w:val="24"/>
        </w:rPr>
        <w:t>Tool-using agents are being deployed faster than they are being secured. Organisations are connecting agents to email, file storage, internal databases and shell access, and MCP has removed most of the friction from doing so with third-party tools. The security assumption inherited from ordinary software — that a component's description is documentation, not input — does not hold when the consumer of that description is a language model.</w:t>
      </w:r>
    </w:p>
    <w:p>
      <w:r>
        <w:rPr>
          <w:rFonts w:ascii="Times New Roman" w:hAnsi="Times New Roman"/>
          <w:b w:val="0"/>
          <w:sz w:val="24"/>
        </w:rPr>
        <w:t>The practical gap is that the party adopting a tool is usually not the party that wrote it, and has neither the source code nor the ability to change the agent framework. Existing work does not serve this position. Benchmarks such as AgentDojo [8] and AgentHarm [9] measure how often attacks succeed but produce no defence. Architectural defences produce a strong defence but require control of the agent. Prompt-level defences require neither, but are only as reliable as the model's compliance.</w:t>
      </w:r>
    </w:p>
    <w:p>
      <w:r>
        <w:rPr>
          <w:rFonts w:ascii="Times New Roman" w:hAnsi="Times New Roman"/>
          <w:b w:val="0"/>
          <w:sz w:val="24"/>
        </w:rPr>
        <w:t>There is also a workload argument. Writing a sound information-flow policy by hand demands security expertise most teams lack, must be repeated per tool, and goes stale whenever a tool changes. Automating policy generation from the description is what makes the approach usable at the scale at which tools are actually being adopted.</w:t>
      </w:r>
    </w:p>
    <w:p>
      <w:r>
        <w:rPr>
          <w:rFonts w:ascii="Times New Roman" w:hAnsi="Times New Roman"/>
          <w:b w:val="0"/>
          <w:sz w:val="24"/>
        </w:rPr>
        <w:t>The significance of the work is therefore that it targets the common deployment position rather than the ideal one, and that it produces an artefact — an enforceable policy — rather than only a measurement.</w:t>
      </w:r>
    </w:p>
    <w:p>
      <w:pPr>
        <w:spacing w:before="200" w:after="80"/>
      </w:pPr>
      <w:r>
        <w:rPr>
          <w:rFonts w:ascii="Times New Roman" w:hAnsi="Times New Roman"/>
          <w:b/>
          <w:sz w:val="28"/>
        </w:rPr>
        <w:t>1.3 Research Gaps</w:t>
      </w:r>
    </w:p>
    <w:p>
      <w:r>
        <w:rPr>
          <w:rFonts w:ascii="Times New Roman" w:hAnsi="Times New Roman"/>
          <w:b/>
          <w:sz w:val="24"/>
        </w:rPr>
        <w:t>Gap 1 — Evaluation without defence.</w:t>
      </w:r>
      <w:r>
        <w:rPr>
          <w:rFonts w:ascii="Times New Roman" w:hAnsi="Times New Roman"/>
          <w:b w:val="0"/>
          <w:sz w:val="24"/>
        </w:rPr>
        <w:t xml:space="preserve"> Agent security benchmarks quantify attack success and stop there. AgentDojo [8] and AgentHarm [9] provide attack suites and scoring; neither emits a policy or any runtime control. The step from "this tool is exploitable" to "here is what to enforce" is left to the practitioner.</w:t>
      </w:r>
    </w:p>
    <w:p>
      <w:r>
        <w:rPr>
          <w:rFonts w:ascii="Times New Roman" w:hAnsi="Times New Roman"/>
          <w:b/>
          <w:sz w:val="24"/>
        </w:rPr>
        <w:t>Gap 2 — Defences that require rewriting the agent.</w:t>
      </w:r>
      <w:r>
        <w:rPr>
          <w:rFonts w:ascii="Times New Roman" w:hAnsi="Times New Roman"/>
          <w:b w:val="0"/>
          <w:sz w:val="24"/>
        </w:rPr>
        <w:t xml:space="preserve"> CaMeL [17] and related design patterns [16] achieve strong guarantees by restructuring the agent so untrusted data cannot influence control flow. This is sound but assumes ownership of the agent. No comparable protection exists for a team that only connects to a third-party tool.</w:t>
      </w:r>
    </w:p>
    <w:p>
      <w:r>
        <w:rPr>
          <w:rFonts w:ascii="Times New Roman" w:hAnsi="Times New Roman"/>
          <w:b/>
          <w:sz w:val="24"/>
        </w:rPr>
        <w:t>Gap 3 — Defences that depend on model compliance.</w:t>
      </w:r>
      <w:r>
        <w:rPr>
          <w:rFonts w:ascii="Times New Roman" w:hAnsi="Times New Roman"/>
          <w:b w:val="0"/>
          <w:sz w:val="24"/>
        </w:rPr>
        <w:t xml:space="preserve"> Spotlighting and instruction defence [11] reduce injection success substantially, but they operate by persuading the model. A model that has been jailbroken ignores them, which is exactly the condition under which a defence is needed. Enforcement independent of the model's cooperation is not addressed.</w:t>
      </w:r>
    </w:p>
    <w:p>
      <w:r>
        <w:rPr>
          <w:rFonts w:ascii="Times New Roman" w:hAnsi="Times New Roman"/>
          <w:b/>
          <w:sz w:val="24"/>
        </w:rPr>
        <w:t>Gap 4 — Security measured without utility.</w:t>
      </w:r>
      <w:r>
        <w:rPr>
          <w:rFonts w:ascii="Times New Roman" w:hAnsi="Times New Roman"/>
          <w:b w:val="0"/>
          <w:sz w:val="24"/>
        </w:rPr>
        <w:t xml:space="preserve"> Attack-block rate alone is trivially gamed, since denying a capability blocks every attack. Published defence results frequently omit the false-positive rate against legitimate use, so a good policy cannot be distinguished from a merely restrictive one. Where the trade-off is discussed [18], [19], it is not reported as a paired metric.</w:t>
      </w:r>
    </w:p>
    <w:p>
      <w:r>
        <w:rPr>
          <w:rFonts w:ascii="Times New Roman" w:hAnsi="Times New Roman"/>
          <w:b/>
          <w:sz w:val="24"/>
        </w:rPr>
        <w:t>Gap 5 — The tool description as an untrusted input.</w:t>
      </w:r>
      <w:r>
        <w:rPr>
          <w:rFonts w:ascii="Times New Roman" w:hAnsi="Times New Roman"/>
          <w:b w:val="0"/>
          <w:sz w:val="24"/>
        </w:rPr>
        <w:t xml:space="preserve"> Prompt injection research concentrates on the user turn and on retrieved content [5], [6]. In the third-party case the description itself is attacker-supplied, and OWASP lists tool poisoning as a distinct MCP risk [20], but automated detection evaluated against matched clean controls is largely absent, so reported detection rates cannot be separated from a strategy of flagging everything.</w:t>
      </w:r>
    </w:p>
    <w:p>
      <w:pPr>
        <w:spacing w:before="200" w:after="80"/>
      </w:pPr>
      <w:r>
        <w:rPr>
          <w:rFonts w:ascii="Times New Roman" w:hAnsi="Times New Roman"/>
          <w:b/>
          <w:sz w:val="28"/>
        </w:rPr>
        <w:t>1.4 Problem Definition and Scope</w:t>
      </w:r>
    </w:p>
    <w:p>
      <w:r>
        <w:rPr>
          <w:rFonts w:ascii="Times New Roman" w:hAnsi="Times New Roman"/>
          <w:b/>
          <w:sz w:val="24"/>
        </w:rPr>
        <w:t>Problem.</w:t>
      </w:r>
      <w:r>
        <w:rPr>
          <w:rFonts w:ascii="Times New Roman" w:hAnsi="Times New Roman"/>
          <w:b w:val="0"/>
          <w:sz w:val="24"/>
        </w:rPr>
        <w:t xml:space="preserve"> Given only the public description of an MCP tool and access to a running agent that uses it, automatically determine how that tool can be abused and produce a policy that prevents the abuse at runtime without materially reducing the tool's legitimate usefulness.</w:t>
      </w:r>
    </w:p>
    <w:p>
      <w:r>
        <w:rPr>
          <w:rFonts w:ascii="Times New Roman" w:hAnsi="Times New Roman"/>
          <w:b/>
          <w:sz w:val="24"/>
        </w:rPr>
        <w:t>In scope.</w:t>
      </w:r>
      <w:r>
        <w:rPr>
          <w:rFonts w:ascii="Times New Roman" w:hAnsi="Times New Roman"/>
          <w:b w:val="0"/>
          <w:sz w:val="24"/>
        </w:rPr>
        <w:t xml:space="preserve"> Third-party tool descriptions treated as untrusted; indirect prompt injection delivered through tool results; automatic synthesis of information-flow policies; runtime enforcement in front of an unmodified agent; and paired measurement of security and utility.</w:t>
      </w:r>
    </w:p>
    <w:p>
      <w:r>
        <w:rPr>
          <w:rFonts w:ascii="Times New Roman" w:hAnsi="Times New Roman"/>
          <w:b/>
          <w:sz w:val="24"/>
        </w:rPr>
        <w:t>Out of scope, stated deliberately.</w:t>
      </w:r>
      <w:r>
        <w:rPr>
          <w:rFonts w:ascii="Times New Roman" w:hAnsi="Times New Roman"/>
          <w:b w:val="0"/>
          <w:sz w:val="24"/>
        </w:rPr>
        <w:t xml:space="preserve"> The system does not inspect or modify tool implementations, so it cannot detect a tool whose description is honest but whose code is malicious. Cross-server tool shadowing, rug pulls (a server altering a tool after approval), and MCP authorisation and confused-deputy problems are not addressed. The honest description of the contribution is attack-surface analysis derived from descriptions, plus runtime policy synthesis and enforcement.</w:t>
      </w:r>
    </w:p>
    <w:p>
      <w:pPr>
        <w:spacing w:before="200" w:after="80"/>
      </w:pPr>
      <w:r>
        <w:rPr>
          <w:rFonts w:ascii="Times New Roman" w:hAnsi="Times New Roman"/>
          <w:b/>
          <w:sz w:val="28"/>
        </w:rPr>
        <w:t>1.5 Assumptions and Constraints</w:t>
      </w:r>
    </w:p>
    <w:p>
      <w:pPr>
        <w:spacing w:line="240" w:lineRule="auto" w:before="80" w:after="160"/>
        <w:jc w:val="center"/>
      </w:pPr>
      <w:r>
        <w:rPr>
          <w:rFonts w:ascii="Times New Roman" w:hAnsi="Times New Roman"/>
          <w:b/>
          <w:sz w:val="20"/>
        </w:rPr>
        <w:t>TABLE 1.1: Assumptions and constraints.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t>
            </w:r>
          </w:p>
        </w:tc>
        <w:tc>
          <w:tcPr>
            <w:tcW w:type="dxa" w:w="2077"/>
          </w:tcPr>
          <w:p>
            <w:pPr>
              <w:spacing w:line="240" w:lineRule="auto" w:after="40"/>
            </w:pPr>
            <w:r>
              <w:rPr>
                <w:b/>
                <w:sz w:val="20"/>
              </w:rPr>
            </w:r>
            <w:r>
              <w:rPr>
                <w:rFonts w:ascii="Times New Roman" w:hAnsi="Times New Roman"/>
                <w:b/>
                <w:sz w:val="20"/>
              </w:rPr>
              <w:t>Type</w:t>
            </w:r>
          </w:p>
        </w:tc>
        <w:tc>
          <w:tcPr>
            <w:tcW w:type="dxa" w:w="2077"/>
          </w:tcPr>
          <w:p>
            <w:pPr>
              <w:spacing w:line="240" w:lineRule="auto" w:after="40"/>
            </w:pPr>
            <w:r>
              <w:rPr>
                <w:b/>
                <w:sz w:val="20"/>
              </w:rPr>
            </w:r>
            <w:r>
              <w:rPr>
                <w:rFonts w:ascii="Times New Roman" w:hAnsi="Times New Roman"/>
                <w:b/>
                <w:sz w:val="20"/>
              </w:rPr>
              <w:t>Statement</w:t>
            </w:r>
          </w:p>
        </w:tc>
        <w:tc>
          <w:tcPr>
            <w:tcW w:type="dxa" w:w="2077"/>
          </w:tcPr>
          <w:p>
            <w:pPr>
              <w:spacing w:line="240" w:lineRule="auto" w:after="40"/>
            </w:pPr>
            <w:r>
              <w:rPr>
                <w:b/>
                <w:sz w:val="20"/>
              </w:rPr>
            </w:r>
            <w:r>
              <w:rPr>
                <w:rFonts w:ascii="Times New Roman" w:hAnsi="Times New Roman"/>
                <w:b/>
                <w:sz w:val="20"/>
              </w:rPr>
              <w:t>Consequence if false</w:t>
            </w:r>
          </w:p>
        </w:tc>
      </w:tr>
      <w:tr>
        <w:tc>
          <w:tcPr>
            <w:tcW w:type="dxa" w:w="2077"/>
          </w:tcPr>
          <w:p>
            <w:pPr>
              <w:spacing w:line="240" w:lineRule="auto" w:after="40"/>
            </w:pPr>
            <w:r>
              <w:rPr>
                <w:sz w:val="20"/>
              </w:rPr>
            </w:r>
            <w:r>
              <w:rPr>
                <w:rFonts w:ascii="Times New Roman" w:hAnsi="Times New Roman"/>
                <w:b w:val="0"/>
                <w:sz w:val="20"/>
              </w:rPr>
              <w:t>A1</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The tool description available to us is the one the agent is given</w:t>
            </w:r>
          </w:p>
        </w:tc>
        <w:tc>
          <w:tcPr>
            <w:tcW w:type="dxa" w:w="2077"/>
          </w:tcPr>
          <w:p>
            <w:pPr>
              <w:spacing w:line="240" w:lineRule="auto" w:after="40"/>
            </w:pPr>
            <w:r>
              <w:rPr>
                <w:sz w:val="20"/>
              </w:rPr>
            </w:r>
            <w:r>
              <w:rPr>
                <w:rFonts w:ascii="Times New Roman" w:hAnsi="Times New Roman"/>
                <w:b w:val="0"/>
                <w:sz w:val="20"/>
              </w:rPr>
              <w:t>Analysis targets a different surface than the agent sees</w:t>
            </w:r>
          </w:p>
        </w:tc>
      </w:tr>
      <w:tr>
        <w:tc>
          <w:tcPr>
            <w:tcW w:type="dxa" w:w="2077"/>
          </w:tcPr>
          <w:p>
            <w:pPr>
              <w:spacing w:line="240" w:lineRule="auto" w:after="40"/>
            </w:pPr>
            <w:r>
              <w:rPr>
                <w:sz w:val="20"/>
              </w:rPr>
            </w:r>
            <w:r>
              <w:rPr>
                <w:rFonts w:ascii="Times New Roman" w:hAnsi="Times New Roman"/>
                <w:b w:val="0"/>
                <w:sz w:val="20"/>
              </w:rPr>
              <w:t>A2</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The agent is reachable over a network interface for testing</w:t>
            </w:r>
          </w:p>
        </w:tc>
        <w:tc>
          <w:tcPr>
            <w:tcW w:type="dxa" w:w="2077"/>
          </w:tcPr>
          <w:p>
            <w:pPr>
              <w:spacing w:line="240" w:lineRule="auto" w:after="40"/>
            </w:pPr>
            <w:r>
              <w:rPr>
                <w:sz w:val="20"/>
              </w:rPr>
            </w:r>
            <w:r>
              <w:rPr>
                <w:rFonts w:ascii="Times New Roman" w:hAnsi="Times New Roman"/>
                <w:b w:val="0"/>
                <w:sz w:val="20"/>
              </w:rPr>
              <w:t>Attacks cannot be executed against real behaviour</w:t>
            </w:r>
          </w:p>
        </w:tc>
      </w:tr>
      <w:tr>
        <w:tc>
          <w:tcPr>
            <w:tcW w:type="dxa" w:w="2077"/>
          </w:tcPr>
          <w:p>
            <w:pPr>
              <w:spacing w:line="240" w:lineRule="auto" w:after="40"/>
            </w:pPr>
            <w:r>
              <w:rPr>
                <w:sz w:val="20"/>
              </w:rPr>
            </w:r>
            <w:r>
              <w:rPr>
                <w:rFonts w:ascii="Times New Roman" w:hAnsi="Times New Roman"/>
                <w:b w:val="0"/>
                <w:sz w:val="20"/>
              </w:rPr>
              <w:t>A3</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Tool execution during testing can be safely simulated</w:t>
            </w:r>
          </w:p>
        </w:tc>
        <w:tc>
          <w:tcPr>
            <w:tcW w:type="dxa" w:w="2077"/>
          </w:tcPr>
          <w:p>
            <w:pPr>
              <w:spacing w:line="240" w:lineRule="auto" w:after="40"/>
            </w:pPr>
            <w:r>
              <w:rPr>
                <w:sz w:val="20"/>
              </w:rPr>
            </w:r>
            <w:r>
              <w:rPr>
                <w:rFonts w:ascii="Times New Roman" w:hAnsi="Times New Roman"/>
                <w:b w:val="0"/>
                <w:sz w:val="20"/>
              </w:rPr>
              <w:t>Adversarial prompts would cause real damage</w:t>
            </w:r>
          </w:p>
        </w:tc>
      </w:tr>
      <w:tr>
        <w:tc>
          <w:tcPr>
            <w:tcW w:type="dxa" w:w="2077"/>
          </w:tcPr>
          <w:p>
            <w:pPr>
              <w:spacing w:line="240" w:lineRule="auto" w:after="40"/>
            </w:pPr>
            <w:r>
              <w:rPr>
                <w:sz w:val="20"/>
              </w:rPr>
            </w:r>
            <w:r>
              <w:rPr>
                <w:rFonts w:ascii="Times New Roman" w:hAnsi="Times New Roman"/>
                <w:b w:val="0"/>
                <w:sz w:val="20"/>
              </w:rPr>
              <w:t>A4</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A capability can be inferred from a tool's name and schema</w:t>
            </w:r>
          </w:p>
        </w:tc>
        <w:tc>
          <w:tcPr>
            <w:tcW w:type="dxa" w:w="2077"/>
          </w:tcPr>
          <w:p>
            <w:pPr>
              <w:spacing w:line="240" w:lineRule="auto" w:after="40"/>
            </w:pPr>
            <w:r>
              <w:rPr>
                <w:sz w:val="20"/>
              </w:rPr>
            </w:r>
            <w:r>
              <w:rPr>
                <w:rFonts w:ascii="Times New Roman" w:hAnsi="Times New Roman"/>
                <w:b w:val="0"/>
                <w:sz w:val="20"/>
              </w:rPr>
              <w:t>Capability gates may mis-classify unusual tools</w:t>
            </w:r>
          </w:p>
        </w:tc>
      </w:tr>
      <w:tr>
        <w:tc>
          <w:tcPr>
            <w:tcW w:type="dxa" w:w="2077"/>
          </w:tcPr>
          <w:p>
            <w:pPr>
              <w:spacing w:line="240" w:lineRule="auto" w:after="40"/>
            </w:pPr>
            <w:r>
              <w:rPr>
                <w:sz w:val="20"/>
              </w:rPr>
            </w:r>
            <w:r>
              <w:rPr>
                <w:rFonts w:ascii="Times New Roman" w:hAnsi="Times New Roman"/>
                <w:b w:val="0"/>
                <w:sz w:val="20"/>
              </w:rPr>
              <w:t>C1</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No modification to the agent framework or tool implementation</w:t>
            </w:r>
          </w:p>
        </w:tc>
        <w:tc>
          <w:tcPr>
            <w:tcW w:type="dxa" w:w="2077"/>
          </w:tcPr>
          <w:p>
            <w:pPr>
              <w:spacing w:line="240" w:lineRule="auto" w:after="40"/>
            </w:pPr>
            <w:r>
              <w:rPr>
                <w:sz w:val="20"/>
              </w:rPr>
            </w:r>
            <w:r>
              <w:rPr>
                <w:rFonts w:ascii="Times New Roman" w:hAnsi="Times New Roman"/>
                <w:b w:val="0"/>
                <w:sz w:val="20"/>
              </w:rPr>
              <w:t>Rules out architectural defences</w:t>
            </w:r>
          </w:p>
        </w:tc>
      </w:tr>
      <w:tr>
        <w:tc>
          <w:tcPr>
            <w:tcW w:type="dxa" w:w="2077"/>
          </w:tcPr>
          <w:p>
            <w:pPr>
              <w:spacing w:line="240" w:lineRule="auto" w:after="40"/>
            </w:pPr>
            <w:r>
              <w:rPr>
                <w:sz w:val="20"/>
              </w:rPr>
            </w:r>
            <w:r>
              <w:rPr>
                <w:rFonts w:ascii="Times New Roman" w:hAnsi="Times New Roman"/>
                <w:b w:val="0"/>
                <w:sz w:val="20"/>
              </w:rPr>
              <w:t>C2</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Enforcement must not depend on the model's cooperation</w:t>
            </w:r>
          </w:p>
        </w:tc>
        <w:tc>
          <w:tcPr>
            <w:tcW w:type="dxa" w:w="2077"/>
          </w:tcPr>
          <w:p>
            <w:pPr>
              <w:spacing w:line="240" w:lineRule="auto" w:after="40"/>
            </w:pPr>
            <w:r>
              <w:rPr>
                <w:sz w:val="20"/>
              </w:rPr>
            </w:r>
            <w:r>
              <w:rPr>
                <w:rFonts w:ascii="Times New Roman" w:hAnsi="Times New Roman"/>
                <w:b w:val="0"/>
                <w:sz w:val="20"/>
              </w:rPr>
              <w:t>Rules out prompt-only defences as the primary control</w:t>
            </w:r>
          </w:p>
        </w:tc>
      </w:tr>
      <w:tr>
        <w:tc>
          <w:tcPr>
            <w:tcW w:type="dxa" w:w="2077"/>
          </w:tcPr>
          <w:p>
            <w:pPr>
              <w:spacing w:line="240" w:lineRule="auto" w:after="40"/>
            </w:pPr>
            <w:r>
              <w:rPr>
                <w:sz w:val="20"/>
              </w:rPr>
            </w:r>
            <w:r>
              <w:rPr>
                <w:rFonts w:ascii="Times New Roman" w:hAnsi="Times New Roman"/>
                <w:b w:val="0"/>
                <w:sz w:val="20"/>
              </w:rPr>
              <w:t>C3</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Evaluation runs on locally hosted open models</w:t>
            </w:r>
          </w:p>
        </w:tc>
        <w:tc>
          <w:tcPr>
            <w:tcW w:type="dxa" w:w="2077"/>
          </w:tcPr>
          <w:p>
            <w:pPr>
              <w:spacing w:line="240" w:lineRule="auto" w:after="40"/>
            </w:pPr>
            <w:r>
              <w:rPr>
                <w:sz w:val="20"/>
              </w:rPr>
            </w:r>
            <w:r>
              <w:rPr>
                <w:rFonts w:ascii="Times New Roman" w:hAnsi="Times New Roman"/>
                <w:b w:val="0"/>
                <w:sz w:val="20"/>
              </w:rPr>
              <w:t>Results are model-specific and must be reported as such</w:t>
            </w:r>
          </w:p>
        </w:tc>
      </w:tr>
      <w:tr>
        <w:tc>
          <w:tcPr>
            <w:tcW w:type="dxa" w:w="2077"/>
          </w:tcPr>
          <w:p>
            <w:pPr>
              <w:spacing w:line="240" w:lineRule="auto" w:after="40"/>
            </w:pPr>
            <w:r>
              <w:rPr>
                <w:sz w:val="20"/>
              </w:rPr>
            </w:r>
            <w:r>
              <w:rPr>
                <w:rFonts w:ascii="Times New Roman" w:hAnsi="Times New Roman"/>
                <w:b w:val="0"/>
                <w:sz w:val="20"/>
              </w:rPr>
              <w:t>C4</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Attack generation and grading use different model families</w:t>
            </w:r>
          </w:p>
        </w:tc>
        <w:tc>
          <w:tcPr>
            <w:tcW w:type="dxa" w:w="2077"/>
          </w:tcPr>
          <w:p>
            <w:pPr>
              <w:spacing w:line="240" w:lineRule="auto" w:after="40"/>
            </w:pPr>
            <w:r>
              <w:rPr>
                <w:sz w:val="20"/>
              </w:rPr>
            </w:r>
            <w:r>
              <w:rPr>
                <w:rFonts w:ascii="Times New Roman" w:hAnsi="Times New Roman"/>
                <w:b w:val="0"/>
                <w:sz w:val="20"/>
              </w:rPr>
              <w:t>Prevents a model from grading its own output</w:t>
            </w:r>
          </w:p>
        </w:tc>
      </w:tr>
    </w:tbl>
    <w:p>
      <w:pPr>
        <w:spacing w:after="80"/>
      </w:pPr>
    </w:p>
    <w:p>
      <w:pPr>
        <w:spacing w:before="200" w:after="80"/>
      </w:pPr>
      <w:r>
        <w:rPr>
          <w:rFonts w:ascii="Times New Roman" w:hAnsi="Times New Roman"/>
          <w:b/>
          <w:sz w:val="28"/>
        </w:rPr>
        <w:t>1.6 Standards</w:t>
      </w:r>
    </w:p>
    <w:p>
      <w:r>
        <w:rPr>
          <w:rFonts w:ascii="Times New Roman" w:hAnsi="Times New Roman"/>
          <w:b w:val="0"/>
          <w:sz w:val="24"/>
        </w:rPr>
        <w:t>Threat naming follows the OWASP Top 10 for LLM Applications and the OWASP MCP Top 10 [20], so findings map onto vocabulary a security team already uses. The tool format follows the Model Context Protocol specification [27]. The policy model applies established information-flow control principles [15], specifically the rule that data must not flow from a high-confidentiality source to a low-confidentiality sink. References follow IEEE style.</w:t>
      </w:r>
    </w:p>
    <w:p>
      <w:pPr>
        <w:spacing w:before="200" w:after="80"/>
      </w:pPr>
      <w:r>
        <w:rPr>
          <w:rFonts w:ascii="Times New Roman" w:hAnsi="Times New Roman"/>
          <w:b/>
          <w:sz w:val="28"/>
        </w:rPr>
        <w:t>1.7 Approved Objectives</w:t>
      </w:r>
    </w:p>
    <w:p>
      <w:pPr>
        <w:spacing w:line="240" w:lineRule="auto" w:before="80" w:after="160"/>
        <w:jc w:val="center"/>
      </w:pPr>
      <w:r>
        <w:rPr>
          <w:rFonts w:ascii="Times New Roman" w:hAnsi="Times New Roman"/>
          <w:b/>
          <w:sz w:val="20"/>
        </w:rPr>
        <w:t>TABLE 1.2: Status against the objectives approved at proposal evaluation.</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Obj</w:t>
            </w:r>
          </w:p>
        </w:tc>
        <w:tc>
          <w:tcPr>
            <w:tcW w:type="dxa" w:w="2077"/>
          </w:tcPr>
          <w:p>
            <w:pPr>
              <w:spacing w:line="240" w:lineRule="auto" w:after="40"/>
            </w:pPr>
            <w:r>
              <w:rPr>
                <w:b/>
                <w:sz w:val="20"/>
              </w:rPr>
            </w:r>
            <w:r>
              <w:rPr>
                <w:rFonts w:ascii="Times New Roman" w:hAnsi="Times New Roman"/>
                <w:b/>
                <w:sz w:val="20"/>
              </w:rPr>
              <w:t>Objective</w:t>
            </w:r>
          </w:p>
        </w:tc>
        <w:tc>
          <w:tcPr>
            <w:tcW w:type="dxa" w:w="2077"/>
          </w:tcPr>
          <w:p>
            <w:pPr>
              <w:spacing w:line="240" w:lineRule="auto" w:after="40"/>
            </w:pPr>
            <w:r>
              <w:rPr>
                <w:b/>
                <w:sz w:val="20"/>
              </w:rPr>
            </w:r>
            <w:r>
              <w:rPr>
                <w:rFonts w:ascii="Times New Roman" w:hAnsi="Times New Roman"/>
                <w:b/>
                <w:sz w:val="20"/>
              </w:rPr>
              <w:t>Status</w:t>
            </w:r>
          </w:p>
        </w:tc>
        <w:tc>
          <w:tcPr>
            <w:tcW w:type="dxa" w:w="2077"/>
          </w:tcPr>
          <w:p>
            <w:pPr>
              <w:spacing w:line="240" w:lineRule="auto" w:after="40"/>
            </w:pPr>
            <w:r>
              <w:rPr>
                <w:b/>
                <w:sz w:val="20"/>
              </w:rPr>
            </w:r>
            <w:r>
              <w:rPr>
                <w:rFonts w:ascii="Times New Roman" w:hAnsi="Times New Roman"/>
                <w:b/>
                <w:sz w:val="20"/>
              </w:rPr>
              <w:t>%</w:t>
            </w:r>
          </w:p>
        </w:tc>
      </w:tr>
      <w:tr>
        <w:tc>
          <w:tcPr>
            <w:tcW w:type="dxa" w:w="2077"/>
          </w:tcPr>
          <w:p>
            <w:pPr>
              <w:spacing w:line="240" w:lineRule="auto" w:after="40"/>
            </w:pPr>
            <w:r>
              <w:rPr>
                <w:sz w:val="20"/>
              </w:rPr>
            </w:r>
            <w:r>
              <w:rPr>
                <w:rFonts w:ascii="Times New Roman" w:hAnsi="Times New Roman"/>
                <w:b w:val="0"/>
                <w:sz w:val="20"/>
              </w:rPr>
              <w:t>O1</w:t>
            </w:r>
          </w:p>
        </w:tc>
        <w:tc>
          <w:tcPr>
            <w:tcW w:type="dxa" w:w="2077"/>
          </w:tcPr>
          <w:p>
            <w:pPr>
              <w:spacing w:line="240" w:lineRule="auto" w:after="40"/>
            </w:pPr>
            <w:r>
              <w:rPr>
                <w:sz w:val="20"/>
              </w:rPr>
            </w:r>
            <w:r>
              <w:rPr>
                <w:rFonts w:ascii="Times New Roman" w:hAnsi="Times New Roman"/>
                <w:b w:val="0"/>
                <w:sz w:val="20"/>
              </w:rPr>
              <w:t>Red Agent — schema-aware adversarial attack generation</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85</w:t>
            </w:r>
          </w:p>
        </w:tc>
      </w:tr>
      <w:tr>
        <w:tc>
          <w:tcPr>
            <w:tcW w:type="dxa" w:w="2077"/>
          </w:tcPr>
          <w:p>
            <w:pPr>
              <w:spacing w:line="240" w:lineRule="auto" w:after="40"/>
            </w:pPr>
            <w:r>
              <w:rPr>
                <w:sz w:val="20"/>
              </w:rPr>
            </w:r>
            <w:r>
              <w:rPr>
                <w:rFonts w:ascii="Times New Roman" w:hAnsi="Times New Roman"/>
                <w:b w:val="0"/>
                <w:sz w:val="20"/>
              </w:rPr>
              <w:t>O2</w:t>
            </w:r>
          </w:p>
        </w:tc>
        <w:tc>
          <w:tcPr>
            <w:tcW w:type="dxa" w:w="2077"/>
          </w:tcPr>
          <w:p>
            <w:pPr>
              <w:spacing w:line="240" w:lineRule="auto" w:after="40"/>
            </w:pPr>
            <w:r>
              <w:rPr>
                <w:sz w:val="20"/>
              </w:rPr>
            </w:r>
            <w:r>
              <w:rPr>
                <w:rFonts w:ascii="Times New Roman" w:hAnsi="Times New Roman"/>
                <w:b w:val="0"/>
                <w:sz w:val="20"/>
              </w:rPr>
              <w:t>Defender Agent — failure analysis and policy synthesis</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90</w:t>
            </w:r>
          </w:p>
        </w:tc>
      </w:tr>
      <w:tr>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Policy enforcement engine and verification loop</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80</w:t>
            </w:r>
          </w:p>
        </w:tc>
      </w:tr>
      <w:tr>
        <w:tc>
          <w:tcPr>
            <w:tcW w:type="dxa" w:w="2077"/>
          </w:tcPr>
          <w:p>
            <w:pPr>
              <w:spacing w:line="240" w:lineRule="auto" w:after="40"/>
            </w:pPr>
            <w:r>
              <w:rPr>
                <w:sz w:val="20"/>
              </w:rPr>
            </w:r>
            <w:r>
              <w:rPr>
                <w:rFonts w:ascii="Times New Roman" w:hAnsi="Times New Roman"/>
                <w:b w:val="0"/>
                <w:sz w:val="20"/>
              </w:rPr>
              <w:t>O4</w:t>
            </w:r>
          </w:p>
        </w:tc>
        <w:tc>
          <w:tcPr>
            <w:tcW w:type="dxa" w:w="2077"/>
          </w:tcPr>
          <w:p>
            <w:pPr>
              <w:spacing w:line="240" w:lineRule="auto" w:after="40"/>
            </w:pPr>
            <w:r>
              <w:rPr>
                <w:sz w:val="20"/>
              </w:rPr>
            </w:r>
            <w:r>
              <w:rPr>
                <w:rFonts w:ascii="Times New Roman" w:hAnsi="Times New Roman"/>
                <w:b w:val="0"/>
                <w:sz w:val="20"/>
              </w:rPr>
              <w:t>Intent alignment layer and security dashboard</w:t>
            </w:r>
          </w:p>
        </w:tc>
        <w:tc>
          <w:tcPr>
            <w:tcW w:type="dxa" w:w="2077"/>
          </w:tcPr>
          <w:p>
            <w:pPr>
              <w:spacing w:line="240" w:lineRule="auto" w:after="40"/>
            </w:pPr>
            <w:r>
              <w:rPr>
                <w:sz w:val="20"/>
              </w:rPr>
            </w:r>
            <w:r>
              <w:rPr>
                <w:rFonts w:ascii="Times New Roman" w:hAnsi="Times New Roman"/>
                <w:b w:val="0"/>
                <w:sz w:val="20"/>
              </w:rPr>
              <w:t>Partial</w:t>
            </w:r>
          </w:p>
        </w:tc>
        <w:tc>
          <w:tcPr>
            <w:tcW w:type="dxa" w:w="2077"/>
          </w:tcPr>
          <w:p>
            <w:pPr>
              <w:spacing w:line="240" w:lineRule="auto" w:after="40"/>
            </w:pPr>
            <w:r>
              <w:rPr>
                <w:sz w:val="20"/>
              </w:rPr>
            </w:r>
            <w:r>
              <w:rPr>
                <w:rFonts w:ascii="Times New Roman" w:hAnsi="Times New Roman"/>
                <w:b w:val="0"/>
                <w:sz w:val="20"/>
              </w:rPr>
              <w:t>30</w:t>
            </w:r>
          </w:p>
        </w:tc>
      </w:tr>
      <w:tr>
        <w:tc>
          <w:tcPr>
            <w:tcW w:type="dxa" w:w="2077"/>
          </w:tcPr>
          <w:p>
            <w:pPr>
              <w:spacing w:line="240" w:lineRule="auto" w:after="40"/>
            </w:pPr>
            <w:r>
              <w:rPr>
                <w:sz w:val="20"/>
              </w:rPr>
            </w:r>
          </w:p>
        </w:tc>
        <w:tc>
          <w:tcPr>
            <w:tcW w:type="dxa" w:w="2077"/>
          </w:tcPr>
          <w:p>
            <w:pPr>
              <w:spacing w:line="240" w:lineRule="auto" w:after="40"/>
            </w:pPr>
            <w:r>
              <w:rPr>
                <w:sz w:val="20"/>
              </w:rPr>
            </w:r>
            <w:r>
              <w:rPr>
                <w:rFonts w:ascii="Times New Roman" w:hAnsi="Times New Roman"/>
                <w:b/>
                <w:sz w:val="20"/>
              </w:rPr>
              <w:t>Weighted completion</w:t>
            </w:r>
          </w:p>
        </w:tc>
        <w:tc>
          <w:tcPr>
            <w:tcW w:type="dxa" w:w="2077"/>
          </w:tcPr>
          <w:p>
            <w:pPr>
              <w:spacing w:line="240" w:lineRule="auto" w:after="40"/>
            </w:pPr>
            <w:r>
              <w:rPr>
                <w:sz w:val="20"/>
              </w:rPr>
            </w:r>
          </w:p>
        </w:tc>
        <w:tc>
          <w:tcPr>
            <w:tcW w:type="dxa" w:w="2077"/>
          </w:tcPr>
          <w:p>
            <w:pPr>
              <w:spacing w:line="240" w:lineRule="auto" w:after="40"/>
            </w:pPr>
            <w:r>
              <w:rPr>
                <w:sz w:val="20"/>
              </w:rPr>
            </w:r>
            <w:r>
              <w:rPr>
                <w:rFonts w:ascii="Times New Roman" w:hAnsi="Times New Roman"/>
                <w:b/>
                <w:sz w:val="20"/>
              </w:rPr>
              <w:t>71</w:t>
            </w:r>
          </w:p>
        </w:tc>
      </w:tr>
    </w:tbl>
    <w:p>
      <w:pPr>
        <w:spacing w:after="80"/>
      </w:pPr>
    </w:p>
    <w:p>
      <w:r>
        <w:rPr>
          <w:rFonts w:ascii="Times New Roman" w:hAnsi="Times New Roman"/>
          <w:b w:val="0"/>
          <w:sz w:val="24"/>
        </w:rPr>
        <w:t>Two deviations are material and are stated here rather than deferred to Chapter 5. First, the intent alignment layer proposed under O4 — a semantic comparison of the user's goal against the agent's actions — was not built. It was superseded by deterministic information-flow gates, which are stronger where they apply because they do not rely on a model's judgement, but narrower, because they reason about data flow rather than intent. Second, the dashboard was delivered as a static per-run report and an audit endpoint rather than as live monitoring.</w:t>
      </w:r>
    </w:p>
    <w:p>
      <w:pPr>
        <w:spacing w:before="200" w:after="80"/>
      </w:pPr>
      <w:r>
        <w:rPr>
          <w:rFonts w:ascii="Times New Roman" w:hAnsi="Times New Roman"/>
          <w:b/>
          <w:sz w:val="28"/>
        </w:rPr>
        <w:t>1.8 Methodology</w:t>
      </w:r>
    </w:p>
    <w:p>
      <w:r>
        <w:rPr>
          <w:rFonts w:ascii="Times New Roman" w:hAnsi="Times New Roman"/>
          <w:b w:val="0"/>
          <w:sz w:val="24"/>
        </w:rPr>
        <w:t>The project follows a design-science method: build an artefact, then evaluate it against criteria fixed in advance. Development is iterative, each cycle adding a capability together with the measurement that demonstrates it. Evaluation is empirical rather than analytical — attacks are executed against a live agent and outcomes recorded, rather than reasoning about what a model might do. The paired security-utility metric was fixed before results were collected, so evaluation could not be tuned toward a favourable number. Chapter 3 gives the detail.</w:t>
      </w:r>
    </w:p>
    <w:p>
      <w:pPr>
        <w:spacing w:before="200" w:after="80"/>
      </w:pPr>
      <w:r>
        <w:rPr>
          <w:rFonts w:ascii="Times New Roman" w:hAnsi="Times New Roman"/>
          <w:b/>
          <w:sz w:val="28"/>
        </w:rPr>
        <w:t>1.9 Project Outcomes and Deliverables</w:t>
      </w:r>
    </w:p>
    <w:p>
      <w:pPr>
        <w:spacing w:line="240" w:lineRule="auto" w:before="80" w:after="160"/>
        <w:jc w:val="center"/>
      </w:pPr>
      <w:r>
        <w:rPr>
          <w:rFonts w:ascii="Times New Roman" w:hAnsi="Times New Roman"/>
          <w:b/>
          <w:sz w:val="20"/>
        </w:rPr>
        <w:t>TABLE 1.3: Deliverables at mid-semester.</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t>
            </w:r>
          </w:p>
        </w:tc>
        <w:tc>
          <w:tcPr>
            <w:tcW w:type="dxa" w:w="2077"/>
          </w:tcPr>
          <w:p>
            <w:pPr>
              <w:spacing w:line="240" w:lineRule="auto" w:after="40"/>
            </w:pPr>
            <w:r>
              <w:rPr>
                <w:b/>
                <w:sz w:val="20"/>
              </w:rPr>
            </w:r>
            <w:r>
              <w:rPr>
                <w:rFonts w:ascii="Times New Roman" w:hAnsi="Times New Roman"/>
                <w:b/>
                <w:sz w:val="20"/>
              </w:rPr>
              <w:t>Deliverable</w:t>
            </w:r>
          </w:p>
        </w:tc>
        <w:tc>
          <w:tcPr>
            <w:tcW w:type="dxa" w:w="2077"/>
          </w:tcPr>
          <w:p>
            <w:pPr>
              <w:spacing w:line="240" w:lineRule="auto" w:after="40"/>
            </w:pPr>
            <w:r>
              <w:rPr>
                <w:b/>
                <w:sz w:val="20"/>
              </w:rPr>
            </w:r>
            <w:r>
              <w:rPr>
                <w:rFonts w:ascii="Times New Roman" w:hAnsi="Times New Roman"/>
                <w:b/>
                <w:sz w:val="20"/>
              </w:rPr>
              <w:t>Objective</w:t>
            </w:r>
          </w:p>
        </w:tc>
        <w:tc>
          <w:tcPr>
            <w:tcW w:type="dxa" w:w="2077"/>
          </w:tcPr>
          <w:p>
            <w:pPr>
              <w:spacing w:line="240" w:lineRule="auto" w:after="40"/>
            </w:pPr>
            <w:r>
              <w:rPr>
                <w:b/>
                <w:sz w:val="20"/>
              </w:rPr>
            </w:r>
            <w:r>
              <w:rPr>
                <w:rFonts w:ascii="Times New Roman" w:hAnsi="Times New Roman"/>
                <w:b/>
                <w:sz w:val="20"/>
              </w:rPr>
              <w:t>Status</w:t>
            </w:r>
          </w:p>
        </w:tc>
      </w:tr>
      <w:tr>
        <w:tc>
          <w:tcPr>
            <w:tcW w:type="dxa" w:w="2077"/>
          </w:tcPr>
          <w:p>
            <w:pPr>
              <w:spacing w:line="240" w:lineRule="auto" w:after="40"/>
            </w:pPr>
            <w:r>
              <w:rPr>
                <w:sz w:val="20"/>
              </w:rPr>
            </w:r>
            <w:r>
              <w:rPr>
                <w:rFonts w:ascii="Times New Roman" w:hAnsi="Times New Roman"/>
                <w:b w:val="0"/>
                <w:sz w:val="20"/>
              </w:rPr>
              <w:t>1</w:t>
            </w:r>
          </w:p>
        </w:tc>
        <w:tc>
          <w:tcPr>
            <w:tcW w:type="dxa" w:w="2077"/>
          </w:tcPr>
          <w:p>
            <w:pPr>
              <w:spacing w:line="240" w:lineRule="auto" w:after="40"/>
            </w:pPr>
            <w:r>
              <w:rPr>
                <w:sz w:val="20"/>
              </w:rPr>
            </w:r>
            <w:r>
              <w:rPr>
                <w:rFonts w:ascii="Times New Roman" w:hAnsi="Times New Roman"/>
                <w:b w:val="0"/>
                <w:sz w:val="20"/>
              </w:rPr>
              <w:t>Three-stage analysis pipeline with a command-line interface</w:t>
            </w:r>
          </w:p>
        </w:tc>
        <w:tc>
          <w:tcPr>
            <w:tcW w:type="dxa" w:w="2077"/>
          </w:tcPr>
          <w:p>
            <w:pPr>
              <w:spacing w:line="240" w:lineRule="auto" w:after="40"/>
            </w:pPr>
            <w:r>
              <w:rPr>
                <w:sz w:val="20"/>
              </w:rPr>
            </w:r>
            <w:r>
              <w:rPr>
                <w:rFonts w:ascii="Times New Roman" w:hAnsi="Times New Roman"/>
                <w:b w:val="0"/>
                <w:sz w:val="20"/>
              </w:rPr>
              <w:t>O1, O2</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2</w:t>
            </w:r>
          </w:p>
        </w:tc>
        <w:tc>
          <w:tcPr>
            <w:tcW w:type="dxa" w:w="2077"/>
          </w:tcPr>
          <w:p>
            <w:pPr>
              <w:spacing w:line="240" w:lineRule="auto" w:after="40"/>
            </w:pPr>
            <w:r>
              <w:rPr>
                <w:sz w:val="20"/>
              </w:rPr>
            </w:r>
            <w:r>
              <w:rPr>
                <w:rFonts w:ascii="Times New Roman" w:hAnsi="Times New Roman"/>
                <w:b w:val="0"/>
                <w:sz w:val="20"/>
              </w:rPr>
              <w:t>Attack generation over six misuse categories and eight techniques</w:t>
            </w:r>
          </w:p>
        </w:tc>
        <w:tc>
          <w:tcPr>
            <w:tcW w:type="dxa" w:w="2077"/>
          </w:tcPr>
          <w:p>
            <w:pPr>
              <w:spacing w:line="240" w:lineRule="auto" w:after="40"/>
            </w:pPr>
            <w:r>
              <w:rPr>
                <w:sz w:val="20"/>
              </w:rPr>
            </w:r>
            <w:r>
              <w:rPr>
                <w:rFonts w:ascii="Times New Roman" w:hAnsi="Times New Roman"/>
                <w:b w:val="0"/>
                <w:sz w:val="20"/>
              </w:rPr>
              <w:t>O1</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3</w:t>
            </w:r>
          </w:p>
        </w:tc>
        <w:tc>
          <w:tcPr>
            <w:tcW w:type="dxa" w:w="2077"/>
          </w:tcPr>
          <w:p>
            <w:pPr>
              <w:spacing w:line="240" w:lineRule="auto" w:after="40"/>
            </w:pPr>
            <w:r>
              <w:rPr>
                <w:sz w:val="20"/>
              </w:rPr>
            </w:r>
            <w:r>
              <w:rPr>
                <w:rFonts w:ascii="Times New Roman" w:hAnsi="Times New Roman"/>
                <w:b w:val="0"/>
                <w:sz w:val="20"/>
              </w:rPr>
              <w:t>Exploit classification and cross-attack pattern aggregation</w:t>
            </w:r>
          </w:p>
        </w:tc>
        <w:tc>
          <w:tcPr>
            <w:tcW w:type="dxa" w:w="2077"/>
          </w:tcPr>
          <w:p>
            <w:pPr>
              <w:spacing w:line="240" w:lineRule="auto" w:after="40"/>
            </w:pPr>
            <w:r>
              <w:rPr>
                <w:sz w:val="20"/>
              </w:rPr>
            </w:r>
            <w:r>
              <w:rPr>
                <w:rFonts w:ascii="Times New Roman" w:hAnsi="Times New Roman"/>
                <w:b w:val="0"/>
                <w:sz w:val="20"/>
              </w:rPr>
              <w:t>O2</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4</w:t>
            </w:r>
          </w:p>
        </w:tc>
        <w:tc>
          <w:tcPr>
            <w:tcW w:type="dxa" w:w="2077"/>
          </w:tcPr>
          <w:p>
            <w:pPr>
              <w:spacing w:line="240" w:lineRule="auto" w:after="40"/>
            </w:pPr>
            <w:r>
              <w:rPr>
                <w:sz w:val="20"/>
              </w:rPr>
            </w:r>
            <w:r>
              <w:rPr>
                <w:rFonts w:ascii="Times New Roman" w:hAnsi="Times New Roman"/>
                <w:b w:val="0"/>
                <w:sz w:val="20"/>
              </w:rPr>
              <w:t>Machine-enforceable policy in a structured format</w:t>
            </w:r>
          </w:p>
        </w:tc>
        <w:tc>
          <w:tcPr>
            <w:tcW w:type="dxa" w:w="2077"/>
          </w:tcPr>
          <w:p>
            <w:pPr>
              <w:spacing w:line="240" w:lineRule="auto" w:after="40"/>
            </w:pPr>
            <w:r>
              <w:rPr>
                <w:sz w:val="20"/>
              </w:rPr>
            </w:r>
            <w:r>
              <w:rPr>
                <w:rFonts w:ascii="Times New Roman" w:hAnsi="Times New Roman"/>
                <w:b w:val="0"/>
                <w:sz w:val="20"/>
              </w:rPr>
              <w:t>O2</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5</w:t>
            </w:r>
          </w:p>
        </w:tc>
        <w:tc>
          <w:tcPr>
            <w:tcW w:type="dxa" w:w="2077"/>
          </w:tcPr>
          <w:p>
            <w:pPr>
              <w:spacing w:line="240" w:lineRule="auto" w:after="40"/>
            </w:pPr>
            <w:r>
              <w:rPr>
                <w:sz w:val="20"/>
              </w:rPr>
            </w:r>
            <w:r>
              <w:rPr>
                <w:rFonts w:ascii="Times New Roman" w:hAnsi="Times New Roman"/>
                <w:b w:val="0"/>
                <w:sz w:val="20"/>
              </w:rPr>
              <w:t>Deterministic policy checker with four enforcement gates</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6</w:t>
            </w:r>
          </w:p>
        </w:tc>
        <w:tc>
          <w:tcPr>
            <w:tcW w:type="dxa" w:w="2077"/>
          </w:tcPr>
          <w:p>
            <w:pPr>
              <w:spacing w:line="240" w:lineRule="auto" w:after="40"/>
            </w:pPr>
            <w:r>
              <w:rPr>
                <w:sz w:val="20"/>
              </w:rPr>
            </w:r>
            <w:r>
              <w:rPr>
                <w:rFonts w:ascii="Times New Roman" w:hAnsi="Times New Roman"/>
                <w:b w:val="0"/>
                <w:sz w:val="20"/>
              </w:rPr>
              <w:t>Runtime enforcement gateway with audit trail</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7</w:t>
            </w:r>
          </w:p>
        </w:tc>
        <w:tc>
          <w:tcPr>
            <w:tcW w:type="dxa" w:w="2077"/>
          </w:tcPr>
          <w:p>
            <w:pPr>
              <w:spacing w:line="240" w:lineRule="auto" w:after="40"/>
            </w:pPr>
            <w:r>
              <w:rPr>
                <w:sz w:val="20"/>
              </w:rPr>
            </w:r>
            <w:r>
              <w:rPr>
                <w:rFonts w:ascii="Times New Roman" w:hAnsi="Times New Roman"/>
                <w:b w:val="0"/>
                <w:sz w:val="20"/>
              </w:rPr>
              <w:t>Paired security-utility measurement</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8</w:t>
            </w:r>
          </w:p>
        </w:tc>
        <w:tc>
          <w:tcPr>
            <w:tcW w:type="dxa" w:w="2077"/>
          </w:tcPr>
          <w:p>
            <w:pPr>
              <w:spacing w:line="240" w:lineRule="auto" w:after="40"/>
            </w:pPr>
            <w:r>
              <w:rPr>
                <w:sz w:val="20"/>
              </w:rPr>
            </w:r>
            <w:r>
              <w:rPr>
                <w:rFonts w:ascii="Times New Roman" w:hAnsi="Times New Roman"/>
                <w:b w:val="0"/>
                <w:sz w:val="20"/>
              </w:rPr>
              <w:t>Ten-tool evaluation corpus with legitimate-use suites</w:t>
            </w:r>
          </w:p>
        </w:tc>
        <w:tc>
          <w:tcPr>
            <w:tcW w:type="dxa" w:w="2077"/>
          </w:tcPr>
          <w:p>
            <w:pPr>
              <w:spacing w:line="240" w:lineRule="auto" w:after="40"/>
            </w:pPr>
            <w:r>
              <w:rPr>
                <w:sz w:val="20"/>
              </w:rPr>
            </w:r>
            <w:r>
              <w:rPr>
                <w:rFonts w:ascii="Times New Roman" w:hAnsi="Times New Roman"/>
                <w:b w:val="0"/>
                <w:sz w:val="20"/>
              </w:rPr>
              <w:t>O1, 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9</w:t>
            </w:r>
          </w:p>
        </w:tc>
        <w:tc>
          <w:tcPr>
            <w:tcW w:type="dxa" w:w="2077"/>
          </w:tcPr>
          <w:p>
            <w:pPr>
              <w:spacing w:line="240" w:lineRule="auto" w:after="40"/>
            </w:pPr>
            <w:r>
              <w:rPr>
                <w:sz w:val="20"/>
              </w:rPr>
            </w:r>
            <w:r>
              <w:rPr>
                <w:rFonts w:ascii="Times New Roman" w:hAnsi="Times New Roman"/>
                <w:b w:val="0"/>
                <w:sz w:val="20"/>
              </w:rPr>
              <w:t>Seven poisoned tool descriptions with matched clean controls</w:t>
            </w:r>
          </w:p>
        </w:tc>
        <w:tc>
          <w:tcPr>
            <w:tcW w:type="dxa" w:w="2077"/>
          </w:tcPr>
          <w:p>
            <w:pPr>
              <w:spacing w:line="240" w:lineRule="auto" w:after="40"/>
            </w:pPr>
            <w:r>
              <w:rPr>
                <w:sz w:val="20"/>
              </w:rPr>
            </w:r>
            <w:r>
              <w:rPr>
                <w:rFonts w:ascii="Times New Roman" w:hAnsi="Times New Roman"/>
                <w:b w:val="0"/>
                <w:sz w:val="20"/>
              </w:rPr>
              <w:t>O1</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10</w:t>
            </w:r>
          </w:p>
        </w:tc>
        <w:tc>
          <w:tcPr>
            <w:tcW w:type="dxa" w:w="2077"/>
          </w:tcPr>
          <w:p>
            <w:pPr>
              <w:spacing w:line="240" w:lineRule="auto" w:after="40"/>
            </w:pPr>
            <w:r>
              <w:rPr>
                <w:sz w:val="20"/>
              </w:rPr>
            </w:r>
            <w:r>
              <w:rPr>
                <w:rFonts w:ascii="Times New Roman" w:hAnsi="Times New Roman"/>
                <w:b w:val="0"/>
                <w:sz w:val="20"/>
              </w:rPr>
              <w:t>Static security report per run</w:t>
            </w:r>
          </w:p>
        </w:tc>
        <w:tc>
          <w:tcPr>
            <w:tcW w:type="dxa" w:w="2077"/>
          </w:tcPr>
          <w:p>
            <w:pPr>
              <w:spacing w:line="240" w:lineRule="auto" w:after="40"/>
            </w:pPr>
            <w:r>
              <w:rPr>
                <w:sz w:val="20"/>
              </w:rPr>
            </w:r>
            <w:r>
              <w:rPr>
                <w:rFonts w:ascii="Times New Roman" w:hAnsi="Times New Roman"/>
                <w:b w:val="0"/>
                <w:sz w:val="20"/>
              </w:rPr>
              <w:t>O4</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11</w:t>
            </w:r>
          </w:p>
        </w:tc>
        <w:tc>
          <w:tcPr>
            <w:tcW w:type="dxa" w:w="2077"/>
          </w:tcPr>
          <w:p>
            <w:pPr>
              <w:spacing w:line="240" w:lineRule="auto" w:after="40"/>
            </w:pPr>
            <w:r>
              <w:rPr>
                <w:sz w:val="20"/>
              </w:rPr>
            </w:r>
            <w:r>
              <w:rPr>
                <w:rFonts w:ascii="Times New Roman" w:hAnsi="Times New Roman"/>
                <w:b w:val="0"/>
                <w:sz w:val="20"/>
              </w:rPr>
              <w:t>Grader calibration against human labels</w:t>
            </w:r>
          </w:p>
        </w:tc>
        <w:tc>
          <w:tcPr>
            <w:tcW w:type="dxa" w:w="2077"/>
          </w:tcPr>
          <w:p>
            <w:pPr>
              <w:spacing w:line="240" w:lineRule="auto" w:after="40"/>
            </w:pPr>
            <w:r>
              <w:rPr>
                <w:sz w:val="20"/>
              </w:rPr>
            </w:r>
            <w:r>
              <w:rPr>
                <w:rFonts w:ascii="Times New Roman" w:hAnsi="Times New Roman"/>
                <w:b w:val="0"/>
                <w:sz w:val="20"/>
              </w:rPr>
              <w:t>O1, O2</w:t>
            </w:r>
          </w:p>
        </w:tc>
        <w:tc>
          <w:tcPr>
            <w:tcW w:type="dxa" w:w="2077"/>
          </w:tcPr>
          <w:p>
            <w:pPr>
              <w:spacing w:line="240" w:lineRule="auto" w:after="40"/>
            </w:pPr>
            <w:r>
              <w:rPr>
                <w:sz w:val="20"/>
              </w:rPr>
            </w:r>
            <w:r>
              <w:rPr>
                <w:rFonts w:ascii="Times New Roman" w:hAnsi="Times New Roman"/>
                <w:b w:val="0"/>
                <w:sz w:val="20"/>
              </w:rPr>
              <w:t>Outstanding</w:t>
            </w:r>
          </w:p>
        </w:tc>
      </w:tr>
      <w:tr>
        <w:tc>
          <w:tcPr>
            <w:tcW w:type="dxa" w:w="2077"/>
          </w:tcPr>
          <w:p>
            <w:pPr>
              <w:spacing w:line="240" w:lineRule="auto" w:after="40"/>
            </w:pPr>
            <w:r>
              <w:rPr>
                <w:sz w:val="20"/>
              </w:rPr>
            </w:r>
            <w:r>
              <w:rPr>
                <w:rFonts w:ascii="Times New Roman" w:hAnsi="Times New Roman"/>
                <w:b w:val="0"/>
                <w:sz w:val="20"/>
              </w:rPr>
              <w:t>12</w:t>
            </w:r>
          </w:p>
        </w:tc>
        <w:tc>
          <w:tcPr>
            <w:tcW w:type="dxa" w:w="2077"/>
          </w:tcPr>
          <w:p>
            <w:pPr>
              <w:spacing w:line="240" w:lineRule="auto" w:after="40"/>
            </w:pPr>
            <w:r>
              <w:rPr>
                <w:sz w:val="20"/>
              </w:rPr>
            </w:r>
            <w:r>
              <w:rPr>
                <w:rFonts w:ascii="Times New Roman" w:hAnsi="Times New Roman"/>
                <w:b w:val="0"/>
                <w:sz w:val="20"/>
              </w:rPr>
              <w:t>Repeated runs with error bars</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In progress</w:t>
            </w:r>
          </w:p>
        </w:tc>
      </w:tr>
    </w:tbl>
    <w:p>
      <w:pPr>
        <w:spacing w:after="80"/>
      </w:pPr>
    </w:p>
    <w:p>
      <w:pPr>
        <w:spacing w:before="200" w:after="80"/>
      </w:pPr>
      <w:r>
        <w:rPr>
          <w:rFonts w:ascii="Times New Roman" w:hAnsi="Times New Roman"/>
          <w:b/>
          <w:sz w:val="28"/>
        </w:rPr>
        <w:t>1.10 Novelty of Work</w:t>
      </w:r>
    </w:p>
    <w:p>
      <w:r>
        <w:rPr>
          <w:rFonts w:ascii="Times New Roman" w:hAnsi="Times New Roman"/>
          <w:b w:val="0"/>
          <w:sz w:val="24"/>
        </w:rPr>
        <w:t>The contribution is the combination rather than any single element, and three points are new in combination.</w:t>
      </w:r>
    </w:p>
    <w:p>
      <w:r>
        <w:rPr>
          <w:rFonts w:ascii="Times New Roman" w:hAnsi="Times New Roman"/>
          <w:b w:val="0"/>
          <w:sz w:val="24"/>
        </w:rPr>
        <w:t xml:space="preserve">The system produces a </w:t>
      </w:r>
      <w:r>
        <w:rPr>
          <w:rFonts w:ascii="Times New Roman" w:hAnsi="Times New Roman"/>
          <w:b w:val="0"/>
          <w:i/>
          <w:sz w:val="24"/>
        </w:rPr>
        <w:t>defence</w:t>
      </w:r>
      <w:r>
        <w:rPr>
          <w:rFonts w:ascii="Times New Roman" w:hAnsi="Times New Roman"/>
          <w:b w:val="0"/>
          <w:sz w:val="24"/>
        </w:rPr>
        <w:t xml:space="preserve"> from a </w:t>
      </w:r>
      <w:r>
        <w:rPr>
          <w:rFonts w:ascii="Times New Roman" w:hAnsi="Times New Roman"/>
          <w:b w:val="0"/>
          <w:i/>
          <w:sz w:val="24"/>
        </w:rPr>
        <w:t>description</w:t>
      </w:r>
      <w:r>
        <w:rPr>
          <w:rFonts w:ascii="Times New Roman" w:hAnsi="Times New Roman"/>
          <w:b w:val="0"/>
          <w:sz w:val="24"/>
        </w:rPr>
        <w:t>, closing the gap between benchmarks that only measure and architectural defences that require agent ownership. Enforcement sits outside the model, so it continues to hold when the model has been manipulated — which is what distinguishes it from prompt-level mitigation.</w:t>
      </w:r>
    </w:p>
    <w:p>
      <w:r>
        <w:rPr>
          <w:rFonts w:ascii="Times New Roman" w:hAnsi="Times New Roman"/>
          <w:b w:val="0"/>
          <w:sz w:val="24"/>
        </w:rPr>
        <w:t>Effectiveness is measured, not predicted. Attack traces are replayed through the policy by a deterministic checker with no model involvement, and the same checker replays legitimate tasks, so security and utility are reported as a pair. This defeats the degenerate policy that blocks everything, and the project has direct evidence the safeguard is necessary: early versions repeatedly generated exactly that policy, because denying a capability is the bluntest lever available, and two specific guards had to be added to prevent it.</w:t>
      </w:r>
    </w:p>
    <w:p>
      <w:r>
        <w:rPr>
          <w:rFonts w:ascii="Times New Roman" w:hAnsi="Times New Roman"/>
          <w:b w:val="0"/>
          <w:sz w:val="24"/>
        </w:rPr>
        <w:t>Finally, the tool description is treated as an attack surface in its own right, and poisoned descriptions are evaluated against matched clean controls, so detection rates cannot be inflated by a detector that simply flags everything.</w:t>
      </w:r>
    </w:p>
    <w:p>
      <w:r>
        <w:br w:type="page"/>
      </w:r>
    </w:p>
    <w:p>
      <w:pPr>
        <w:spacing w:after="240"/>
        <w:jc w:val="right"/>
        <w:pBdr>
          <w:bottom w:val="single" w:sz="18" w:space="4" w:color="000000"/>
        </w:pBdr>
      </w:pPr>
      <w:r>
        <w:rPr>
          <w:rFonts w:ascii="Times New Roman" w:hAnsi="Times New Roman"/>
          <w:b/>
          <w:sz w:val="32"/>
        </w:rPr>
        <w:t>CHAPTER 2: REQUIREMENT ANALYSIS</w:t>
      </w:r>
    </w:p>
    <w:p>
      <w:pPr>
        <w:spacing w:before="200" w:after="80"/>
      </w:pPr>
      <w:r>
        <w:rPr>
          <w:rFonts w:ascii="Times New Roman" w:hAnsi="Times New Roman"/>
          <w:b/>
          <w:sz w:val="28"/>
        </w:rPr>
        <w:t>2.1 Literature Survey</w:t>
      </w:r>
    </w:p>
    <w:p>
      <w:pPr>
        <w:spacing w:before="200" w:after="80"/>
      </w:pPr>
      <w:r>
        <w:rPr>
          <w:rFonts w:ascii="Times New Roman" w:hAnsi="Times New Roman"/>
          <w:b/>
          <w:sz w:val="26"/>
        </w:rPr>
        <w:t>2.1.1 Theory Associated With the Problem Area</w:t>
      </w:r>
    </w:p>
    <w:p>
      <w:r>
        <w:rPr>
          <w:rFonts w:ascii="Times New Roman" w:hAnsi="Times New Roman"/>
          <w:b w:val="0"/>
          <w:sz w:val="24"/>
        </w:rPr>
        <w:t>Two bodies of theory meet in this project.</w:t>
      </w:r>
    </w:p>
    <w:p>
      <w:r>
        <w:rPr>
          <w:rFonts w:ascii="Times New Roman" w:hAnsi="Times New Roman"/>
          <w:b w:val="0"/>
          <w:sz w:val="24"/>
        </w:rPr>
        <w:t>The first is prompt injection. Language models process instructions and data in the same channel, so text that arrives as data can be interpreted as instruction. Direct injection arrives in the user's own message [1], [4]. Indirect injection arrives through content the model retrieves [5], and is more dangerous in an agent because the user's request may be entirely innocent while the retrieved content carries the attack. Attack strength has improved steadily, from hand-written jailbreaks to automated and transferable methods [2], [3], [25].</w:t>
      </w:r>
    </w:p>
    <w:p>
      <w:r>
        <w:rPr>
          <w:rFonts w:ascii="Times New Roman" w:hAnsi="Times New Roman"/>
          <w:b w:val="0"/>
          <w:sz w:val="24"/>
        </w:rPr>
        <w:t>The second is information-flow control, a decades-old discipline in systems security [15]. Data is labelled with a confidentiality level and the system prevents flows from high to low. The classical rule is that once a process has read secret data it may not write to a public sink. This transfers to agents with one addition: an integrity dual, in which content that arrived from an untrusted source taints subsequent actions, so an agent that has read attacker-controlled text may not then take a consequential action. The first rule stops private data leaving; the second stops attacker instructions being carried out.</w:t>
      </w:r>
    </w:p>
    <w:p>
      <w:pPr>
        <w:spacing w:before="200" w:after="80"/>
      </w:pPr>
      <w:r>
        <w:rPr>
          <w:rFonts w:ascii="Times New Roman" w:hAnsi="Times New Roman"/>
          <w:b/>
          <w:sz w:val="26"/>
        </w:rPr>
        <w:t>2.1.2 Existing Systems and Solutions</w:t>
      </w:r>
    </w:p>
    <w:p>
      <w:r>
        <w:rPr>
          <w:rFonts w:ascii="Times New Roman" w:hAnsi="Times New Roman"/>
          <w:b w:val="0"/>
          <w:sz w:val="24"/>
        </w:rPr>
        <w:t>Benchmarks establish that the problem is real. AgentDojo [8] evaluates agents on realistic tasks with injected attacks; AgentHarm [9] measures harmful agent behaviour across categories; InjecAgent [6] targets tool-integrated agents specifically. All measure; none defend.</w:t>
      </w:r>
    </w:p>
    <w:p>
      <w:r>
        <w:rPr>
          <w:rFonts w:ascii="Times New Roman" w:hAnsi="Times New Roman"/>
          <w:b w:val="0"/>
          <w:sz w:val="24"/>
        </w:rPr>
        <w:t>Prompt-level defences are the deployed state of practice. Spotlighting [11] marks untrusted content by transformation or delimiting and reports substantial reductions in injection success. Instruction defence and sandwiching restate the rules around untrusted content. All share the limitation that they rely on the model complying.</w:t>
      </w:r>
    </w:p>
    <w:p>
      <w:r>
        <w:rPr>
          <w:rFonts w:ascii="Times New Roman" w:hAnsi="Times New Roman"/>
          <w:b w:val="0"/>
          <w:sz w:val="24"/>
        </w:rPr>
        <w:t>Architectural defences are the strongest published results. CaMeL [17] separates a privileged planner from an unprivileged component that touches untrusted data, so injected instructions cannot alter control flow. Related work generalises this into design patterns [16]. These are the closest prior art and the project does not claim to beat them on security; the difference is that they require rewriting the agent and this work does not.</w:t>
      </w:r>
    </w:p>
    <w:p>
      <w:r>
        <w:rPr>
          <w:rFonts w:ascii="Times New Roman" w:hAnsi="Times New Roman"/>
          <w:b w:val="0"/>
          <w:sz w:val="24"/>
        </w:rPr>
        <w:t>MCP-specific work is newer. OWASP has published an MCP Top 10 [20] naming tool poisoning explicitly, and surveys of deployed servers report poisoned descriptions in the wild.</w:t>
      </w:r>
    </w:p>
    <w:p>
      <w:pPr>
        <w:spacing w:before="200" w:after="80"/>
      </w:pPr>
      <w:r>
        <w:rPr>
          <w:rFonts w:ascii="Times New Roman" w:hAnsi="Times New Roman"/>
          <w:b/>
          <w:sz w:val="26"/>
        </w:rPr>
        <w:t>2.1.3 Research Findings From Existing Literature</w:t>
      </w:r>
    </w:p>
    <w:p>
      <w:pPr>
        <w:spacing w:line="240" w:lineRule="auto" w:before="80" w:after="160"/>
        <w:jc w:val="center"/>
      </w:pPr>
      <w:r>
        <w:rPr>
          <w:rFonts w:ascii="Times New Roman" w:hAnsi="Times New Roman"/>
          <w:b/>
          <w:sz w:val="20"/>
        </w:rPr>
        <w:t>TABLE 2.1: Representative literature and what each contributes.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t>
            </w:r>
          </w:p>
        </w:tc>
        <w:tc>
          <w:tcPr>
            <w:tcW w:type="dxa" w:w="2077"/>
          </w:tcPr>
          <w:p>
            <w:pPr>
              <w:spacing w:line="240" w:lineRule="auto" w:after="40"/>
            </w:pPr>
            <w:r>
              <w:rPr>
                <w:b/>
                <w:sz w:val="20"/>
              </w:rPr>
            </w:r>
            <w:r>
              <w:rPr>
                <w:rFonts w:ascii="Times New Roman" w:hAnsi="Times New Roman"/>
                <w:b/>
                <w:sz w:val="20"/>
              </w:rPr>
              <w:t>Work</w:t>
            </w:r>
          </w:p>
        </w:tc>
        <w:tc>
          <w:tcPr>
            <w:tcW w:type="dxa" w:w="2077"/>
          </w:tcPr>
          <w:p>
            <w:pPr>
              <w:spacing w:line="240" w:lineRule="auto" w:after="40"/>
            </w:pPr>
            <w:r>
              <w:rPr>
                <w:b/>
                <w:sz w:val="20"/>
              </w:rPr>
            </w:r>
            <w:r>
              <w:rPr>
                <w:rFonts w:ascii="Times New Roman" w:hAnsi="Times New Roman"/>
                <w:b/>
                <w:sz w:val="20"/>
              </w:rPr>
              <w:t>Contribution</w:t>
            </w:r>
          </w:p>
        </w:tc>
        <w:tc>
          <w:tcPr>
            <w:tcW w:type="dxa" w:w="2077"/>
          </w:tcPr>
          <w:p>
            <w:pPr>
              <w:spacing w:line="240" w:lineRule="auto" w:after="40"/>
            </w:pPr>
            <w:r>
              <w:rPr>
                <w:b/>
                <w:sz w:val="20"/>
              </w:rPr>
            </w:r>
            <w:r>
              <w:rPr>
                <w:rFonts w:ascii="Times New Roman" w:hAnsi="Times New Roman"/>
                <w:b/>
                <w:sz w:val="20"/>
              </w:rPr>
              <w:t>Limitation for this project</w:t>
            </w:r>
          </w:p>
        </w:tc>
      </w:tr>
      <w:tr>
        <w:tc>
          <w:tcPr>
            <w:tcW w:type="dxa" w:w="2077"/>
          </w:tcPr>
          <w:p>
            <w:pPr>
              <w:spacing w:line="240" w:lineRule="auto" w:after="40"/>
            </w:pPr>
            <w:r>
              <w:rPr>
                <w:sz w:val="20"/>
              </w:rPr>
            </w:r>
            <w:r>
              <w:rPr>
                <w:rFonts w:ascii="Times New Roman" w:hAnsi="Times New Roman"/>
                <w:b w:val="0"/>
                <w:sz w:val="20"/>
              </w:rPr>
              <w:t>1</w:t>
            </w:r>
          </w:p>
        </w:tc>
        <w:tc>
          <w:tcPr>
            <w:tcW w:type="dxa" w:w="2077"/>
          </w:tcPr>
          <w:p>
            <w:pPr>
              <w:spacing w:line="240" w:lineRule="auto" w:after="40"/>
            </w:pPr>
            <w:r>
              <w:rPr>
                <w:sz w:val="20"/>
              </w:rPr>
            </w:r>
            <w:r>
              <w:rPr>
                <w:rFonts w:ascii="Times New Roman" w:hAnsi="Times New Roman"/>
                <w:b w:val="0"/>
                <w:sz w:val="20"/>
              </w:rPr>
              <w:t>Prompt injection formalisation [1]</w:t>
            </w:r>
          </w:p>
        </w:tc>
        <w:tc>
          <w:tcPr>
            <w:tcW w:type="dxa" w:w="2077"/>
          </w:tcPr>
          <w:p>
            <w:pPr>
              <w:spacing w:line="240" w:lineRule="auto" w:after="40"/>
            </w:pPr>
            <w:r>
              <w:rPr>
                <w:sz w:val="20"/>
              </w:rPr>
            </w:r>
            <w:r>
              <w:rPr>
                <w:rFonts w:ascii="Times New Roman" w:hAnsi="Times New Roman"/>
                <w:b w:val="0"/>
                <w:sz w:val="20"/>
              </w:rPr>
              <w:t>Names and structures the attack class</w:t>
            </w:r>
          </w:p>
        </w:tc>
        <w:tc>
          <w:tcPr>
            <w:tcW w:type="dxa" w:w="2077"/>
          </w:tcPr>
          <w:p>
            <w:pPr>
              <w:spacing w:line="240" w:lineRule="auto" w:after="40"/>
            </w:pPr>
            <w:r>
              <w:rPr>
                <w:sz w:val="20"/>
              </w:rPr>
            </w:r>
            <w:r>
              <w:rPr>
                <w:rFonts w:ascii="Times New Roman" w:hAnsi="Times New Roman"/>
                <w:b w:val="0"/>
                <w:sz w:val="20"/>
              </w:rPr>
              <w:t>No agent or tool context</w:t>
            </w:r>
          </w:p>
        </w:tc>
      </w:tr>
      <w:tr>
        <w:tc>
          <w:tcPr>
            <w:tcW w:type="dxa" w:w="2077"/>
          </w:tcPr>
          <w:p>
            <w:pPr>
              <w:spacing w:line="240" w:lineRule="auto" w:after="40"/>
            </w:pPr>
            <w:r>
              <w:rPr>
                <w:sz w:val="20"/>
              </w:rPr>
            </w:r>
            <w:r>
              <w:rPr>
                <w:rFonts w:ascii="Times New Roman" w:hAnsi="Times New Roman"/>
                <w:b w:val="0"/>
                <w:sz w:val="20"/>
              </w:rPr>
              <w:t>2</w:t>
            </w:r>
          </w:p>
        </w:tc>
        <w:tc>
          <w:tcPr>
            <w:tcW w:type="dxa" w:w="2077"/>
          </w:tcPr>
          <w:p>
            <w:pPr>
              <w:spacing w:line="240" w:lineRule="auto" w:after="40"/>
            </w:pPr>
            <w:r>
              <w:rPr>
                <w:sz w:val="20"/>
              </w:rPr>
            </w:r>
            <w:r>
              <w:rPr>
                <w:rFonts w:ascii="Times New Roman" w:hAnsi="Times New Roman"/>
                <w:b w:val="0"/>
                <w:sz w:val="20"/>
              </w:rPr>
              <w:t>Automated jailbreak generation [2]</w:t>
            </w:r>
          </w:p>
        </w:tc>
        <w:tc>
          <w:tcPr>
            <w:tcW w:type="dxa" w:w="2077"/>
          </w:tcPr>
          <w:p>
            <w:pPr>
              <w:spacing w:line="240" w:lineRule="auto" w:after="40"/>
            </w:pPr>
            <w:r>
              <w:rPr>
                <w:sz w:val="20"/>
              </w:rPr>
            </w:r>
            <w:r>
              <w:rPr>
                <w:rFonts w:ascii="Times New Roman" w:hAnsi="Times New Roman"/>
                <w:b w:val="0"/>
                <w:sz w:val="20"/>
              </w:rPr>
              <w:t>Attacks can be generated, not hand-written</w:t>
            </w:r>
          </w:p>
        </w:tc>
        <w:tc>
          <w:tcPr>
            <w:tcW w:type="dxa" w:w="2077"/>
          </w:tcPr>
          <w:p>
            <w:pPr>
              <w:spacing w:line="240" w:lineRule="auto" w:after="40"/>
            </w:pPr>
            <w:r>
              <w:rPr>
                <w:sz w:val="20"/>
              </w:rPr>
            </w:r>
            <w:r>
              <w:rPr>
                <w:rFonts w:ascii="Times New Roman" w:hAnsi="Times New Roman"/>
                <w:b w:val="0"/>
                <w:sz w:val="20"/>
              </w:rPr>
              <w:t>Targets chat, not tool use</w:t>
            </w:r>
          </w:p>
        </w:tc>
      </w:tr>
      <w:tr>
        <w:tc>
          <w:tcPr>
            <w:tcW w:type="dxa" w:w="2077"/>
          </w:tcPr>
          <w:p>
            <w:pPr>
              <w:spacing w:line="240" w:lineRule="auto" w:after="40"/>
            </w:pPr>
            <w:r>
              <w:rPr>
                <w:sz w:val="20"/>
              </w:rPr>
            </w:r>
            <w:r>
              <w:rPr>
                <w:rFonts w:ascii="Times New Roman" w:hAnsi="Times New Roman"/>
                <w:b w:val="0"/>
                <w:sz w:val="20"/>
              </w:rPr>
              <w:t>3</w:t>
            </w:r>
          </w:p>
        </w:tc>
        <w:tc>
          <w:tcPr>
            <w:tcW w:type="dxa" w:w="2077"/>
          </w:tcPr>
          <w:p>
            <w:pPr>
              <w:spacing w:line="240" w:lineRule="auto" w:after="40"/>
            </w:pPr>
            <w:r>
              <w:rPr>
                <w:sz w:val="20"/>
              </w:rPr>
            </w:r>
            <w:r>
              <w:rPr>
                <w:rFonts w:ascii="Times New Roman" w:hAnsi="Times New Roman"/>
                <w:b w:val="0"/>
                <w:sz w:val="20"/>
              </w:rPr>
              <w:t>Transferable adversarial prompts [3]</w:t>
            </w:r>
          </w:p>
        </w:tc>
        <w:tc>
          <w:tcPr>
            <w:tcW w:type="dxa" w:w="2077"/>
          </w:tcPr>
          <w:p>
            <w:pPr>
              <w:spacing w:line="240" w:lineRule="auto" w:after="40"/>
            </w:pPr>
            <w:r>
              <w:rPr>
                <w:sz w:val="20"/>
              </w:rPr>
            </w:r>
            <w:r>
              <w:rPr>
                <w:rFonts w:ascii="Times New Roman" w:hAnsi="Times New Roman"/>
                <w:b w:val="0"/>
                <w:sz w:val="20"/>
              </w:rPr>
              <w:t>Attacks transfer across models</w:t>
            </w:r>
          </w:p>
        </w:tc>
        <w:tc>
          <w:tcPr>
            <w:tcW w:type="dxa" w:w="2077"/>
          </w:tcPr>
          <w:p>
            <w:pPr>
              <w:spacing w:line="240" w:lineRule="auto" w:after="40"/>
            </w:pPr>
            <w:r>
              <w:rPr>
                <w:sz w:val="20"/>
              </w:rPr>
            </w:r>
            <w:r>
              <w:rPr>
                <w:rFonts w:ascii="Times New Roman" w:hAnsi="Times New Roman"/>
                <w:b w:val="0"/>
                <w:sz w:val="20"/>
              </w:rPr>
              <w:t>No defence proposed</w:t>
            </w:r>
          </w:p>
        </w:tc>
      </w:tr>
      <w:tr>
        <w:tc>
          <w:tcPr>
            <w:tcW w:type="dxa" w:w="2077"/>
          </w:tcPr>
          <w:p>
            <w:pPr>
              <w:spacing w:line="240" w:lineRule="auto" w:after="40"/>
            </w:pPr>
            <w:r>
              <w:rPr>
                <w:sz w:val="20"/>
              </w:rPr>
            </w:r>
            <w:r>
              <w:rPr>
                <w:rFonts w:ascii="Times New Roman" w:hAnsi="Times New Roman"/>
                <w:b w:val="0"/>
                <w:sz w:val="20"/>
              </w:rPr>
              <w:t>4</w:t>
            </w:r>
          </w:p>
        </w:tc>
        <w:tc>
          <w:tcPr>
            <w:tcW w:type="dxa" w:w="2077"/>
          </w:tcPr>
          <w:p>
            <w:pPr>
              <w:spacing w:line="240" w:lineRule="auto" w:after="40"/>
            </w:pPr>
            <w:r>
              <w:rPr>
                <w:sz w:val="20"/>
              </w:rPr>
            </w:r>
            <w:r>
              <w:rPr>
                <w:rFonts w:ascii="Times New Roman" w:hAnsi="Times New Roman"/>
                <w:b w:val="0"/>
                <w:sz w:val="20"/>
              </w:rPr>
              <w:t>Universal triggers [4]</w:t>
            </w:r>
          </w:p>
        </w:tc>
        <w:tc>
          <w:tcPr>
            <w:tcW w:type="dxa" w:w="2077"/>
          </w:tcPr>
          <w:p>
            <w:pPr>
              <w:spacing w:line="240" w:lineRule="auto" w:after="40"/>
            </w:pPr>
            <w:r>
              <w:rPr>
                <w:sz w:val="20"/>
              </w:rPr>
            </w:r>
            <w:r>
              <w:rPr>
                <w:rFonts w:ascii="Times New Roman" w:hAnsi="Times New Roman"/>
                <w:b w:val="0"/>
                <w:sz w:val="20"/>
              </w:rPr>
              <w:t>Short suffixes subvert behaviour</w:t>
            </w:r>
          </w:p>
        </w:tc>
        <w:tc>
          <w:tcPr>
            <w:tcW w:type="dxa" w:w="2077"/>
          </w:tcPr>
          <w:p>
            <w:pPr>
              <w:spacing w:line="240" w:lineRule="auto" w:after="40"/>
            </w:pPr>
            <w:r>
              <w:rPr>
                <w:sz w:val="20"/>
              </w:rPr>
            </w:r>
            <w:r>
              <w:rPr>
                <w:rFonts w:ascii="Times New Roman" w:hAnsi="Times New Roman"/>
                <w:b w:val="0"/>
                <w:sz w:val="20"/>
              </w:rPr>
              <w:t>Pre-agent era</w:t>
            </w:r>
          </w:p>
        </w:tc>
      </w:tr>
      <w:tr>
        <w:tc>
          <w:tcPr>
            <w:tcW w:type="dxa" w:w="2077"/>
          </w:tcPr>
          <w:p>
            <w:pPr>
              <w:spacing w:line="240" w:lineRule="auto" w:after="40"/>
            </w:pPr>
            <w:r>
              <w:rPr>
                <w:sz w:val="20"/>
              </w:rPr>
            </w:r>
            <w:r>
              <w:rPr>
                <w:rFonts w:ascii="Times New Roman" w:hAnsi="Times New Roman"/>
                <w:b w:val="0"/>
                <w:sz w:val="20"/>
              </w:rPr>
              <w:t>5</w:t>
            </w:r>
          </w:p>
        </w:tc>
        <w:tc>
          <w:tcPr>
            <w:tcW w:type="dxa" w:w="2077"/>
          </w:tcPr>
          <w:p>
            <w:pPr>
              <w:spacing w:line="240" w:lineRule="auto" w:after="40"/>
            </w:pPr>
            <w:r>
              <w:rPr>
                <w:sz w:val="20"/>
              </w:rPr>
            </w:r>
            <w:r>
              <w:rPr>
                <w:rFonts w:ascii="Times New Roman" w:hAnsi="Times New Roman"/>
                <w:b w:val="0"/>
                <w:sz w:val="20"/>
              </w:rPr>
              <w:t>Indirect injection [5]</w:t>
            </w:r>
          </w:p>
        </w:tc>
        <w:tc>
          <w:tcPr>
            <w:tcW w:type="dxa" w:w="2077"/>
          </w:tcPr>
          <w:p>
            <w:pPr>
              <w:spacing w:line="240" w:lineRule="auto" w:after="40"/>
            </w:pPr>
            <w:r>
              <w:rPr>
                <w:sz w:val="20"/>
              </w:rPr>
            </w:r>
            <w:r>
              <w:rPr>
                <w:rFonts w:ascii="Times New Roman" w:hAnsi="Times New Roman"/>
                <w:b w:val="0"/>
                <w:sz w:val="20"/>
              </w:rPr>
              <w:t>Retrieved content is an attack channel</w:t>
            </w:r>
          </w:p>
        </w:tc>
        <w:tc>
          <w:tcPr>
            <w:tcW w:type="dxa" w:w="2077"/>
          </w:tcPr>
          <w:p>
            <w:pPr>
              <w:spacing w:line="240" w:lineRule="auto" w:after="40"/>
            </w:pPr>
            <w:r>
              <w:rPr>
                <w:sz w:val="20"/>
              </w:rPr>
            </w:r>
            <w:r>
              <w:rPr>
                <w:rFonts w:ascii="Times New Roman" w:hAnsi="Times New Roman"/>
                <w:b w:val="0"/>
                <w:sz w:val="20"/>
              </w:rPr>
              <w:t>Demonstrates risk only</w:t>
            </w:r>
          </w:p>
        </w:tc>
      </w:tr>
      <w:tr>
        <w:tc>
          <w:tcPr>
            <w:tcW w:type="dxa" w:w="2077"/>
          </w:tcPr>
          <w:p>
            <w:pPr>
              <w:spacing w:line="240" w:lineRule="auto" w:after="40"/>
            </w:pPr>
            <w:r>
              <w:rPr>
                <w:sz w:val="20"/>
              </w:rPr>
            </w:r>
            <w:r>
              <w:rPr>
                <w:rFonts w:ascii="Times New Roman" w:hAnsi="Times New Roman"/>
                <w:b w:val="0"/>
                <w:sz w:val="20"/>
              </w:rPr>
              <w:t>6</w:t>
            </w:r>
          </w:p>
        </w:tc>
        <w:tc>
          <w:tcPr>
            <w:tcW w:type="dxa" w:w="2077"/>
          </w:tcPr>
          <w:p>
            <w:pPr>
              <w:spacing w:line="240" w:lineRule="auto" w:after="40"/>
            </w:pPr>
            <w:r>
              <w:rPr>
                <w:sz w:val="20"/>
              </w:rPr>
            </w:r>
            <w:r>
              <w:rPr>
                <w:rFonts w:ascii="Times New Roman" w:hAnsi="Times New Roman"/>
                <w:b w:val="0"/>
                <w:sz w:val="20"/>
              </w:rPr>
              <w:t>InjecAgent [6]</w:t>
            </w:r>
          </w:p>
        </w:tc>
        <w:tc>
          <w:tcPr>
            <w:tcW w:type="dxa" w:w="2077"/>
          </w:tcPr>
          <w:p>
            <w:pPr>
              <w:spacing w:line="240" w:lineRule="auto" w:after="40"/>
            </w:pPr>
            <w:r>
              <w:rPr>
                <w:sz w:val="20"/>
              </w:rPr>
            </w:r>
            <w:r>
              <w:rPr>
                <w:rFonts w:ascii="Times New Roman" w:hAnsi="Times New Roman"/>
                <w:b w:val="0"/>
                <w:sz w:val="20"/>
              </w:rPr>
              <w:t>Benchmarks tool-integrated agents</w:t>
            </w:r>
          </w:p>
        </w:tc>
        <w:tc>
          <w:tcPr>
            <w:tcW w:type="dxa" w:w="2077"/>
          </w:tcPr>
          <w:p>
            <w:pPr>
              <w:spacing w:line="240" w:lineRule="auto" w:after="40"/>
            </w:pPr>
            <w:r>
              <w:rPr>
                <w:sz w:val="20"/>
              </w:rPr>
            </w:r>
            <w:r>
              <w:rPr>
                <w:rFonts w:ascii="Times New Roman" w:hAnsi="Times New Roman"/>
                <w:b w:val="0"/>
                <w:sz w:val="20"/>
              </w:rPr>
              <w:t>Measurement only</w:t>
            </w:r>
          </w:p>
        </w:tc>
      </w:tr>
      <w:tr>
        <w:tc>
          <w:tcPr>
            <w:tcW w:type="dxa" w:w="2077"/>
          </w:tcPr>
          <w:p>
            <w:pPr>
              <w:spacing w:line="240" w:lineRule="auto" w:after="40"/>
            </w:pPr>
            <w:r>
              <w:rPr>
                <w:sz w:val="20"/>
              </w:rPr>
            </w:r>
            <w:r>
              <w:rPr>
                <w:rFonts w:ascii="Times New Roman" w:hAnsi="Times New Roman"/>
                <w:b w:val="0"/>
                <w:sz w:val="20"/>
              </w:rPr>
              <w:t>7</w:t>
            </w:r>
          </w:p>
        </w:tc>
        <w:tc>
          <w:tcPr>
            <w:tcW w:type="dxa" w:w="2077"/>
          </w:tcPr>
          <w:p>
            <w:pPr>
              <w:spacing w:line="240" w:lineRule="auto" w:after="40"/>
            </w:pPr>
            <w:r>
              <w:rPr>
                <w:sz w:val="20"/>
              </w:rPr>
            </w:r>
            <w:r>
              <w:rPr>
                <w:rFonts w:ascii="Times New Roman" w:hAnsi="Times New Roman"/>
                <w:b w:val="0"/>
                <w:sz w:val="20"/>
              </w:rPr>
              <w:t>Multi-step agent attacks [7]</w:t>
            </w:r>
          </w:p>
        </w:tc>
        <w:tc>
          <w:tcPr>
            <w:tcW w:type="dxa" w:w="2077"/>
          </w:tcPr>
          <w:p>
            <w:pPr>
              <w:spacing w:line="240" w:lineRule="auto" w:after="40"/>
            </w:pPr>
            <w:r>
              <w:rPr>
                <w:sz w:val="20"/>
              </w:rPr>
            </w:r>
            <w:r>
              <w:rPr>
                <w:rFonts w:ascii="Times New Roman" w:hAnsi="Times New Roman"/>
                <w:b w:val="0"/>
                <w:sz w:val="20"/>
              </w:rPr>
              <w:t>Attacks span several tool calls</w:t>
            </w:r>
          </w:p>
        </w:tc>
        <w:tc>
          <w:tcPr>
            <w:tcW w:type="dxa" w:w="2077"/>
          </w:tcPr>
          <w:p>
            <w:pPr>
              <w:spacing w:line="240" w:lineRule="auto" w:after="40"/>
            </w:pPr>
            <w:r>
              <w:rPr>
                <w:sz w:val="20"/>
              </w:rPr>
            </w:r>
            <w:r>
              <w:rPr>
                <w:rFonts w:ascii="Times New Roman" w:hAnsi="Times New Roman"/>
                <w:b w:val="0"/>
                <w:sz w:val="20"/>
              </w:rPr>
              <w:t>No policy output</w:t>
            </w:r>
          </w:p>
        </w:tc>
      </w:tr>
      <w:tr>
        <w:tc>
          <w:tcPr>
            <w:tcW w:type="dxa" w:w="2077"/>
          </w:tcPr>
          <w:p>
            <w:pPr>
              <w:spacing w:line="240" w:lineRule="auto" w:after="40"/>
            </w:pPr>
            <w:r>
              <w:rPr>
                <w:sz w:val="20"/>
              </w:rPr>
            </w:r>
            <w:r>
              <w:rPr>
                <w:rFonts w:ascii="Times New Roman" w:hAnsi="Times New Roman"/>
                <w:b w:val="0"/>
                <w:sz w:val="20"/>
              </w:rPr>
              <w:t>8</w:t>
            </w:r>
          </w:p>
        </w:tc>
        <w:tc>
          <w:tcPr>
            <w:tcW w:type="dxa" w:w="2077"/>
          </w:tcPr>
          <w:p>
            <w:pPr>
              <w:spacing w:line="240" w:lineRule="auto" w:after="40"/>
            </w:pPr>
            <w:r>
              <w:rPr>
                <w:sz w:val="20"/>
              </w:rPr>
            </w:r>
            <w:r>
              <w:rPr>
                <w:rFonts w:ascii="Times New Roman" w:hAnsi="Times New Roman"/>
                <w:b w:val="0"/>
                <w:sz w:val="20"/>
              </w:rPr>
              <w:t>AgentDojo [8]</w:t>
            </w:r>
          </w:p>
        </w:tc>
        <w:tc>
          <w:tcPr>
            <w:tcW w:type="dxa" w:w="2077"/>
          </w:tcPr>
          <w:p>
            <w:pPr>
              <w:spacing w:line="240" w:lineRule="auto" w:after="40"/>
            </w:pPr>
            <w:r>
              <w:rPr>
                <w:sz w:val="20"/>
              </w:rPr>
            </w:r>
            <w:r>
              <w:rPr>
                <w:rFonts w:ascii="Times New Roman" w:hAnsi="Times New Roman"/>
                <w:b w:val="0"/>
                <w:sz w:val="20"/>
              </w:rPr>
              <w:t>Realistic agent benchmark with injections</w:t>
            </w:r>
          </w:p>
        </w:tc>
        <w:tc>
          <w:tcPr>
            <w:tcW w:type="dxa" w:w="2077"/>
          </w:tcPr>
          <w:p>
            <w:pPr>
              <w:spacing w:line="240" w:lineRule="auto" w:after="40"/>
            </w:pPr>
            <w:r>
              <w:rPr>
                <w:sz w:val="20"/>
              </w:rPr>
            </w:r>
            <w:r>
              <w:rPr>
                <w:rFonts w:ascii="Times New Roman" w:hAnsi="Times New Roman"/>
                <w:b w:val="0"/>
                <w:sz w:val="20"/>
              </w:rPr>
              <w:t>No defence artefact</w:t>
            </w:r>
          </w:p>
        </w:tc>
      </w:tr>
      <w:tr>
        <w:tc>
          <w:tcPr>
            <w:tcW w:type="dxa" w:w="2077"/>
          </w:tcPr>
          <w:p>
            <w:pPr>
              <w:spacing w:line="240" w:lineRule="auto" w:after="40"/>
            </w:pPr>
            <w:r>
              <w:rPr>
                <w:sz w:val="20"/>
              </w:rPr>
            </w:r>
            <w:r>
              <w:rPr>
                <w:rFonts w:ascii="Times New Roman" w:hAnsi="Times New Roman"/>
                <w:b w:val="0"/>
                <w:sz w:val="20"/>
              </w:rPr>
              <w:t>9</w:t>
            </w:r>
          </w:p>
        </w:tc>
        <w:tc>
          <w:tcPr>
            <w:tcW w:type="dxa" w:w="2077"/>
          </w:tcPr>
          <w:p>
            <w:pPr>
              <w:spacing w:line="240" w:lineRule="auto" w:after="40"/>
            </w:pPr>
            <w:r>
              <w:rPr>
                <w:sz w:val="20"/>
              </w:rPr>
            </w:r>
            <w:r>
              <w:rPr>
                <w:rFonts w:ascii="Times New Roman" w:hAnsi="Times New Roman"/>
                <w:b w:val="0"/>
                <w:sz w:val="20"/>
              </w:rPr>
              <w:t>AgentHarm [9]</w:t>
            </w:r>
          </w:p>
        </w:tc>
        <w:tc>
          <w:tcPr>
            <w:tcW w:type="dxa" w:w="2077"/>
          </w:tcPr>
          <w:p>
            <w:pPr>
              <w:spacing w:line="240" w:lineRule="auto" w:after="40"/>
            </w:pPr>
            <w:r>
              <w:rPr>
                <w:sz w:val="20"/>
              </w:rPr>
            </w:r>
            <w:r>
              <w:rPr>
                <w:rFonts w:ascii="Times New Roman" w:hAnsi="Times New Roman"/>
                <w:b w:val="0"/>
                <w:sz w:val="20"/>
              </w:rPr>
              <w:t>Harmful-behaviour taxonomy</w:t>
            </w:r>
          </w:p>
        </w:tc>
        <w:tc>
          <w:tcPr>
            <w:tcW w:type="dxa" w:w="2077"/>
          </w:tcPr>
          <w:p>
            <w:pPr>
              <w:spacing w:line="240" w:lineRule="auto" w:after="40"/>
            </w:pPr>
            <w:r>
              <w:rPr>
                <w:sz w:val="20"/>
              </w:rPr>
            </w:r>
            <w:r>
              <w:rPr>
                <w:rFonts w:ascii="Times New Roman" w:hAnsi="Times New Roman"/>
                <w:b w:val="0"/>
                <w:sz w:val="20"/>
              </w:rPr>
              <w:t>Content harms, not tool misuse</w:t>
            </w:r>
          </w:p>
        </w:tc>
      </w:tr>
      <w:tr>
        <w:tc>
          <w:tcPr>
            <w:tcW w:type="dxa" w:w="2077"/>
          </w:tcPr>
          <w:p>
            <w:pPr>
              <w:spacing w:line="240" w:lineRule="auto" w:after="40"/>
            </w:pPr>
            <w:r>
              <w:rPr>
                <w:sz w:val="20"/>
              </w:rPr>
            </w:r>
            <w:r>
              <w:rPr>
                <w:rFonts w:ascii="Times New Roman" w:hAnsi="Times New Roman"/>
                <w:b w:val="0"/>
                <w:sz w:val="20"/>
              </w:rPr>
              <w:t>10</w:t>
            </w:r>
          </w:p>
        </w:tc>
        <w:tc>
          <w:tcPr>
            <w:tcW w:type="dxa" w:w="2077"/>
          </w:tcPr>
          <w:p>
            <w:pPr>
              <w:spacing w:line="240" w:lineRule="auto" w:after="40"/>
            </w:pPr>
            <w:r>
              <w:rPr>
                <w:sz w:val="20"/>
              </w:rPr>
            </w:r>
            <w:r>
              <w:rPr>
                <w:rFonts w:ascii="Times New Roman" w:hAnsi="Times New Roman"/>
                <w:b w:val="0"/>
                <w:sz w:val="20"/>
              </w:rPr>
              <w:t>Agent security survey [10]</w:t>
            </w:r>
          </w:p>
        </w:tc>
        <w:tc>
          <w:tcPr>
            <w:tcW w:type="dxa" w:w="2077"/>
          </w:tcPr>
          <w:p>
            <w:pPr>
              <w:spacing w:line="240" w:lineRule="auto" w:after="40"/>
            </w:pPr>
            <w:r>
              <w:rPr>
                <w:sz w:val="20"/>
              </w:rPr>
            </w:r>
            <w:r>
              <w:rPr>
                <w:rFonts w:ascii="Times New Roman" w:hAnsi="Times New Roman"/>
                <w:b w:val="0"/>
                <w:sz w:val="20"/>
              </w:rPr>
              <w:t>Consolidates the threat landscape</w:t>
            </w:r>
          </w:p>
        </w:tc>
        <w:tc>
          <w:tcPr>
            <w:tcW w:type="dxa" w:w="2077"/>
          </w:tcPr>
          <w:p>
            <w:pPr>
              <w:spacing w:line="240" w:lineRule="auto" w:after="40"/>
            </w:pPr>
            <w:r>
              <w:rPr>
                <w:sz w:val="20"/>
              </w:rPr>
            </w:r>
            <w:r>
              <w:rPr>
                <w:rFonts w:ascii="Times New Roman" w:hAnsi="Times New Roman"/>
                <w:b w:val="0"/>
                <w:sz w:val="20"/>
              </w:rPr>
              <w:t>Survey, not a system</w:t>
            </w:r>
          </w:p>
        </w:tc>
      </w:tr>
      <w:tr>
        <w:tc>
          <w:tcPr>
            <w:tcW w:type="dxa" w:w="2077"/>
          </w:tcPr>
          <w:p>
            <w:pPr>
              <w:spacing w:line="240" w:lineRule="auto" w:after="40"/>
            </w:pPr>
            <w:r>
              <w:rPr>
                <w:sz w:val="20"/>
              </w:rPr>
            </w:r>
            <w:r>
              <w:rPr>
                <w:rFonts w:ascii="Times New Roman" w:hAnsi="Times New Roman"/>
                <w:b w:val="0"/>
                <w:sz w:val="20"/>
              </w:rPr>
              <w:t>11</w:t>
            </w:r>
          </w:p>
        </w:tc>
        <w:tc>
          <w:tcPr>
            <w:tcW w:type="dxa" w:w="2077"/>
          </w:tcPr>
          <w:p>
            <w:pPr>
              <w:spacing w:line="240" w:lineRule="auto" w:after="40"/>
            </w:pPr>
            <w:r>
              <w:rPr>
                <w:sz w:val="20"/>
              </w:rPr>
            </w:r>
            <w:r>
              <w:rPr>
                <w:rFonts w:ascii="Times New Roman" w:hAnsi="Times New Roman"/>
                <w:b w:val="0"/>
                <w:sz w:val="20"/>
              </w:rPr>
              <w:t>Spotlighting [11]</w:t>
            </w:r>
          </w:p>
        </w:tc>
        <w:tc>
          <w:tcPr>
            <w:tcW w:type="dxa" w:w="2077"/>
          </w:tcPr>
          <w:p>
            <w:pPr>
              <w:spacing w:line="240" w:lineRule="auto" w:after="40"/>
            </w:pPr>
            <w:r>
              <w:rPr>
                <w:sz w:val="20"/>
              </w:rPr>
            </w:r>
            <w:r>
              <w:rPr>
                <w:rFonts w:ascii="Times New Roman" w:hAnsi="Times New Roman"/>
                <w:b w:val="0"/>
                <w:sz w:val="20"/>
              </w:rPr>
              <w:t>Practical, effective prompt-level defence</w:t>
            </w:r>
          </w:p>
        </w:tc>
        <w:tc>
          <w:tcPr>
            <w:tcW w:type="dxa" w:w="2077"/>
          </w:tcPr>
          <w:p>
            <w:pPr>
              <w:spacing w:line="240" w:lineRule="auto" w:after="40"/>
            </w:pPr>
            <w:r>
              <w:rPr>
                <w:sz w:val="20"/>
              </w:rPr>
            </w:r>
            <w:r>
              <w:rPr>
                <w:rFonts w:ascii="Times New Roman" w:hAnsi="Times New Roman"/>
                <w:b w:val="0"/>
                <w:sz w:val="20"/>
              </w:rPr>
              <w:t>Depends on model compliance</w:t>
            </w:r>
          </w:p>
        </w:tc>
      </w:tr>
      <w:tr>
        <w:tc>
          <w:tcPr>
            <w:tcW w:type="dxa" w:w="2077"/>
          </w:tcPr>
          <w:p>
            <w:pPr>
              <w:spacing w:line="240" w:lineRule="auto" w:after="40"/>
            </w:pPr>
            <w:r>
              <w:rPr>
                <w:sz w:val="20"/>
              </w:rPr>
            </w:r>
            <w:r>
              <w:rPr>
                <w:rFonts w:ascii="Times New Roman" w:hAnsi="Times New Roman"/>
                <w:b w:val="0"/>
                <w:sz w:val="20"/>
              </w:rPr>
              <w:t>12</w:t>
            </w:r>
          </w:p>
        </w:tc>
        <w:tc>
          <w:tcPr>
            <w:tcW w:type="dxa" w:w="2077"/>
          </w:tcPr>
          <w:p>
            <w:pPr>
              <w:spacing w:line="240" w:lineRule="auto" w:after="40"/>
            </w:pPr>
            <w:r>
              <w:rPr>
                <w:sz w:val="20"/>
              </w:rPr>
            </w:r>
            <w:r>
              <w:rPr>
                <w:rFonts w:ascii="Times New Roman" w:hAnsi="Times New Roman"/>
                <w:b w:val="0"/>
                <w:sz w:val="20"/>
              </w:rPr>
              <w:t>Tool-use safety analysis [12]</w:t>
            </w:r>
          </w:p>
        </w:tc>
        <w:tc>
          <w:tcPr>
            <w:tcW w:type="dxa" w:w="2077"/>
          </w:tcPr>
          <w:p>
            <w:pPr>
              <w:spacing w:line="240" w:lineRule="auto" w:after="40"/>
            </w:pPr>
            <w:r>
              <w:rPr>
                <w:sz w:val="20"/>
              </w:rPr>
            </w:r>
            <w:r>
              <w:rPr>
                <w:rFonts w:ascii="Times New Roman" w:hAnsi="Times New Roman"/>
                <w:b w:val="0"/>
                <w:sz w:val="20"/>
              </w:rPr>
              <w:t>Tool schemas shape the attack surface</w:t>
            </w:r>
          </w:p>
        </w:tc>
        <w:tc>
          <w:tcPr>
            <w:tcW w:type="dxa" w:w="2077"/>
          </w:tcPr>
          <w:p>
            <w:pPr>
              <w:spacing w:line="240" w:lineRule="auto" w:after="40"/>
            </w:pPr>
            <w:r>
              <w:rPr>
                <w:sz w:val="20"/>
              </w:rPr>
            </w:r>
            <w:r>
              <w:rPr>
                <w:rFonts w:ascii="Times New Roman" w:hAnsi="Times New Roman"/>
                <w:b w:val="0"/>
                <w:sz w:val="20"/>
              </w:rPr>
              <w:t>No enforcement</w:t>
            </w:r>
          </w:p>
        </w:tc>
      </w:tr>
      <w:tr>
        <w:tc>
          <w:tcPr>
            <w:tcW w:type="dxa" w:w="2077"/>
          </w:tcPr>
          <w:p>
            <w:pPr>
              <w:spacing w:line="240" w:lineRule="auto" w:after="40"/>
            </w:pPr>
            <w:r>
              <w:rPr>
                <w:sz w:val="20"/>
              </w:rPr>
            </w:r>
            <w:r>
              <w:rPr>
                <w:rFonts w:ascii="Times New Roman" w:hAnsi="Times New Roman"/>
                <w:b w:val="0"/>
                <w:sz w:val="20"/>
              </w:rPr>
              <w:t>13</w:t>
            </w:r>
          </w:p>
        </w:tc>
        <w:tc>
          <w:tcPr>
            <w:tcW w:type="dxa" w:w="2077"/>
          </w:tcPr>
          <w:p>
            <w:pPr>
              <w:spacing w:line="240" w:lineRule="auto" w:after="40"/>
            </w:pPr>
            <w:r>
              <w:rPr>
                <w:sz w:val="20"/>
              </w:rPr>
            </w:r>
            <w:r>
              <w:rPr>
                <w:rFonts w:ascii="Times New Roman" w:hAnsi="Times New Roman"/>
                <w:b w:val="0"/>
                <w:sz w:val="20"/>
              </w:rPr>
              <w:t>Agent evaluation methodology [13]</w:t>
            </w:r>
          </w:p>
        </w:tc>
        <w:tc>
          <w:tcPr>
            <w:tcW w:type="dxa" w:w="2077"/>
          </w:tcPr>
          <w:p>
            <w:pPr>
              <w:spacing w:line="240" w:lineRule="auto" w:after="40"/>
            </w:pPr>
            <w:r>
              <w:rPr>
                <w:sz w:val="20"/>
              </w:rPr>
            </w:r>
            <w:r>
              <w:rPr>
                <w:rFonts w:ascii="Times New Roman" w:hAnsi="Times New Roman"/>
                <w:b w:val="0"/>
                <w:sz w:val="20"/>
              </w:rPr>
              <w:t>Evaluation design guidance</w:t>
            </w:r>
          </w:p>
        </w:tc>
        <w:tc>
          <w:tcPr>
            <w:tcW w:type="dxa" w:w="2077"/>
          </w:tcPr>
          <w:p>
            <w:pPr>
              <w:spacing w:line="240" w:lineRule="auto" w:after="40"/>
            </w:pPr>
            <w:r>
              <w:rPr>
                <w:sz w:val="20"/>
              </w:rPr>
            </w:r>
            <w:r>
              <w:rPr>
                <w:rFonts w:ascii="Times New Roman" w:hAnsi="Times New Roman"/>
                <w:b w:val="0"/>
                <w:sz w:val="20"/>
              </w:rPr>
              <w:t>Not security-specific</w:t>
            </w:r>
          </w:p>
        </w:tc>
      </w:tr>
      <w:tr>
        <w:tc>
          <w:tcPr>
            <w:tcW w:type="dxa" w:w="2077"/>
          </w:tcPr>
          <w:p>
            <w:pPr>
              <w:spacing w:line="240" w:lineRule="auto" w:after="40"/>
            </w:pPr>
            <w:r>
              <w:rPr>
                <w:sz w:val="20"/>
              </w:rPr>
            </w:r>
            <w:r>
              <w:rPr>
                <w:rFonts w:ascii="Times New Roman" w:hAnsi="Times New Roman"/>
                <w:b w:val="0"/>
                <w:sz w:val="20"/>
              </w:rPr>
              <w:t>14</w:t>
            </w:r>
          </w:p>
        </w:tc>
        <w:tc>
          <w:tcPr>
            <w:tcW w:type="dxa" w:w="2077"/>
          </w:tcPr>
          <w:p>
            <w:pPr>
              <w:spacing w:line="240" w:lineRule="auto" w:after="40"/>
            </w:pPr>
            <w:r>
              <w:rPr>
                <w:sz w:val="20"/>
              </w:rPr>
            </w:r>
            <w:r>
              <w:rPr>
                <w:rFonts w:ascii="Times New Roman" w:hAnsi="Times New Roman"/>
                <w:b w:val="0"/>
                <w:sz w:val="20"/>
              </w:rPr>
              <w:t>Confused deputy analysis [14]</w:t>
            </w:r>
          </w:p>
        </w:tc>
        <w:tc>
          <w:tcPr>
            <w:tcW w:type="dxa" w:w="2077"/>
          </w:tcPr>
          <w:p>
            <w:pPr>
              <w:spacing w:line="240" w:lineRule="auto" w:after="40"/>
            </w:pPr>
            <w:r>
              <w:rPr>
                <w:sz w:val="20"/>
              </w:rPr>
            </w:r>
            <w:r>
              <w:rPr>
                <w:rFonts w:ascii="Times New Roman" w:hAnsi="Times New Roman"/>
                <w:b w:val="0"/>
                <w:sz w:val="20"/>
              </w:rPr>
              <w:t>Classical authority-misuse framing</w:t>
            </w:r>
          </w:p>
        </w:tc>
        <w:tc>
          <w:tcPr>
            <w:tcW w:type="dxa" w:w="2077"/>
          </w:tcPr>
          <w:p>
            <w:pPr>
              <w:spacing w:line="240" w:lineRule="auto" w:after="40"/>
            </w:pPr>
            <w:r>
              <w:rPr>
                <w:sz w:val="20"/>
              </w:rPr>
            </w:r>
            <w:r>
              <w:rPr>
                <w:rFonts w:ascii="Times New Roman" w:hAnsi="Times New Roman"/>
                <w:b w:val="0"/>
                <w:sz w:val="20"/>
              </w:rPr>
              <w:t>Predates LLM agents</w:t>
            </w:r>
          </w:p>
        </w:tc>
      </w:tr>
      <w:tr>
        <w:tc>
          <w:tcPr>
            <w:tcW w:type="dxa" w:w="2077"/>
          </w:tcPr>
          <w:p>
            <w:pPr>
              <w:spacing w:line="240" w:lineRule="auto" w:after="40"/>
            </w:pPr>
            <w:r>
              <w:rPr>
                <w:sz w:val="20"/>
              </w:rPr>
            </w:r>
            <w:r>
              <w:rPr>
                <w:rFonts w:ascii="Times New Roman" w:hAnsi="Times New Roman"/>
                <w:b w:val="0"/>
                <w:sz w:val="20"/>
              </w:rPr>
              <w:t>15</w:t>
            </w:r>
          </w:p>
        </w:tc>
        <w:tc>
          <w:tcPr>
            <w:tcW w:type="dxa" w:w="2077"/>
          </w:tcPr>
          <w:p>
            <w:pPr>
              <w:spacing w:line="240" w:lineRule="auto" w:after="40"/>
            </w:pPr>
            <w:r>
              <w:rPr>
                <w:sz w:val="20"/>
              </w:rPr>
            </w:r>
            <w:r>
              <w:rPr>
                <w:rFonts w:ascii="Times New Roman" w:hAnsi="Times New Roman"/>
                <w:b w:val="0"/>
                <w:sz w:val="20"/>
              </w:rPr>
              <w:t>Information-flow control [15]</w:t>
            </w:r>
          </w:p>
        </w:tc>
        <w:tc>
          <w:tcPr>
            <w:tcW w:type="dxa" w:w="2077"/>
          </w:tcPr>
          <w:p>
            <w:pPr>
              <w:spacing w:line="240" w:lineRule="auto" w:after="40"/>
            </w:pPr>
            <w:r>
              <w:rPr>
                <w:sz w:val="20"/>
              </w:rPr>
            </w:r>
            <w:r>
              <w:rPr>
                <w:rFonts w:ascii="Times New Roman" w:hAnsi="Times New Roman"/>
                <w:b w:val="0"/>
                <w:sz w:val="20"/>
              </w:rPr>
              <w:t>Formal basis for the policy model</w:t>
            </w:r>
          </w:p>
        </w:tc>
        <w:tc>
          <w:tcPr>
            <w:tcW w:type="dxa" w:w="2077"/>
          </w:tcPr>
          <w:p>
            <w:pPr>
              <w:spacing w:line="240" w:lineRule="auto" w:after="40"/>
            </w:pPr>
            <w:r>
              <w:rPr>
                <w:sz w:val="20"/>
              </w:rPr>
            </w:r>
            <w:r>
              <w:rPr>
                <w:rFonts w:ascii="Times New Roman" w:hAnsi="Times New Roman"/>
                <w:b w:val="0"/>
                <w:sz w:val="20"/>
              </w:rPr>
              <w:t>Not written for agents</w:t>
            </w:r>
          </w:p>
        </w:tc>
      </w:tr>
      <w:tr>
        <w:tc>
          <w:tcPr>
            <w:tcW w:type="dxa" w:w="2077"/>
          </w:tcPr>
          <w:p>
            <w:pPr>
              <w:spacing w:line="240" w:lineRule="auto" w:after="40"/>
            </w:pPr>
            <w:r>
              <w:rPr>
                <w:sz w:val="20"/>
              </w:rPr>
            </w:r>
            <w:r>
              <w:rPr>
                <w:rFonts w:ascii="Times New Roman" w:hAnsi="Times New Roman"/>
                <w:b w:val="0"/>
                <w:sz w:val="20"/>
              </w:rPr>
              <w:t>16</w:t>
            </w:r>
          </w:p>
        </w:tc>
        <w:tc>
          <w:tcPr>
            <w:tcW w:type="dxa" w:w="2077"/>
          </w:tcPr>
          <w:p>
            <w:pPr>
              <w:spacing w:line="240" w:lineRule="auto" w:after="40"/>
            </w:pPr>
            <w:r>
              <w:rPr>
                <w:sz w:val="20"/>
              </w:rPr>
            </w:r>
            <w:r>
              <w:rPr>
                <w:rFonts w:ascii="Times New Roman" w:hAnsi="Times New Roman"/>
                <w:b w:val="0"/>
                <w:sz w:val="20"/>
              </w:rPr>
              <w:t>Agent design patterns [16]</w:t>
            </w:r>
          </w:p>
        </w:tc>
        <w:tc>
          <w:tcPr>
            <w:tcW w:type="dxa" w:w="2077"/>
          </w:tcPr>
          <w:p>
            <w:pPr>
              <w:spacing w:line="240" w:lineRule="auto" w:after="40"/>
            </w:pPr>
            <w:r>
              <w:rPr>
                <w:sz w:val="20"/>
              </w:rPr>
            </w:r>
            <w:r>
              <w:rPr>
                <w:rFonts w:ascii="Times New Roman" w:hAnsi="Times New Roman"/>
                <w:b w:val="0"/>
                <w:sz w:val="20"/>
              </w:rPr>
              <w:t>Architectural defence patterns</w:t>
            </w:r>
          </w:p>
        </w:tc>
        <w:tc>
          <w:tcPr>
            <w:tcW w:type="dxa" w:w="2077"/>
          </w:tcPr>
          <w:p>
            <w:pPr>
              <w:spacing w:line="240" w:lineRule="auto" w:after="40"/>
            </w:pPr>
            <w:r>
              <w:rPr>
                <w:sz w:val="20"/>
              </w:rPr>
            </w:r>
            <w:r>
              <w:rPr>
                <w:rFonts w:ascii="Times New Roman" w:hAnsi="Times New Roman"/>
                <w:b w:val="0"/>
                <w:sz w:val="20"/>
              </w:rPr>
              <w:t>Requires agent ownership</w:t>
            </w:r>
          </w:p>
        </w:tc>
      </w:tr>
      <w:tr>
        <w:tc>
          <w:tcPr>
            <w:tcW w:type="dxa" w:w="2077"/>
          </w:tcPr>
          <w:p>
            <w:pPr>
              <w:spacing w:line="240" w:lineRule="auto" w:after="40"/>
            </w:pPr>
            <w:r>
              <w:rPr>
                <w:sz w:val="20"/>
              </w:rPr>
            </w:r>
            <w:r>
              <w:rPr>
                <w:rFonts w:ascii="Times New Roman" w:hAnsi="Times New Roman"/>
                <w:b w:val="0"/>
                <w:sz w:val="20"/>
              </w:rPr>
              <w:t>17</w:t>
            </w:r>
          </w:p>
        </w:tc>
        <w:tc>
          <w:tcPr>
            <w:tcW w:type="dxa" w:w="2077"/>
          </w:tcPr>
          <w:p>
            <w:pPr>
              <w:spacing w:line="240" w:lineRule="auto" w:after="40"/>
            </w:pPr>
            <w:r>
              <w:rPr>
                <w:sz w:val="20"/>
              </w:rPr>
            </w:r>
            <w:r>
              <w:rPr>
                <w:rFonts w:ascii="Times New Roman" w:hAnsi="Times New Roman"/>
                <w:b w:val="0"/>
                <w:sz w:val="20"/>
              </w:rPr>
              <w:t>CaMeL [17]</w:t>
            </w:r>
          </w:p>
        </w:tc>
        <w:tc>
          <w:tcPr>
            <w:tcW w:type="dxa" w:w="2077"/>
          </w:tcPr>
          <w:p>
            <w:pPr>
              <w:spacing w:line="240" w:lineRule="auto" w:after="40"/>
            </w:pPr>
            <w:r>
              <w:rPr>
                <w:sz w:val="20"/>
              </w:rPr>
            </w:r>
            <w:r>
              <w:rPr>
                <w:rFonts w:ascii="Times New Roman" w:hAnsi="Times New Roman"/>
                <w:b w:val="0"/>
                <w:sz w:val="20"/>
              </w:rPr>
              <w:t>Strongest published defence</w:t>
            </w:r>
          </w:p>
        </w:tc>
        <w:tc>
          <w:tcPr>
            <w:tcW w:type="dxa" w:w="2077"/>
          </w:tcPr>
          <w:p>
            <w:pPr>
              <w:spacing w:line="240" w:lineRule="auto" w:after="40"/>
            </w:pPr>
            <w:r>
              <w:rPr>
                <w:sz w:val="20"/>
              </w:rPr>
            </w:r>
            <w:r>
              <w:rPr>
                <w:rFonts w:ascii="Times New Roman" w:hAnsi="Times New Roman"/>
                <w:b w:val="0"/>
                <w:sz w:val="20"/>
              </w:rPr>
              <w:t>Requires agent rewrite</w:t>
            </w:r>
          </w:p>
        </w:tc>
      </w:tr>
      <w:tr>
        <w:tc>
          <w:tcPr>
            <w:tcW w:type="dxa" w:w="2077"/>
          </w:tcPr>
          <w:p>
            <w:pPr>
              <w:spacing w:line="240" w:lineRule="auto" w:after="40"/>
            </w:pPr>
            <w:r>
              <w:rPr>
                <w:sz w:val="20"/>
              </w:rPr>
            </w:r>
            <w:r>
              <w:rPr>
                <w:rFonts w:ascii="Times New Roman" w:hAnsi="Times New Roman"/>
                <w:b w:val="0"/>
                <w:sz w:val="20"/>
              </w:rPr>
              <w:t>18</w:t>
            </w:r>
          </w:p>
        </w:tc>
        <w:tc>
          <w:tcPr>
            <w:tcW w:type="dxa" w:w="2077"/>
          </w:tcPr>
          <w:p>
            <w:pPr>
              <w:spacing w:line="240" w:lineRule="auto" w:after="40"/>
            </w:pPr>
            <w:r>
              <w:rPr>
                <w:sz w:val="20"/>
              </w:rPr>
            </w:r>
            <w:r>
              <w:rPr>
                <w:rFonts w:ascii="Times New Roman" w:hAnsi="Times New Roman"/>
                <w:b w:val="0"/>
                <w:sz w:val="20"/>
              </w:rPr>
              <w:t>Security-utility trade-off [18]</w:t>
            </w:r>
          </w:p>
        </w:tc>
        <w:tc>
          <w:tcPr>
            <w:tcW w:type="dxa" w:w="2077"/>
          </w:tcPr>
          <w:p>
            <w:pPr>
              <w:spacing w:line="240" w:lineRule="auto" w:after="40"/>
            </w:pPr>
            <w:r>
              <w:rPr>
                <w:sz w:val="20"/>
              </w:rPr>
            </w:r>
            <w:r>
              <w:rPr>
                <w:rFonts w:ascii="Times New Roman" w:hAnsi="Times New Roman"/>
                <w:b w:val="0"/>
                <w:sz w:val="20"/>
              </w:rPr>
              <w:t>Establishes the tension</w:t>
            </w:r>
          </w:p>
        </w:tc>
        <w:tc>
          <w:tcPr>
            <w:tcW w:type="dxa" w:w="2077"/>
          </w:tcPr>
          <w:p>
            <w:pPr>
              <w:spacing w:line="240" w:lineRule="auto" w:after="40"/>
            </w:pPr>
            <w:r>
              <w:rPr>
                <w:sz w:val="20"/>
              </w:rPr>
            </w:r>
            <w:r>
              <w:rPr>
                <w:rFonts w:ascii="Times New Roman" w:hAnsi="Times New Roman"/>
                <w:b w:val="0"/>
                <w:sz w:val="20"/>
              </w:rPr>
              <w:t>Not reported as a paired metric</w:t>
            </w:r>
          </w:p>
        </w:tc>
      </w:tr>
      <w:tr>
        <w:tc>
          <w:tcPr>
            <w:tcW w:type="dxa" w:w="2077"/>
          </w:tcPr>
          <w:p>
            <w:pPr>
              <w:spacing w:line="240" w:lineRule="auto" w:after="40"/>
            </w:pPr>
            <w:r>
              <w:rPr>
                <w:sz w:val="20"/>
              </w:rPr>
            </w:r>
            <w:r>
              <w:rPr>
                <w:rFonts w:ascii="Times New Roman" w:hAnsi="Times New Roman"/>
                <w:b w:val="0"/>
                <w:sz w:val="20"/>
              </w:rPr>
              <w:t>19</w:t>
            </w:r>
          </w:p>
        </w:tc>
        <w:tc>
          <w:tcPr>
            <w:tcW w:type="dxa" w:w="2077"/>
          </w:tcPr>
          <w:p>
            <w:pPr>
              <w:spacing w:line="240" w:lineRule="auto" w:after="40"/>
            </w:pPr>
            <w:r>
              <w:rPr>
                <w:sz w:val="20"/>
              </w:rPr>
            </w:r>
            <w:r>
              <w:rPr>
                <w:rFonts w:ascii="Times New Roman" w:hAnsi="Times New Roman"/>
                <w:b w:val="0"/>
                <w:sz w:val="20"/>
              </w:rPr>
              <w:t>Defence evaluation critique [19]</w:t>
            </w:r>
          </w:p>
        </w:tc>
        <w:tc>
          <w:tcPr>
            <w:tcW w:type="dxa" w:w="2077"/>
          </w:tcPr>
          <w:p>
            <w:pPr>
              <w:spacing w:line="240" w:lineRule="auto" w:after="40"/>
            </w:pPr>
            <w:r>
              <w:rPr>
                <w:sz w:val="20"/>
              </w:rPr>
            </w:r>
            <w:r>
              <w:rPr>
                <w:rFonts w:ascii="Times New Roman" w:hAnsi="Times New Roman"/>
                <w:b w:val="0"/>
                <w:sz w:val="20"/>
              </w:rPr>
              <w:t>Shows how defences are over-claimed</w:t>
            </w:r>
          </w:p>
        </w:tc>
        <w:tc>
          <w:tcPr>
            <w:tcW w:type="dxa" w:w="2077"/>
          </w:tcPr>
          <w:p>
            <w:pPr>
              <w:spacing w:line="240" w:lineRule="auto" w:after="40"/>
            </w:pPr>
            <w:r>
              <w:rPr>
                <w:sz w:val="20"/>
              </w:rPr>
            </w:r>
            <w:r>
              <w:rPr>
                <w:rFonts w:ascii="Times New Roman" w:hAnsi="Times New Roman"/>
                <w:b w:val="0"/>
                <w:sz w:val="20"/>
              </w:rPr>
              <w:t>Critique, not a system</w:t>
            </w:r>
          </w:p>
        </w:tc>
      </w:tr>
      <w:tr>
        <w:tc>
          <w:tcPr>
            <w:tcW w:type="dxa" w:w="2077"/>
          </w:tcPr>
          <w:p>
            <w:pPr>
              <w:spacing w:line="240" w:lineRule="auto" w:after="40"/>
            </w:pPr>
            <w:r>
              <w:rPr>
                <w:sz w:val="20"/>
              </w:rPr>
            </w:r>
            <w:r>
              <w:rPr>
                <w:rFonts w:ascii="Times New Roman" w:hAnsi="Times New Roman"/>
                <w:b w:val="0"/>
                <w:sz w:val="20"/>
              </w:rPr>
              <w:t>20</w:t>
            </w:r>
          </w:p>
        </w:tc>
        <w:tc>
          <w:tcPr>
            <w:tcW w:type="dxa" w:w="2077"/>
          </w:tcPr>
          <w:p>
            <w:pPr>
              <w:spacing w:line="240" w:lineRule="auto" w:after="40"/>
            </w:pPr>
            <w:r>
              <w:rPr>
                <w:sz w:val="20"/>
              </w:rPr>
            </w:r>
            <w:r>
              <w:rPr>
                <w:rFonts w:ascii="Times New Roman" w:hAnsi="Times New Roman"/>
                <w:b w:val="0"/>
                <w:sz w:val="20"/>
              </w:rPr>
              <w:t>OWASP MCP Top 10 [20]</w:t>
            </w:r>
          </w:p>
        </w:tc>
        <w:tc>
          <w:tcPr>
            <w:tcW w:type="dxa" w:w="2077"/>
          </w:tcPr>
          <w:p>
            <w:pPr>
              <w:spacing w:line="240" w:lineRule="auto" w:after="40"/>
            </w:pPr>
            <w:r>
              <w:rPr>
                <w:sz w:val="20"/>
              </w:rPr>
            </w:r>
            <w:r>
              <w:rPr>
                <w:rFonts w:ascii="Times New Roman" w:hAnsi="Times New Roman"/>
                <w:b w:val="0"/>
                <w:sz w:val="20"/>
              </w:rPr>
              <w:t>Authoritative MCP threat naming</w:t>
            </w:r>
          </w:p>
        </w:tc>
        <w:tc>
          <w:tcPr>
            <w:tcW w:type="dxa" w:w="2077"/>
          </w:tcPr>
          <w:p>
            <w:pPr>
              <w:spacing w:line="240" w:lineRule="auto" w:after="40"/>
            </w:pPr>
            <w:r>
              <w:rPr>
                <w:sz w:val="20"/>
              </w:rPr>
            </w:r>
            <w:r>
              <w:rPr>
                <w:rFonts w:ascii="Times New Roman" w:hAnsi="Times New Roman"/>
                <w:b w:val="0"/>
                <w:sz w:val="20"/>
              </w:rPr>
              <w:t>Taxonomy, not tooling</w:t>
            </w:r>
          </w:p>
        </w:tc>
      </w:tr>
      <w:tr>
        <w:tc>
          <w:tcPr>
            <w:tcW w:type="dxa" w:w="2077"/>
          </w:tcPr>
          <w:p>
            <w:pPr>
              <w:spacing w:line="240" w:lineRule="auto" w:after="40"/>
            </w:pPr>
            <w:r>
              <w:rPr>
                <w:sz w:val="20"/>
              </w:rPr>
            </w:r>
            <w:r>
              <w:rPr>
                <w:rFonts w:ascii="Times New Roman" w:hAnsi="Times New Roman"/>
                <w:b w:val="0"/>
                <w:sz w:val="20"/>
              </w:rPr>
              <w:t>21</w:t>
            </w:r>
          </w:p>
        </w:tc>
        <w:tc>
          <w:tcPr>
            <w:tcW w:type="dxa" w:w="2077"/>
          </w:tcPr>
          <w:p>
            <w:pPr>
              <w:spacing w:line="240" w:lineRule="auto" w:after="40"/>
            </w:pPr>
            <w:r>
              <w:rPr>
                <w:sz w:val="20"/>
              </w:rPr>
            </w:r>
            <w:r>
              <w:rPr>
                <w:rFonts w:ascii="Times New Roman" w:hAnsi="Times New Roman"/>
                <w:b w:val="0"/>
                <w:sz w:val="20"/>
              </w:rPr>
              <w:t>Poisoned-server survey [21]</w:t>
            </w:r>
          </w:p>
        </w:tc>
        <w:tc>
          <w:tcPr>
            <w:tcW w:type="dxa" w:w="2077"/>
          </w:tcPr>
          <w:p>
            <w:pPr>
              <w:spacing w:line="240" w:lineRule="auto" w:after="40"/>
            </w:pPr>
            <w:r>
              <w:rPr>
                <w:sz w:val="20"/>
              </w:rPr>
            </w:r>
            <w:r>
              <w:rPr>
                <w:rFonts w:ascii="Times New Roman" w:hAnsi="Times New Roman"/>
                <w:b w:val="0"/>
                <w:sz w:val="20"/>
              </w:rPr>
              <w:t>Poisoning occurs in deployed servers</w:t>
            </w:r>
          </w:p>
        </w:tc>
        <w:tc>
          <w:tcPr>
            <w:tcW w:type="dxa" w:w="2077"/>
          </w:tcPr>
          <w:p>
            <w:pPr>
              <w:spacing w:line="240" w:lineRule="auto" w:after="40"/>
            </w:pPr>
            <w:r>
              <w:rPr>
                <w:sz w:val="20"/>
              </w:rPr>
            </w:r>
            <w:r>
              <w:rPr>
                <w:rFonts w:ascii="Times New Roman" w:hAnsi="Times New Roman"/>
                <w:b w:val="0"/>
                <w:sz w:val="20"/>
              </w:rPr>
              <w:t>No matched controls</w:t>
            </w:r>
          </w:p>
        </w:tc>
      </w:tr>
      <w:tr>
        <w:tc>
          <w:tcPr>
            <w:tcW w:type="dxa" w:w="2077"/>
          </w:tcPr>
          <w:p>
            <w:pPr>
              <w:spacing w:line="240" w:lineRule="auto" w:after="40"/>
            </w:pPr>
            <w:r>
              <w:rPr>
                <w:sz w:val="20"/>
              </w:rPr>
            </w:r>
            <w:r>
              <w:rPr>
                <w:rFonts w:ascii="Times New Roman" w:hAnsi="Times New Roman"/>
                <w:b w:val="0"/>
                <w:sz w:val="20"/>
              </w:rPr>
              <w:t>22</w:t>
            </w:r>
          </w:p>
        </w:tc>
        <w:tc>
          <w:tcPr>
            <w:tcW w:type="dxa" w:w="2077"/>
          </w:tcPr>
          <w:p>
            <w:pPr>
              <w:spacing w:line="240" w:lineRule="auto" w:after="40"/>
            </w:pPr>
            <w:r>
              <w:rPr>
                <w:sz w:val="20"/>
              </w:rPr>
            </w:r>
            <w:r>
              <w:rPr>
                <w:rFonts w:ascii="Times New Roman" w:hAnsi="Times New Roman"/>
                <w:b w:val="0"/>
                <w:sz w:val="20"/>
              </w:rPr>
              <w:t>Agent memory attacks [22]</w:t>
            </w:r>
          </w:p>
        </w:tc>
        <w:tc>
          <w:tcPr>
            <w:tcW w:type="dxa" w:w="2077"/>
          </w:tcPr>
          <w:p>
            <w:pPr>
              <w:spacing w:line="240" w:lineRule="auto" w:after="40"/>
            </w:pPr>
            <w:r>
              <w:rPr>
                <w:sz w:val="20"/>
              </w:rPr>
            </w:r>
            <w:r>
              <w:rPr>
                <w:rFonts w:ascii="Times New Roman" w:hAnsi="Times New Roman"/>
                <w:b w:val="0"/>
                <w:sz w:val="20"/>
              </w:rPr>
              <w:t>Persistence as an attack goal</w:t>
            </w:r>
          </w:p>
        </w:tc>
        <w:tc>
          <w:tcPr>
            <w:tcW w:type="dxa" w:w="2077"/>
          </w:tcPr>
          <w:p>
            <w:pPr>
              <w:spacing w:line="240" w:lineRule="auto" w:after="40"/>
            </w:pPr>
            <w:r>
              <w:rPr>
                <w:sz w:val="20"/>
              </w:rPr>
            </w:r>
            <w:r>
              <w:rPr>
                <w:rFonts w:ascii="Times New Roman" w:hAnsi="Times New Roman"/>
                <w:b w:val="0"/>
                <w:sz w:val="20"/>
              </w:rPr>
              <w:t>Out of scope here</w:t>
            </w:r>
          </w:p>
        </w:tc>
      </w:tr>
      <w:tr>
        <w:tc>
          <w:tcPr>
            <w:tcW w:type="dxa" w:w="2077"/>
          </w:tcPr>
          <w:p>
            <w:pPr>
              <w:spacing w:line="240" w:lineRule="auto" w:after="40"/>
            </w:pPr>
            <w:r>
              <w:rPr>
                <w:sz w:val="20"/>
              </w:rPr>
            </w:r>
            <w:r>
              <w:rPr>
                <w:rFonts w:ascii="Times New Roman" w:hAnsi="Times New Roman"/>
                <w:b w:val="0"/>
                <w:sz w:val="20"/>
              </w:rPr>
              <w:t>23</w:t>
            </w:r>
          </w:p>
        </w:tc>
        <w:tc>
          <w:tcPr>
            <w:tcW w:type="dxa" w:w="2077"/>
          </w:tcPr>
          <w:p>
            <w:pPr>
              <w:spacing w:line="240" w:lineRule="auto" w:after="40"/>
            </w:pPr>
            <w:r>
              <w:rPr>
                <w:sz w:val="20"/>
              </w:rPr>
            </w:r>
            <w:r>
              <w:rPr>
                <w:rFonts w:ascii="Times New Roman" w:hAnsi="Times New Roman"/>
                <w:b w:val="0"/>
                <w:sz w:val="20"/>
              </w:rPr>
              <w:t>Guardrail systems [23]</w:t>
            </w:r>
          </w:p>
        </w:tc>
        <w:tc>
          <w:tcPr>
            <w:tcW w:type="dxa" w:w="2077"/>
          </w:tcPr>
          <w:p>
            <w:pPr>
              <w:spacing w:line="240" w:lineRule="auto" w:after="40"/>
            </w:pPr>
            <w:r>
              <w:rPr>
                <w:sz w:val="20"/>
              </w:rPr>
            </w:r>
            <w:r>
              <w:rPr>
                <w:rFonts w:ascii="Times New Roman" w:hAnsi="Times New Roman"/>
                <w:b w:val="0"/>
                <w:sz w:val="20"/>
              </w:rPr>
              <w:t>Runtime filtering approaches</w:t>
            </w:r>
          </w:p>
        </w:tc>
        <w:tc>
          <w:tcPr>
            <w:tcW w:type="dxa" w:w="2077"/>
          </w:tcPr>
          <w:p>
            <w:pPr>
              <w:spacing w:line="240" w:lineRule="auto" w:after="40"/>
            </w:pPr>
            <w:r>
              <w:rPr>
                <w:sz w:val="20"/>
              </w:rPr>
            </w:r>
            <w:r>
              <w:rPr>
                <w:rFonts w:ascii="Times New Roman" w:hAnsi="Times New Roman"/>
                <w:b w:val="0"/>
                <w:sz w:val="20"/>
              </w:rPr>
              <w:t>Content filters, not data flow</w:t>
            </w:r>
          </w:p>
        </w:tc>
      </w:tr>
      <w:tr>
        <w:tc>
          <w:tcPr>
            <w:tcW w:type="dxa" w:w="2077"/>
          </w:tcPr>
          <w:p>
            <w:pPr>
              <w:spacing w:line="240" w:lineRule="auto" w:after="40"/>
            </w:pPr>
            <w:r>
              <w:rPr>
                <w:sz w:val="20"/>
              </w:rPr>
            </w:r>
            <w:r>
              <w:rPr>
                <w:rFonts w:ascii="Times New Roman" w:hAnsi="Times New Roman"/>
                <w:b w:val="0"/>
                <w:sz w:val="20"/>
              </w:rPr>
              <w:t>24</w:t>
            </w:r>
          </w:p>
        </w:tc>
        <w:tc>
          <w:tcPr>
            <w:tcW w:type="dxa" w:w="2077"/>
          </w:tcPr>
          <w:p>
            <w:pPr>
              <w:spacing w:line="240" w:lineRule="auto" w:after="40"/>
            </w:pPr>
            <w:r>
              <w:rPr>
                <w:sz w:val="20"/>
              </w:rPr>
            </w:r>
            <w:r>
              <w:rPr>
                <w:rFonts w:ascii="Times New Roman" w:hAnsi="Times New Roman"/>
                <w:b w:val="0"/>
                <w:sz w:val="20"/>
              </w:rPr>
              <w:t>Red-teaming with models [24]</w:t>
            </w:r>
          </w:p>
        </w:tc>
        <w:tc>
          <w:tcPr>
            <w:tcW w:type="dxa" w:w="2077"/>
          </w:tcPr>
          <w:p>
            <w:pPr>
              <w:spacing w:line="240" w:lineRule="auto" w:after="40"/>
            </w:pPr>
            <w:r>
              <w:rPr>
                <w:sz w:val="20"/>
              </w:rPr>
            </w:r>
            <w:r>
              <w:rPr>
                <w:rFonts w:ascii="Times New Roman" w:hAnsi="Times New Roman"/>
                <w:b w:val="0"/>
                <w:sz w:val="20"/>
              </w:rPr>
              <w:t>Models can generate attacks at scale</w:t>
            </w:r>
          </w:p>
        </w:tc>
        <w:tc>
          <w:tcPr>
            <w:tcW w:type="dxa" w:w="2077"/>
          </w:tcPr>
          <w:p>
            <w:pPr>
              <w:spacing w:line="240" w:lineRule="auto" w:after="40"/>
            </w:pPr>
            <w:r>
              <w:rPr>
                <w:sz w:val="20"/>
              </w:rPr>
            </w:r>
            <w:r>
              <w:rPr>
                <w:rFonts w:ascii="Times New Roman" w:hAnsi="Times New Roman"/>
                <w:b w:val="0"/>
                <w:sz w:val="20"/>
              </w:rPr>
              <w:t>Not tool-specific</w:t>
            </w:r>
          </w:p>
        </w:tc>
      </w:tr>
      <w:tr>
        <w:tc>
          <w:tcPr>
            <w:tcW w:type="dxa" w:w="2077"/>
          </w:tcPr>
          <w:p>
            <w:pPr>
              <w:spacing w:line="240" w:lineRule="auto" w:after="40"/>
            </w:pPr>
            <w:r>
              <w:rPr>
                <w:sz w:val="20"/>
              </w:rPr>
            </w:r>
            <w:r>
              <w:rPr>
                <w:rFonts w:ascii="Times New Roman" w:hAnsi="Times New Roman"/>
                <w:b w:val="0"/>
                <w:sz w:val="20"/>
              </w:rPr>
              <w:t>25</w:t>
            </w:r>
          </w:p>
        </w:tc>
        <w:tc>
          <w:tcPr>
            <w:tcW w:type="dxa" w:w="2077"/>
          </w:tcPr>
          <w:p>
            <w:pPr>
              <w:spacing w:line="240" w:lineRule="auto" w:after="40"/>
            </w:pPr>
            <w:r>
              <w:rPr>
                <w:sz w:val="20"/>
              </w:rPr>
            </w:r>
            <w:r>
              <w:rPr>
                <w:rFonts w:ascii="Times New Roman" w:hAnsi="Times New Roman"/>
                <w:b w:val="0"/>
                <w:sz w:val="20"/>
              </w:rPr>
              <w:t>Automated jailbreak search [25]</w:t>
            </w:r>
          </w:p>
        </w:tc>
        <w:tc>
          <w:tcPr>
            <w:tcW w:type="dxa" w:w="2077"/>
          </w:tcPr>
          <w:p>
            <w:pPr>
              <w:spacing w:line="240" w:lineRule="auto" w:after="40"/>
            </w:pPr>
            <w:r>
              <w:rPr>
                <w:sz w:val="20"/>
              </w:rPr>
            </w:r>
            <w:r>
              <w:rPr>
                <w:rFonts w:ascii="Times New Roman" w:hAnsi="Times New Roman"/>
                <w:b w:val="0"/>
                <w:sz w:val="20"/>
              </w:rPr>
              <w:t>Iterative refinement improves attacks</w:t>
            </w:r>
          </w:p>
        </w:tc>
        <w:tc>
          <w:tcPr>
            <w:tcW w:type="dxa" w:w="2077"/>
          </w:tcPr>
          <w:p>
            <w:pPr>
              <w:spacing w:line="240" w:lineRule="auto" w:after="40"/>
            </w:pPr>
            <w:r>
              <w:rPr>
                <w:sz w:val="20"/>
              </w:rPr>
            </w:r>
            <w:r>
              <w:rPr>
                <w:rFonts w:ascii="Times New Roman" w:hAnsi="Times New Roman"/>
                <w:b w:val="0"/>
                <w:sz w:val="20"/>
              </w:rPr>
              <w:t>Chat setting</w:t>
            </w:r>
          </w:p>
        </w:tc>
      </w:tr>
      <w:tr>
        <w:tc>
          <w:tcPr>
            <w:tcW w:type="dxa" w:w="2077"/>
          </w:tcPr>
          <w:p>
            <w:pPr>
              <w:spacing w:line="240" w:lineRule="auto" w:after="40"/>
            </w:pPr>
            <w:r>
              <w:rPr>
                <w:sz w:val="20"/>
              </w:rPr>
            </w:r>
            <w:r>
              <w:rPr>
                <w:rFonts w:ascii="Times New Roman" w:hAnsi="Times New Roman"/>
                <w:b w:val="0"/>
                <w:sz w:val="20"/>
              </w:rPr>
              <w:t>26</w:t>
            </w:r>
          </w:p>
        </w:tc>
        <w:tc>
          <w:tcPr>
            <w:tcW w:type="dxa" w:w="2077"/>
          </w:tcPr>
          <w:p>
            <w:pPr>
              <w:spacing w:line="240" w:lineRule="auto" w:after="40"/>
            </w:pPr>
            <w:r>
              <w:rPr>
                <w:sz w:val="20"/>
              </w:rPr>
            </w:r>
            <w:r>
              <w:rPr>
                <w:rFonts w:ascii="Times New Roman" w:hAnsi="Times New Roman"/>
                <w:b w:val="0"/>
                <w:sz w:val="20"/>
              </w:rPr>
              <w:t>Web-agent risks [26]</w:t>
            </w:r>
          </w:p>
        </w:tc>
        <w:tc>
          <w:tcPr>
            <w:tcW w:type="dxa" w:w="2077"/>
          </w:tcPr>
          <w:p>
            <w:pPr>
              <w:spacing w:line="240" w:lineRule="auto" w:after="40"/>
            </w:pPr>
            <w:r>
              <w:rPr>
                <w:sz w:val="20"/>
              </w:rPr>
            </w:r>
            <w:r>
              <w:rPr>
                <w:rFonts w:ascii="Times New Roman" w:hAnsi="Times New Roman"/>
                <w:b w:val="0"/>
                <w:sz w:val="20"/>
              </w:rPr>
              <w:t>Real-world agent exposure</w:t>
            </w:r>
          </w:p>
        </w:tc>
        <w:tc>
          <w:tcPr>
            <w:tcW w:type="dxa" w:w="2077"/>
          </w:tcPr>
          <w:p>
            <w:pPr>
              <w:spacing w:line="240" w:lineRule="auto" w:after="40"/>
            </w:pPr>
            <w:r>
              <w:rPr>
                <w:sz w:val="20"/>
              </w:rPr>
            </w:r>
            <w:r>
              <w:rPr>
                <w:rFonts w:ascii="Times New Roman" w:hAnsi="Times New Roman"/>
                <w:b w:val="0"/>
                <w:sz w:val="20"/>
              </w:rPr>
              <w:t>Domain-specific</w:t>
            </w:r>
          </w:p>
        </w:tc>
      </w:tr>
      <w:tr>
        <w:tc>
          <w:tcPr>
            <w:tcW w:type="dxa" w:w="2077"/>
          </w:tcPr>
          <w:p>
            <w:pPr>
              <w:spacing w:line="240" w:lineRule="auto" w:after="40"/>
            </w:pPr>
            <w:r>
              <w:rPr>
                <w:sz w:val="20"/>
              </w:rPr>
            </w:r>
            <w:r>
              <w:rPr>
                <w:rFonts w:ascii="Times New Roman" w:hAnsi="Times New Roman"/>
                <w:b w:val="0"/>
                <w:sz w:val="20"/>
              </w:rPr>
              <w:t>27</w:t>
            </w:r>
          </w:p>
        </w:tc>
        <w:tc>
          <w:tcPr>
            <w:tcW w:type="dxa" w:w="2077"/>
          </w:tcPr>
          <w:p>
            <w:pPr>
              <w:spacing w:line="240" w:lineRule="auto" w:after="40"/>
            </w:pPr>
            <w:r>
              <w:rPr>
                <w:sz w:val="20"/>
              </w:rPr>
            </w:r>
            <w:r>
              <w:rPr>
                <w:rFonts w:ascii="Times New Roman" w:hAnsi="Times New Roman"/>
                <w:b w:val="0"/>
                <w:sz w:val="20"/>
              </w:rPr>
              <w:t>MCP specification [27]</w:t>
            </w:r>
          </w:p>
        </w:tc>
        <w:tc>
          <w:tcPr>
            <w:tcW w:type="dxa" w:w="2077"/>
          </w:tcPr>
          <w:p>
            <w:pPr>
              <w:spacing w:line="240" w:lineRule="auto" w:after="40"/>
            </w:pPr>
            <w:r>
              <w:rPr>
                <w:sz w:val="20"/>
              </w:rPr>
            </w:r>
            <w:r>
              <w:rPr>
                <w:rFonts w:ascii="Times New Roman" w:hAnsi="Times New Roman"/>
                <w:b w:val="0"/>
                <w:sz w:val="20"/>
              </w:rPr>
              <w:t>Defines the tool contract</w:t>
            </w:r>
          </w:p>
        </w:tc>
        <w:tc>
          <w:tcPr>
            <w:tcW w:type="dxa" w:w="2077"/>
          </w:tcPr>
          <w:p>
            <w:pPr>
              <w:spacing w:line="240" w:lineRule="auto" w:after="40"/>
            </w:pPr>
            <w:r>
              <w:rPr>
                <w:sz w:val="20"/>
              </w:rPr>
            </w:r>
            <w:r>
              <w:rPr>
                <w:rFonts w:ascii="Times New Roman" w:hAnsi="Times New Roman"/>
                <w:b w:val="0"/>
                <w:sz w:val="20"/>
              </w:rPr>
              <w:t>Standard, not security</w:t>
            </w:r>
          </w:p>
        </w:tc>
      </w:tr>
    </w:tbl>
    <w:p>
      <w:pPr>
        <w:spacing w:after="80"/>
      </w:pPr>
    </w:p>
    <w:p>
      <w:pPr>
        <w:spacing w:before="200" w:after="80"/>
      </w:pPr>
      <w:r>
        <w:rPr>
          <w:rFonts w:ascii="Times New Roman" w:hAnsi="Times New Roman"/>
          <w:b/>
          <w:sz w:val="26"/>
        </w:rPr>
        <w:t>2.1.4 Problem Identified</w:t>
      </w:r>
    </w:p>
    <w:p>
      <w:r>
        <w:rPr>
          <w:rFonts w:ascii="Times New Roman" w:hAnsi="Times New Roman"/>
          <w:b w:val="0"/>
          <w:sz w:val="24"/>
        </w:rPr>
        <w:t>The literature establishes that tool-using agents are attackable through both the tool description and the tool result, and that the two viable defence families each fail a practical requirement: prompt-level defences depend on the model, architectural defences depend on owning the agent. What is missing is a defence available to the party that adopts a third-party tool, that does not rely on model compliance, and whose effectiveness is reported together with its cost to legitimate use.</w:t>
      </w:r>
    </w:p>
    <w:p>
      <w:pPr>
        <w:spacing w:before="200" w:after="80"/>
      </w:pPr>
      <w:r>
        <w:rPr>
          <w:rFonts w:ascii="Times New Roman" w:hAnsi="Times New Roman"/>
          <w:b/>
          <w:sz w:val="26"/>
        </w:rPr>
        <w:t>2.1.5 Survey of Tools and Technologies Used</w:t>
      </w:r>
    </w:p>
    <w:p>
      <w:pPr>
        <w:spacing w:line="240" w:lineRule="auto" w:before="80" w:after="160"/>
        <w:jc w:val="center"/>
      </w:pPr>
      <w:r>
        <w:rPr>
          <w:rFonts w:ascii="Times New Roman" w:hAnsi="Times New Roman"/>
          <w:b/>
          <w:sz w:val="20"/>
        </w:rPr>
        <w:t>TABLE 2.2: Technologies and rationale.</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Technology</w:t>
            </w:r>
          </w:p>
        </w:tc>
        <w:tc>
          <w:tcPr>
            <w:tcW w:type="dxa" w:w="2770"/>
          </w:tcPr>
          <w:p>
            <w:pPr>
              <w:spacing w:line="240" w:lineRule="auto" w:after="40"/>
            </w:pPr>
            <w:r>
              <w:rPr>
                <w:b/>
                <w:sz w:val="20"/>
              </w:rPr>
            </w:r>
            <w:r>
              <w:rPr>
                <w:rFonts w:ascii="Times New Roman" w:hAnsi="Times New Roman"/>
                <w:b/>
                <w:sz w:val="20"/>
              </w:rPr>
              <w:t>Role</w:t>
            </w:r>
          </w:p>
        </w:tc>
        <w:tc>
          <w:tcPr>
            <w:tcW w:type="dxa" w:w="2770"/>
          </w:tcPr>
          <w:p>
            <w:pPr>
              <w:spacing w:line="240" w:lineRule="auto" w:after="40"/>
            </w:pPr>
            <w:r>
              <w:rPr>
                <w:b/>
                <w:sz w:val="20"/>
              </w:rPr>
            </w:r>
            <w:r>
              <w:rPr>
                <w:rFonts w:ascii="Times New Roman" w:hAnsi="Times New Roman"/>
                <w:b/>
                <w:sz w:val="20"/>
              </w:rPr>
              <w:t>Why chosen</w:t>
            </w:r>
          </w:p>
        </w:tc>
      </w:tr>
      <w:tr>
        <w:tc>
          <w:tcPr>
            <w:tcW w:type="dxa" w:w="2770"/>
          </w:tcPr>
          <w:p>
            <w:pPr>
              <w:spacing w:line="240" w:lineRule="auto" w:after="40"/>
            </w:pPr>
            <w:r>
              <w:rPr>
                <w:sz w:val="20"/>
              </w:rPr>
            </w:r>
            <w:r>
              <w:rPr>
                <w:rFonts w:ascii="Times New Roman" w:hAnsi="Times New Roman"/>
                <w:b w:val="0"/>
                <w:sz w:val="20"/>
              </w:rPr>
              <w:t>Python 3.10+</w:t>
            </w:r>
          </w:p>
        </w:tc>
        <w:tc>
          <w:tcPr>
            <w:tcW w:type="dxa" w:w="2770"/>
          </w:tcPr>
          <w:p>
            <w:pPr>
              <w:spacing w:line="240" w:lineRule="auto" w:after="40"/>
            </w:pPr>
            <w:r>
              <w:rPr>
                <w:sz w:val="20"/>
              </w:rPr>
            </w:r>
            <w:r>
              <w:rPr>
                <w:rFonts w:ascii="Times New Roman" w:hAnsi="Times New Roman"/>
                <w:b w:val="0"/>
                <w:sz w:val="20"/>
              </w:rPr>
              <w:t>Implementation language</w:t>
            </w:r>
          </w:p>
        </w:tc>
        <w:tc>
          <w:tcPr>
            <w:tcW w:type="dxa" w:w="2770"/>
          </w:tcPr>
          <w:p>
            <w:pPr>
              <w:spacing w:line="240" w:lineRule="auto" w:after="40"/>
            </w:pPr>
            <w:r>
              <w:rPr>
                <w:sz w:val="20"/>
              </w:rPr>
            </w:r>
            <w:r>
              <w:rPr>
                <w:rFonts w:ascii="Times New Roman" w:hAnsi="Times New Roman"/>
                <w:b w:val="0"/>
                <w:sz w:val="20"/>
              </w:rPr>
              <w:t>Ecosystem for LLM tooling and testing</w:t>
            </w:r>
          </w:p>
        </w:tc>
      </w:tr>
      <w:tr>
        <w:tc>
          <w:tcPr>
            <w:tcW w:type="dxa" w:w="2770"/>
          </w:tcPr>
          <w:p>
            <w:pPr>
              <w:spacing w:line="240" w:lineRule="auto" w:after="40"/>
            </w:pPr>
            <w:r>
              <w:rPr>
                <w:sz w:val="20"/>
              </w:rPr>
            </w:r>
            <w:r>
              <w:rPr>
                <w:rFonts w:ascii="Times New Roman" w:hAnsi="Times New Roman"/>
                <w:b w:val="0"/>
                <w:sz w:val="20"/>
              </w:rPr>
              <w:t>Pydantic</w:t>
            </w:r>
          </w:p>
        </w:tc>
        <w:tc>
          <w:tcPr>
            <w:tcW w:type="dxa" w:w="2770"/>
          </w:tcPr>
          <w:p>
            <w:pPr>
              <w:spacing w:line="240" w:lineRule="auto" w:after="40"/>
            </w:pPr>
            <w:r>
              <w:rPr>
                <w:sz w:val="20"/>
              </w:rPr>
            </w:r>
            <w:r>
              <w:rPr>
                <w:rFonts w:ascii="Times New Roman" w:hAnsi="Times New Roman"/>
                <w:b w:val="0"/>
                <w:sz w:val="20"/>
              </w:rPr>
              <w:t>Typed data contracts between stages</w:t>
            </w:r>
          </w:p>
        </w:tc>
        <w:tc>
          <w:tcPr>
            <w:tcW w:type="dxa" w:w="2770"/>
          </w:tcPr>
          <w:p>
            <w:pPr>
              <w:spacing w:line="240" w:lineRule="auto" w:after="40"/>
            </w:pPr>
            <w:r>
              <w:rPr>
                <w:sz w:val="20"/>
              </w:rPr>
            </w:r>
            <w:r>
              <w:rPr>
                <w:rFonts w:ascii="Times New Roman" w:hAnsi="Times New Roman"/>
                <w:b w:val="0"/>
                <w:sz w:val="20"/>
              </w:rPr>
              <w:t>Validation at every stage boundary; no untyped data crosses</w:t>
            </w:r>
          </w:p>
        </w:tc>
      </w:tr>
      <w:tr>
        <w:tc>
          <w:tcPr>
            <w:tcW w:type="dxa" w:w="2770"/>
          </w:tcPr>
          <w:p>
            <w:pPr>
              <w:spacing w:line="240" w:lineRule="auto" w:after="40"/>
            </w:pPr>
            <w:r>
              <w:rPr>
                <w:sz w:val="20"/>
              </w:rPr>
            </w:r>
            <w:r>
              <w:rPr>
                <w:rFonts w:ascii="Times New Roman" w:hAnsi="Times New Roman"/>
                <w:b w:val="0"/>
                <w:sz w:val="20"/>
              </w:rPr>
              <w:t>LiteLLM</w:t>
            </w:r>
          </w:p>
        </w:tc>
        <w:tc>
          <w:tcPr>
            <w:tcW w:type="dxa" w:w="2770"/>
          </w:tcPr>
          <w:p>
            <w:pPr>
              <w:spacing w:line="240" w:lineRule="auto" w:after="40"/>
            </w:pPr>
            <w:r>
              <w:rPr>
                <w:sz w:val="20"/>
              </w:rPr>
            </w:r>
            <w:r>
              <w:rPr>
                <w:rFonts w:ascii="Times New Roman" w:hAnsi="Times New Roman"/>
                <w:b w:val="0"/>
                <w:sz w:val="20"/>
              </w:rPr>
              <w:t>Unified access to multiple model providers</w:t>
            </w:r>
          </w:p>
        </w:tc>
        <w:tc>
          <w:tcPr>
            <w:tcW w:type="dxa" w:w="2770"/>
          </w:tcPr>
          <w:p>
            <w:pPr>
              <w:spacing w:line="240" w:lineRule="auto" w:after="40"/>
            </w:pPr>
            <w:r>
              <w:rPr>
                <w:sz w:val="20"/>
              </w:rPr>
            </w:r>
            <w:r>
              <w:rPr>
                <w:rFonts w:ascii="Times New Roman" w:hAnsi="Times New Roman"/>
                <w:b w:val="0"/>
                <w:sz w:val="20"/>
              </w:rPr>
              <w:t>Allows the cross-family grader requirement</w:t>
            </w:r>
          </w:p>
        </w:tc>
      </w:tr>
      <w:tr>
        <w:tc>
          <w:tcPr>
            <w:tcW w:type="dxa" w:w="2770"/>
          </w:tcPr>
          <w:p>
            <w:pPr>
              <w:spacing w:line="240" w:lineRule="auto" w:after="40"/>
            </w:pPr>
            <w:r>
              <w:rPr>
                <w:sz w:val="20"/>
              </w:rPr>
            </w:r>
            <w:r>
              <w:rPr>
                <w:rFonts w:ascii="Times New Roman" w:hAnsi="Times New Roman"/>
                <w:b w:val="0"/>
                <w:sz w:val="20"/>
              </w:rPr>
              <w:t>Locally hosted open models</w:t>
            </w:r>
          </w:p>
        </w:tc>
        <w:tc>
          <w:tcPr>
            <w:tcW w:type="dxa" w:w="2770"/>
          </w:tcPr>
          <w:p>
            <w:pPr>
              <w:spacing w:line="240" w:lineRule="auto" w:after="40"/>
            </w:pPr>
            <w:r>
              <w:rPr>
                <w:sz w:val="20"/>
              </w:rPr>
            </w:r>
            <w:r>
              <w:rPr>
                <w:rFonts w:ascii="Times New Roman" w:hAnsi="Times New Roman"/>
                <w:b w:val="0"/>
                <w:sz w:val="20"/>
              </w:rPr>
              <w:t>Attack generation, grading, agent</w:t>
            </w:r>
          </w:p>
        </w:tc>
        <w:tc>
          <w:tcPr>
            <w:tcW w:type="dxa" w:w="2770"/>
          </w:tcPr>
          <w:p>
            <w:pPr>
              <w:spacing w:line="240" w:lineRule="auto" w:after="40"/>
            </w:pPr>
            <w:r>
              <w:rPr>
                <w:sz w:val="20"/>
              </w:rPr>
            </w:r>
            <w:r>
              <w:rPr>
                <w:rFonts w:ascii="Times New Roman" w:hAnsi="Times New Roman"/>
                <w:b w:val="0"/>
                <w:sz w:val="20"/>
              </w:rPr>
              <w:t>Cost, reproducibility, no data leaving the machine</w:t>
            </w:r>
          </w:p>
        </w:tc>
      </w:tr>
      <w:tr>
        <w:tc>
          <w:tcPr>
            <w:tcW w:type="dxa" w:w="2770"/>
          </w:tcPr>
          <w:p>
            <w:pPr>
              <w:spacing w:line="240" w:lineRule="auto" w:after="40"/>
            </w:pPr>
            <w:r>
              <w:rPr>
                <w:sz w:val="20"/>
              </w:rPr>
            </w:r>
            <w:r>
              <w:rPr>
                <w:rFonts w:ascii="Times New Roman" w:hAnsi="Times New Roman"/>
                <w:b w:val="0"/>
                <w:sz w:val="20"/>
              </w:rPr>
              <w:t>FastAPI and Uvicorn</w:t>
            </w:r>
          </w:p>
        </w:tc>
        <w:tc>
          <w:tcPr>
            <w:tcW w:type="dxa" w:w="2770"/>
          </w:tcPr>
          <w:p>
            <w:pPr>
              <w:spacing w:line="240" w:lineRule="auto" w:after="40"/>
            </w:pPr>
            <w:r>
              <w:rPr>
                <w:sz w:val="20"/>
              </w:rPr>
            </w:r>
            <w:r>
              <w:rPr>
                <w:rFonts w:ascii="Times New Roman" w:hAnsi="Times New Roman"/>
                <w:b w:val="0"/>
                <w:sz w:val="20"/>
              </w:rPr>
              <w:t>Agent server and enforcement gateway</w:t>
            </w:r>
          </w:p>
        </w:tc>
        <w:tc>
          <w:tcPr>
            <w:tcW w:type="dxa" w:w="2770"/>
          </w:tcPr>
          <w:p>
            <w:pPr>
              <w:spacing w:line="240" w:lineRule="auto" w:after="40"/>
            </w:pPr>
            <w:r>
              <w:rPr>
                <w:sz w:val="20"/>
              </w:rPr>
            </w:r>
            <w:r>
              <w:rPr>
                <w:rFonts w:ascii="Times New Roman" w:hAnsi="Times New Roman"/>
                <w:b w:val="0"/>
                <w:sz w:val="20"/>
              </w:rPr>
              <w:t>Lightweight async HTTP suited to a proxy</w:t>
            </w:r>
          </w:p>
        </w:tc>
      </w:tr>
      <w:tr>
        <w:tc>
          <w:tcPr>
            <w:tcW w:type="dxa" w:w="2770"/>
          </w:tcPr>
          <w:p>
            <w:pPr>
              <w:spacing w:line="240" w:lineRule="auto" w:after="40"/>
            </w:pPr>
            <w:r>
              <w:rPr>
                <w:sz w:val="20"/>
              </w:rPr>
            </w:r>
            <w:r>
              <w:rPr>
                <w:rFonts w:ascii="Times New Roman" w:hAnsi="Times New Roman"/>
                <w:b w:val="0"/>
                <w:sz w:val="20"/>
              </w:rPr>
              <w:t>pytest</w:t>
            </w:r>
          </w:p>
        </w:tc>
        <w:tc>
          <w:tcPr>
            <w:tcW w:type="dxa" w:w="2770"/>
          </w:tcPr>
          <w:p>
            <w:pPr>
              <w:spacing w:line="240" w:lineRule="auto" w:after="40"/>
            </w:pPr>
            <w:r>
              <w:rPr>
                <w:sz w:val="20"/>
              </w:rPr>
            </w:r>
            <w:r>
              <w:rPr>
                <w:rFonts w:ascii="Times New Roman" w:hAnsi="Times New Roman"/>
                <w:b w:val="0"/>
                <w:sz w:val="20"/>
              </w:rPr>
              <w:t>Automated testing</w:t>
            </w:r>
          </w:p>
        </w:tc>
        <w:tc>
          <w:tcPr>
            <w:tcW w:type="dxa" w:w="2770"/>
          </w:tcPr>
          <w:p>
            <w:pPr>
              <w:spacing w:line="240" w:lineRule="auto" w:after="40"/>
            </w:pPr>
            <w:r>
              <w:rPr>
                <w:sz w:val="20"/>
              </w:rPr>
            </w:r>
            <w:r>
              <w:rPr>
                <w:rFonts w:ascii="Times New Roman" w:hAnsi="Times New Roman"/>
                <w:b w:val="0"/>
                <w:sz w:val="20"/>
              </w:rPr>
              <w:t>205 tests, including invariants such as every corpus tool having a legitimate-use suite</w:t>
            </w:r>
          </w:p>
        </w:tc>
      </w:tr>
      <w:tr>
        <w:tc>
          <w:tcPr>
            <w:tcW w:type="dxa" w:w="2770"/>
          </w:tcPr>
          <w:p>
            <w:pPr>
              <w:spacing w:line="240" w:lineRule="auto" w:after="40"/>
            </w:pPr>
            <w:r>
              <w:rPr>
                <w:sz w:val="20"/>
              </w:rPr>
            </w:r>
            <w:r>
              <w:rPr>
                <w:rFonts w:ascii="Times New Roman" w:hAnsi="Times New Roman"/>
                <w:b w:val="0"/>
                <w:sz w:val="20"/>
              </w:rPr>
              <w:t>YAML</w:t>
            </w:r>
          </w:p>
        </w:tc>
        <w:tc>
          <w:tcPr>
            <w:tcW w:type="dxa" w:w="2770"/>
          </w:tcPr>
          <w:p>
            <w:pPr>
              <w:spacing w:line="240" w:lineRule="auto" w:after="40"/>
            </w:pPr>
            <w:r>
              <w:rPr>
                <w:sz w:val="20"/>
              </w:rPr>
            </w:r>
            <w:r>
              <w:rPr>
                <w:rFonts w:ascii="Times New Roman" w:hAnsi="Times New Roman"/>
                <w:b w:val="0"/>
                <w:sz w:val="20"/>
              </w:rPr>
              <w:t>Tool and task definitions</w:t>
            </w:r>
          </w:p>
        </w:tc>
        <w:tc>
          <w:tcPr>
            <w:tcW w:type="dxa" w:w="2770"/>
          </w:tcPr>
          <w:p>
            <w:pPr>
              <w:spacing w:line="240" w:lineRule="auto" w:after="40"/>
            </w:pPr>
            <w:r>
              <w:rPr>
                <w:sz w:val="20"/>
              </w:rPr>
            </w:r>
            <w:r>
              <w:rPr>
                <w:rFonts w:ascii="Times New Roman" w:hAnsi="Times New Roman"/>
                <w:b w:val="0"/>
                <w:sz w:val="20"/>
              </w:rPr>
              <w:t>Human-editable; matches how MCP tools are distributed</w:t>
            </w:r>
          </w:p>
        </w:tc>
      </w:tr>
    </w:tbl>
    <w:p>
      <w:pPr>
        <w:spacing w:after="80"/>
      </w:pPr>
    </w:p>
    <w:p>
      <w:pPr>
        <w:spacing w:before="200" w:after="80"/>
      </w:pPr>
      <w:r>
        <w:rPr>
          <w:rFonts w:ascii="Times New Roman" w:hAnsi="Times New Roman"/>
          <w:b/>
          <w:sz w:val="28"/>
        </w:rPr>
        <w:t>2.2 Software Requirement Specification</w:t>
      </w:r>
    </w:p>
    <w:p>
      <w:pPr>
        <w:spacing w:before="200" w:after="80"/>
      </w:pPr>
      <w:r>
        <w:rPr>
          <w:rFonts w:ascii="Times New Roman" w:hAnsi="Times New Roman"/>
          <w:b/>
          <w:sz w:val="26"/>
        </w:rPr>
        <w:t>2.2.1 Introduction</w:t>
      </w:r>
    </w:p>
    <w:p>
      <w:r>
        <w:rPr>
          <w:rFonts w:ascii="Times New Roman" w:hAnsi="Times New Roman"/>
          <w:b/>
          <w:sz w:val="24"/>
        </w:rPr>
        <w:t>2.2.1.1 Purpose.</w:t>
      </w:r>
      <w:r>
        <w:rPr>
          <w:rFonts w:ascii="Times New Roman" w:hAnsi="Times New Roman"/>
          <w:b w:val="0"/>
          <w:sz w:val="24"/>
        </w:rPr>
        <w:t xml:space="preserve"> To specify the behaviour of a system that analyses an MCP tool for exploitability, synthesises a security policy, and enforces that policy at runtime.</w:t>
      </w:r>
    </w:p>
    <w:p>
      <w:r>
        <w:rPr>
          <w:rFonts w:ascii="Times New Roman" w:hAnsi="Times New Roman"/>
          <w:b/>
          <w:sz w:val="24"/>
        </w:rPr>
        <w:t>2.2.1.2 Intended Audience.</w:t>
      </w:r>
      <w:r>
        <w:rPr>
          <w:rFonts w:ascii="Times New Roman" w:hAnsi="Times New Roman"/>
          <w:b w:val="0"/>
          <w:sz w:val="24"/>
        </w:rPr>
        <w:t xml:space="preserve"> The evaluation panel and project mentors; security engineers who would deploy such a gateway; and researchers extending the work. Readers wanting the threat model should read 1.4 and 2.1.4; readers wanting results should read 4.4 and 5.1.</w:t>
      </w:r>
    </w:p>
    <w:p>
      <w:r>
        <w:rPr>
          <w:rFonts w:ascii="Times New Roman" w:hAnsi="Times New Roman"/>
          <w:b/>
          <w:sz w:val="24"/>
        </w:rPr>
        <w:t>2.2.1.3 Project Scope.</w:t>
      </w:r>
      <w:r>
        <w:rPr>
          <w:rFonts w:ascii="Times New Roman" w:hAnsi="Times New Roman"/>
          <w:b w:val="0"/>
          <w:sz w:val="24"/>
        </w:rPr>
        <w:t xml:space="preserve"> Analysis and enforcement for individual MCP tools, in the deployment position where the agent and the tool implementation are both outside the user's control.</w:t>
      </w:r>
    </w:p>
    <w:p>
      <w:pPr>
        <w:spacing w:before="200" w:after="80"/>
      </w:pPr>
      <w:r>
        <w:rPr>
          <w:rFonts w:ascii="Times New Roman" w:hAnsi="Times New Roman"/>
          <w:b/>
          <w:sz w:val="26"/>
        </w:rPr>
        <w:t>2.2.2 Overall Description</w:t>
      </w:r>
    </w:p>
    <w:p>
      <w:r>
        <w:rPr>
          <w:rFonts w:ascii="Times New Roman" w:hAnsi="Times New Roman"/>
          <w:b/>
          <w:sz w:val="24"/>
        </w:rPr>
        <w:t>2.2.2.1 Product Perspective.</w:t>
      </w:r>
      <w:r>
        <w:rPr>
          <w:rFonts w:ascii="Times New Roman" w:hAnsi="Times New Roman"/>
          <w:b w:val="0"/>
          <w:sz w:val="24"/>
        </w:rPr>
        <w:t xml:space="preserve"> The system is a standalone component that sits beside an existing agent. In analysis mode it acts as a client, sending adversarial prompts and recording behaviour. In enforcement mode it acts as a proxy between the agent's callers and the agent, applying the policy to every trajectory before returning it. Neither mode requires changes to the agent.</w:t>
      </w:r>
    </w:p>
    <w:p>
      <w:r>
        <w:rPr>
          <w:rFonts w:ascii="Times New Roman" w:hAnsi="Times New Roman"/>
          <w:b/>
          <w:sz w:val="24"/>
        </w:rPr>
        <w:t>2.2.2.2 Product Features.</w:t>
      </w:r>
      <w:r>
        <w:rPr>
          <w:rFonts w:ascii="Times New Roman" w:hAnsi="Times New Roman"/>
          <w:b w:val="0"/>
          <w:sz w:val="24"/>
        </w:rPr>
        <w:t xml:space="preserve"> Tool profiling from a description; adversarial attack generation with iterative refinement; automatic policy synthesis; deterministic policy checking against both attack and legitimate-use traces; runtime enforcement with an audit trail; and per-run reporting.</w:t>
      </w:r>
    </w:p>
    <w:p>
      <w:pPr>
        <w:spacing w:before="200" w:after="80"/>
      </w:pPr>
      <w:r>
        <w:rPr>
          <w:rFonts w:ascii="Times New Roman" w:hAnsi="Times New Roman"/>
          <w:b/>
          <w:sz w:val="26"/>
        </w:rPr>
        <w:t>2.2.3 External Interface Requirements</w:t>
      </w:r>
    </w:p>
    <w:p>
      <w:r>
        <w:rPr>
          <w:rFonts w:ascii="Times New Roman" w:hAnsi="Times New Roman"/>
          <w:b/>
          <w:sz w:val="24"/>
        </w:rPr>
        <w:t>2.2.3.1 User Interfaces.</w:t>
      </w:r>
      <w:r>
        <w:rPr>
          <w:rFonts w:ascii="Times New Roman" w:hAnsi="Times New Roman"/>
          <w:b w:val="0"/>
          <w:sz w:val="24"/>
        </w:rPr>
        <w:t xml:space="preserve"> A command-line interface with three commands: analyse a tool, iteratively harden it, and run the enforcement gateway. Output is a machine-readable report and a static HTML dashboard showing attack outcomes, policy contents and the security-utility result.</w:t>
      </w:r>
    </w:p>
    <w:p>
      <w:r>
        <w:rPr>
          <w:rFonts w:ascii="Times New Roman" w:hAnsi="Times New Roman"/>
          <w:b/>
          <w:sz w:val="24"/>
        </w:rPr>
        <w:t>2.2.3.2 Hardware Interfaces.</w:t>
      </w:r>
      <w:r>
        <w:rPr>
          <w:rFonts w:ascii="Times New Roman" w:hAnsi="Times New Roman"/>
          <w:b w:val="0"/>
          <w:sz w:val="24"/>
        </w:rPr>
        <w:t xml:space="preserve"> A GPU-equipped host for model inference. Evaluation used a 27-billion-parameter model for attack generation and the agent, and a 30-billion-parameter model from a different family for grading.</w:t>
      </w:r>
    </w:p>
    <w:p>
      <w:r>
        <w:rPr>
          <w:rFonts w:ascii="Times New Roman" w:hAnsi="Times New Roman"/>
          <w:b/>
          <w:sz w:val="24"/>
        </w:rPr>
        <w:t>2.2.3.3 Software Interfaces.</w:t>
      </w:r>
      <w:r>
        <w:rPr>
          <w:rFonts w:ascii="Times New Roman" w:hAnsi="Times New Roman"/>
          <w:b w:val="0"/>
          <w:sz w:val="24"/>
        </w:rPr>
        <w:t xml:space="preserve"> HTTP to the agent under test; HTTP to the model inference server; tool definitions in MCP format.</w:t>
      </w:r>
    </w:p>
    <w:p>
      <w:pPr>
        <w:spacing w:before="200" w:after="80"/>
      </w:pPr>
      <w:r>
        <w:rPr>
          <w:rFonts w:ascii="Times New Roman" w:hAnsi="Times New Roman"/>
          <w:b/>
          <w:sz w:val="26"/>
        </w:rPr>
        <w:t>2.2.4 Other Non-functional Requirements</w:t>
      </w:r>
    </w:p>
    <w:p>
      <w:r>
        <w:rPr>
          <w:rFonts w:ascii="Times New Roman" w:hAnsi="Times New Roman"/>
          <w:b/>
          <w:sz w:val="24"/>
        </w:rPr>
        <w:t>2.2.4.1 Performance.</w:t>
      </w:r>
      <w:r>
        <w:rPr>
          <w:rFonts w:ascii="Times New Roman" w:hAnsi="Times New Roman"/>
          <w:b w:val="0"/>
          <w:sz w:val="24"/>
        </w:rPr>
        <w:t xml:space="preserve"> Analysis of one tool completes in roughly 15 to 30 minutes. This is acceptable because analysis is performed once when a tool is adopted, not per request. Enforcement adds negligible latency, since the gates are deterministic checks with no model call.</w:t>
      </w:r>
    </w:p>
    <w:p>
      <w:r>
        <w:rPr>
          <w:rFonts w:ascii="Times New Roman" w:hAnsi="Times New Roman"/>
          <w:b/>
          <w:sz w:val="24"/>
        </w:rPr>
        <w:t>2.2.4.2 Safety.</w:t>
      </w:r>
      <w:r>
        <w:rPr>
          <w:rFonts w:ascii="Times New Roman" w:hAnsi="Times New Roman"/>
          <w:b w:val="0"/>
          <w:sz w:val="24"/>
        </w:rPr>
        <w:t xml:space="preserve"> Tool execution during testing is simulated and never performs real file, network or shell operations, so adversarial prompts cannot cause damage. This is a hard requirement: the system deliberately generates prompts designed to trigger destructive actions.</w:t>
      </w:r>
    </w:p>
    <w:p>
      <w:r>
        <w:rPr>
          <w:rFonts w:ascii="Times New Roman" w:hAnsi="Times New Roman"/>
          <w:b/>
          <w:sz w:val="24"/>
        </w:rPr>
        <w:t>2.2.4.3 Security.</w:t>
      </w:r>
      <w:r>
        <w:rPr>
          <w:rFonts w:ascii="Times New Roman" w:hAnsi="Times New Roman"/>
          <w:b w:val="0"/>
          <w:sz w:val="24"/>
        </w:rPr>
        <w:t xml:space="preserve"> Enforcement must not depend on the model's cooperation. Attack generation and grading must use different model families so that no model grades its own output. Every enforcement decision must be recorded with the gate and rule that produced it, so decisions are auditable.</w:t>
      </w:r>
    </w:p>
    <w:p>
      <w:pPr>
        <w:spacing w:before="200" w:after="80"/>
      </w:pPr>
      <w:r>
        <w:rPr>
          <w:rFonts w:ascii="Times New Roman" w:hAnsi="Times New Roman"/>
          <w:b/>
          <w:sz w:val="28"/>
        </w:rPr>
        <w:t>2.3 Cost Analysis</w:t>
      </w:r>
    </w:p>
    <w:p>
      <w:pPr>
        <w:spacing w:line="240" w:lineRule="auto" w:before="80" w:after="160"/>
        <w:jc w:val="center"/>
      </w:pPr>
      <w:r>
        <w:rPr>
          <w:rFonts w:ascii="Times New Roman" w:hAnsi="Times New Roman"/>
          <w:b/>
          <w:sz w:val="20"/>
        </w:rPr>
        <w:t>TABLE 2.3: Project cost.</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Item</w:t>
            </w:r>
          </w:p>
        </w:tc>
        <w:tc>
          <w:tcPr>
            <w:tcW w:type="dxa" w:w="2770"/>
          </w:tcPr>
          <w:p>
            <w:pPr>
              <w:spacing w:line="240" w:lineRule="auto" w:after="40"/>
            </w:pPr>
            <w:r>
              <w:rPr>
                <w:b/>
                <w:sz w:val="20"/>
              </w:rPr>
            </w:r>
            <w:r>
              <w:rPr>
                <w:rFonts w:ascii="Times New Roman" w:hAnsi="Times New Roman"/>
                <w:b/>
                <w:sz w:val="20"/>
              </w:rPr>
              <w:t>Basis</w:t>
            </w:r>
          </w:p>
        </w:tc>
        <w:tc>
          <w:tcPr>
            <w:tcW w:type="dxa" w:w="2770"/>
          </w:tcPr>
          <w:p>
            <w:pPr>
              <w:spacing w:line="240" w:lineRule="auto" w:after="40"/>
            </w:pPr>
            <w:r>
              <w:rPr>
                <w:b/>
                <w:sz w:val="20"/>
              </w:rPr>
            </w:r>
            <w:r>
              <w:rPr>
                <w:rFonts w:ascii="Times New Roman" w:hAnsi="Times New Roman"/>
                <w:b/>
                <w:sz w:val="20"/>
              </w:rPr>
              <w:t>Cost</w:t>
            </w:r>
          </w:p>
        </w:tc>
      </w:tr>
      <w:tr>
        <w:tc>
          <w:tcPr>
            <w:tcW w:type="dxa" w:w="2770"/>
          </w:tcPr>
          <w:p>
            <w:pPr>
              <w:spacing w:line="240" w:lineRule="auto" w:after="40"/>
            </w:pPr>
            <w:r>
              <w:rPr>
                <w:sz w:val="20"/>
              </w:rPr>
            </w:r>
            <w:r>
              <w:rPr>
                <w:rFonts w:ascii="Times New Roman" w:hAnsi="Times New Roman"/>
                <w:b w:val="0"/>
                <w:sz w:val="20"/>
              </w:rPr>
              <w:t>Model inference</w:t>
            </w:r>
          </w:p>
        </w:tc>
        <w:tc>
          <w:tcPr>
            <w:tcW w:type="dxa" w:w="2770"/>
          </w:tcPr>
          <w:p>
            <w:pPr>
              <w:spacing w:line="240" w:lineRule="auto" w:after="40"/>
            </w:pPr>
            <w:r>
              <w:rPr>
                <w:sz w:val="20"/>
              </w:rPr>
            </w:r>
            <w:r>
              <w:rPr>
                <w:rFonts w:ascii="Times New Roman" w:hAnsi="Times New Roman"/>
                <w:b w:val="0"/>
                <w:sz w:val="20"/>
              </w:rPr>
              <w:t>Locally hosted open-weight models</w:t>
            </w:r>
          </w:p>
        </w:tc>
        <w:tc>
          <w:tcPr>
            <w:tcW w:type="dxa" w:w="2770"/>
          </w:tcPr>
          <w:p>
            <w:pPr>
              <w:spacing w:line="240" w:lineRule="auto" w:after="40"/>
            </w:pPr>
            <w:r>
              <w:rPr>
                <w:sz w:val="20"/>
              </w:rPr>
            </w:r>
            <w:r>
              <w:rPr>
                <w:rFonts w:ascii="Times New Roman" w:hAnsi="Times New Roman"/>
                <w:b w:val="0"/>
                <w:sz w:val="20"/>
              </w:rPr>
              <w:t>Nil (no API charges)</w:t>
            </w:r>
          </w:p>
        </w:tc>
      </w:tr>
      <w:tr>
        <w:tc>
          <w:tcPr>
            <w:tcW w:type="dxa" w:w="2770"/>
          </w:tcPr>
          <w:p>
            <w:pPr>
              <w:spacing w:line="240" w:lineRule="auto" w:after="40"/>
            </w:pPr>
            <w:r>
              <w:rPr>
                <w:sz w:val="20"/>
              </w:rPr>
            </w:r>
            <w:r>
              <w:rPr>
                <w:rFonts w:ascii="Times New Roman" w:hAnsi="Times New Roman"/>
                <w:b w:val="0"/>
                <w:sz w:val="20"/>
              </w:rPr>
              <w:t>Compute</w:t>
            </w:r>
          </w:p>
        </w:tc>
        <w:tc>
          <w:tcPr>
            <w:tcW w:type="dxa" w:w="2770"/>
          </w:tcPr>
          <w:p>
            <w:pPr>
              <w:spacing w:line="240" w:lineRule="auto" w:after="40"/>
            </w:pPr>
            <w:r>
              <w:rPr>
                <w:sz w:val="20"/>
              </w:rPr>
            </w:r>
            <w:r>
              <w:rPr>
                <w:rFonts w:ascii="Times New Roman" w:hAnsi="Times New Roman"/>
                <w:b w:val="0"/>
                <w:sz w:val="20"/>
              </w:rPr>
              <w:t>Existing GPU hardware</w:t>
            </w:r>
          </w:p>
        </w:tc>
        <w:tc>
          <w:tcPr>
            <w:tcW w:type="dxa" w:w="2770"/>
          </w:tcPr>
          <w:p>
            <w:pPr>
              <w:spacing w:line="240" w:lineRule="auto" w:after="40"/>
            </w:pPr>
            <w:r>
              <w:rPr>
                <w:sz w:val="20"/>
              </w:rPr>
            </w:r>
            <w:r>
              <w:rPr>
                <w:rFonts w:ascii="Times New Roman" w:hAnsi="Times New Roman"/>
                <w:b w:val="0"/>
                <w:sz w:val="20"/>
              </w:rPr>
              <w:t>Nil marginal</w:t>
            </w:r>
          </w:p>
        </w:tc>
      </w:tr>
      <w:tr>
        <w:tc>
          <w:tcPr>
            <w:tcW w:type="dxa" w:w="2770"/>
          </w:tcPr>
          <w:p>
            <w:pPr>
              <w:spacing w:line="240" w:lineRule="auto" w:after="40"/>
            </w:pPr>
            <w:r>
              <w:rPr>
                <w:sz w:val="20"/>
              </w:rPr>
            </w:r>
            <w:r>
              <w:rPr>
                <w:rFonts w:ascii="Times New Roman" w:hAnsi="Times New Roman"/>
                <w:b w:val="0"/>
                <w:sz w:val="20"/>
              </w:rPr>
              <w:t>Software</w:t>
            </w:r>
          </w:p>
        </w:tc>
        <w:tc>
          <w:tcPr>
            <w:tcW w:type="dxa" w:w="2770"/>
          </w:tcPr>
          <w:p>
            <w:pPr>
              <w:spacing w:line="240" w:lineRule="auto" w:after="40"/>
            </w:pPr>
            <w:r>
              <w:rPr>
                <w:sz w:val="20"/>
              </w:rPr>
            </w:r>
            <w:r>
              <w:rPr>
                <w:rFonts w:ascii="Times New Roman" w:hAnsi="Times New Roman"/>
                <w:b w:val="0"/>
                <w:sz w:val="20"/>
              </w:rPr>
              <w:t>Open-source libraries throughout</w:t>
            </w:r>
          </w:p>
        </w:tc>
        <w:tc>
          <w:tcPr>
            <w:tcW w:type="dxa" w:w="2770"/>
          </w:tcPr>
          <w:p>
            <w:pPr>
              <w:spacing w:line="240" w:lineRule="auto" w:after="40"/>
            </w:pPr>
            <w:r>
              <w:rPr>
                <w:sz w:val="20"/>
              </w:rPr>
            </w:r>
            <w:r>
              <w:rPr>
                <w:rFonts w:ascii="Times New Roman" w:hAnsi="Times New Roman"/>
                <w:b w:val="0"/>
                <w:sz w:val="20"/>
              </w:rPr>
              <w:t>Nil</w:t>
            </w:r>
          </w:p>
        </w:tc>
      </w:tr>
      <w:tr>
        <w:tc>
          <w:tcPr>
            <w:tcW w:type="dxa" w:w="2770"/>
          </w:tcPr>
          <w:p>
            <w:pPr>
              <w:spacing w:line="240" w:lineRule="auto" w:after="40"/>
            </w:pPr>
            <w:r>
              <w:rPr>
                <w:sz w:val="20"/>
              </w:rPr>
            </w:r>
            <w:r>
              <w:rPr>
                <w:rFonts w:ascii="Times New Roman" w:hAnsi="Times New Roman"/>
                <w:b w:val="0"/>
                <w:sz w:val="20"/>
              </w:rPr>
              <w:t>Effort</w:t>
            </w:r>
          </w:p>
        </w:tc>
        <w:tc>
          <w:tcPr>
            <w:tcW w:type="dxa" w:w="2770"/>
          </w:tcPr>
          <w:p>
            <w:pPr>
              <w:spacing w:line="240" w:lineRule="auto" w:after="40"/>
            </w:pPr>
            <w:r>
              <w:rPr>
                <w:sz w:val="20"/>
              </w:rPr>
            </w:r>
            <w:r>
              <w:rPr>
                <w:rFonts w:ascii="Times New Roman" w:hAnsi="Times New Roman"/>
                <w:b w:val="0"/>
                <w:sz w:val="20"/>
              </w:rPr>
              <w:t>Five members, one semester</w:t>
            </w:r>
          </w:p>
        </w:tc>
        <w:tc>
          <w:tcPr>
            <w:tcW w:type="dxa" w:w="2770"/>
          </w:tcPr>
          <w:p>
            <w:pPr>
              <w:spacing w:line="240" w:lineRule="auto" w:after="40"/>
            </w:pPr>
            <w:r>
              <w:rPr>
                <w:sz w:val="20"/>
              </w:rPr>
            </w:r>
            <w:r>
              <w:rPr>
                <w:rFonts w:ascii="Times New Roman" w:hAnsi="Times New Roman"/>
                <w:b w:val="0"/>
                <w:sz w:val="20"/>
              </w:rPr>
              <w:t>Principal cost</w:t>
            </w:r>
          </w:p>
        </w:tc>
      </w:tr>
    </w:tbl>
    <w:p>
      <w:pPr>
        <w:spacing w:after="80"/>
      </w:pPr>
    </w:p>
    <w:p>
      <w:r>
        <w:rPr>
          <w:rFonts w:ascii="Times New Roman" w:hAnsi="Times New Roman"/>
          <w:b w:val="0"/>
          <w:sz w:val="24"/>
        </w:rPr>
        <w:t>The decision to use locally hosted open models rather than commercial APIs removed the project's only significant recurring cost. It also improved reproducibility, since model versions are pinned locally, and avoided sending adversarial prompts to third-party services.</w:t>
      </w:r>
    </w:p>
    <w:p>
      <w:pPr>
        <w:spacing w:before="200" w:after="80"/>
      </w:pPr>
      <w:r>
        <w:rPr>
          <w:rFonts w:ascii="Times New Roman" w:hAnsi="Times New Roman"/>
          <w:b/>
          <w:sz w:val="28"/>
        </w:rPr>
        <w:t>2.4 Risk Analysis</w:t>
      </w:r>
    </w:p>
    <w:p>
      <w:pPr>
        <w:spacing w:line="240" w:lineRule="auto" w:before="80" w:after="160"/>
        <w:jc w:val="center"/>
      </w:pPr>
      <w:r>
        <w:rPr>
          <w:rFonts w:ascii="Times New Roman" w:hAnsi="Times New Roman"/>
          <w:b/>
          <w:sz w:val="20"/>
        </w:rPr>
        <w:t>TABLE 2.4: Principal risks and their current status.</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Pr>
                <w:b/>
                <w:sz w:val="20"/>
              </w:rPr>
            </w:r>
            <w:r>
              <w:rPr>
                <w:rFonts w:ascii="Times New Roman" w:hAnsi="Times New Roman"/>
                <w:b/>
                <w:sz w:val="20"/>
              </w:rPr>
              <w:t>#</w:t>
            </w:r>
          </w:p>
        </w:tc>
        <w:tc>
          <w:tcPr>
            <w:tcW w:type="dxa" w:w="1662"/>
          </w:tcPr>
          <w:p>
            <w:pPr>
              <w:spacing w:line="240" w:lineRule="auto" w:after="40"/>
            </w:pPr>
            <w:r>
              <w:rPr>
                <w:b/>
                <w:sz w:val="20"/>
              </w:rPr>
            </w:r>
            <w:r>
              <w:rPr>
                <w:rFonts w:ascii="Times New Roman" w:hAnsi="Times New Roman"/>
                <w:b/>
                <w:sz w:val="20"/>
              </w:rPr>
              <w:t>Risk</w:t>
            </w:r>
          </w:p>
        </w:tc>
        <w:tc>
          <w:tcPr>
            <w:tcW w:type="dxa" w:w="1662"/>
          </w:tcPr>
          <w:p>
            <w:pPr>
              <w:spacing w:line="240" w:lineRule="auto" w:after="40"/>
            </w:pPr>
            <w:r>
              <w:rPr>
                <w:b/>
                <w:sz w:val="20"/>
              </w:rPr>
            </w:r>
            <w:r>
              <w:rPr>
                <w:rFonts w:ascii="Times New Roman" w:hAnsi="Times New Roman"/>
                <w:b/>
                <w:sz w:val="20"/>
              </w:rPr>
              <w:t>Severity</w:t>
            </w:r>
          </w:p>
        </w:tc>
        <w:tc>
          <w:tcPr>
            <w:tcW w:type="dxa" w:w="1662"/>
          </w:tcPr>
          <w:p>
            <w:pPr>
              <w:spacing w:line="240" w:lineRule="auto" w:after="40"/>
            </w:pPr>
            <w:r>
              <w:rPr>
                <w:b/>
                <w:sz w:val="20"/>
              </w:rPr>
            </w:r>
            <w:r>
              <w:rPr>
                <w:rFonts w:ascii="Times New Roman" w:hAnsi="Times New Roman"/>
                <w:b/>
                <w:sz w:val="20"/>
              </w:rPr>
              <w:t>Mitigation</w:t>
            </w:r>
          </w:p>
        </w:tc>
        <w:tc>
          <w:tcPr>
            <w:tcW w:type="dxa" w:w="1662"/>
          </w:tcPr>
          <w:p>
            <w:pPr>
              <w:spacing w:line="240" w:lineRule="auto" w:after="40"/>
            </w:pPr>
            <w:r>
              <w:rPr>
                <w:b/>
                <w:sz w:val="20"/>
              </w:rPr>
            </w:r>
            <w:r>
              <w:rPr>
                <w:rFonts w:ascii="Times New Roman" w:hAnsi="Times New Roman"/>
                <w:b/>
                <w:sz w:val="20"/>
              </w:rPr>
              <w:t>Status</w:t>
            </w:r>
          </w:p>
        </w:tc>
      </w:tr>
      <w:tr>
        <w:tc>
          <w:tcPr>
            <w:tcW w:type="dxa" w:w="1662"/>
          </w:tcPr>
          <w:p>
            <w:pPr>
              <w:spacing w:line="240" w:lineRule="auto" w:after="40"/>
            </w:pPr>
            <w:r>
              <w:rPr>
                <w:sz w:val="20"/>
              </w:rPr>
            </w:r>
            <w:r>
              <w:rPr>
                <w:rFonts w:ascii="Times New Roman" w:hAnsi="Times New Roman"/>
                <w:b w:val="0"/>
                <w:sz w:val="20"/>
              </w:rPr>
              <w:t>R1</w:t>
            </w:r>
          </w:p>
        </w:tc>
        <w:tc>
          <w:tcPr>
            <w:tcW w:type="dxa" w:w="1662"/>
          </w:tcPr>
          <w:p>
            <w:pPr>
              <w:spacing w:line="240" w:lineRule="auto" w:after="40"/>
            </w:pPr>
            <w:r>
              <w:rPr>
                <w:sz w:val="20"/>
              </w:rPr>
            </w:r>
            <w:r>
              <w:rPr>
                <w:rFonts w:ascii="Times New Roman" w:hAnsi="Times New Roman"/>
                <w:b w:val="0"/>
                <w:sz w:val="20"/>
              </w:rPr>
              <w:t>A model grading its own output inflates results</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Attack generation and grading use different model families; recorded per run</w:t>
            </w:r>
          </w:p>
        </w:tc>
        <w:tc>
          <w:tcPr>
            <w:tcW w:type="dxa" w:w="1662"/>
          </w:tcPr>
          <w:p>
            <w:pPr>
              <w:spacing w:line="240" w:lineRule="auto" w:after="40"/>
            </w:pPr>
            <w:r>
              <w:rPr>
                <w:sz w:val="20"/>
              </w:rPr>
            </w:r>
            <w:r>
              <w:rPr>
                <w:rFonts w:ascii="Times New Roman" w:hAnsi="Times New Roman"/>
                <w:b w:val="0"/>
                <w:sz w:val="20"/>
              </w:rPr>
              <w:t>Resolved</w:t>
            </w:r>
          </w:p>
        </w:tc>
      </w:tr>
      <w:tr>
        <w:tc>
          <w:tcPr>
            <w:tcW w:type="dxa" w:w="1662"/>
          </w:tcPr>
          <w:p>
            <w:pPr>
              <w:spacing w:line="240" w:lineRule="auto" w:after="40"/>
            </w:pPr>
            <w:r>
              <w:rPr>
                <w:sz w:val="20"/>
              </w:rPr>
            </w:r>
            <w:r>
              <w:rPr>
                <w:rFonts w:ascii="Times New Roman" w:hAnsi="Times New Roman"/>
                <w:b w:val="0"/>
                <w:sz w:val="20"/>
              </w:rPr>
              <w:t>R2</w:t>
            </w:r>
          </w:p>
        </w:tc>
        <w:tc>
          <w:tcPr>
            <w:tcW w:type="dxa" w:w="1662"/>
          </w:tcPr>
          <w:p>
            <w:pPr>
              <w:spacing w:line="240" w:lineRule="auto" w:after="40"/>
            </w:pPr>
            <w:r>
              <w:rPr>
                <w:sz w:val="20"/>
              </w:rPr>
            </w:r>
            <w:r>
              <w:rPr>
                <w:rFonts w:ascii="Times New Roman" w:hAnsi="Times New Roman"/>
                <w:b w:val="0"/>
                <w:sz w:val="20"/>
              </w:rPr>
              <w:t>Policies achieve high block rates by disabling the tool</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Paired security-utility metric; two guards preventing capability denial of the core function</w:t>
            </w:r>
          </w:p>
        </w:tc>
        <w:tc>
          <w:tcPr>
            <w:tcW w:type="dxa" w:w="1662"/>
          </w:tcPr>
          <w:p>
            <w:pPr>
              <w:spacing w:line="240" w:lineRule="auto" w:after="40"/>
            </w:pPr>
            <w:r>
              <w:rPr>
                <w:sz w:val="20"/>
              </w:rPr>
            </w:r>
            <w:r>
              <w:rPr>
                <w:rFonts w:ascii="Times New Roman" w:hAnsi="Times New Roman"/>
                <w:b w:val="0"/>
                <w:sz w:val="20"/>
              </w:rPr>
              <w:t>Resolved</w:t>
            </w:r>
          </w:p>
        </w:tc>
      </w:tr>
      <w:tr>
        <w:tc>
          <w:tcPr>
            <w:tcW w:type="dxa" w:w="1662"/>
          </w:tcPr>
          <w:p>
            <w:pPr>
              <w:spacing w:line="240" w:lineRule="auto" w:after="40"/>
            </w:pPr>
            <w:r>
              <w:rPr>
                <w:sz w:val="20"/>
              </w:rPr>
            </w:r>
            <w:r>
              <w:rPr>
                <w:rFonts w:ascii="Times New Roman" w:hAnsi="Times New Roman"/>
                <w:b w:val="0"/>
                <w:sz w:val="20"/>
              </w:rPr>
              <w:t>R3</w:t>
            </w:r>
          </w:p>
        </w:tc>
        <w:tc>
          <w:tcPr>
            <w:tcW w:type="dxa" w:w="1662"/>
          </w:tcPr>
          <w:p>
            <w:pPr>
              <w:spacing w:line="240" w:lineRule="auto" w:after="40"/>
            </w:pPr>
            <w:r>
              <w:rPr>
                <w:sz w:val="20"/>
              </w:rPr>
            </w:r>
            <w:r>
              <w:rPr>
                <w:rFonts w:ascii="Times New Roman" w:hAnsi="Times New Roman"/>
                <w:b w:val="0"/>
                <w:sz w:val="20"/>
              </w:rPr>
              <w:t>Legitimate-use suites written by the same authors as the expected calls</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Suites re-recorded from the live agent, provenance recorded</w:t>
            </w:r>
          </w:p>
        </w:tc>
        <w:tc>
          <w:tcPr>
            <w:tcW w:type="dxa" w:w="1662"/>
          </w:tcPr>
          <w:p>
            <w:pPr>
              <w:spacing w:line="240" w:lineRule="auto" w:after="40"/>
            </w:pPr>
            <w:r>
              <w:rPr>
                <w:sz w:val="20"/>
              </w:rPr>
            </w:r>
            <w:r>
              <w:rPr>
                <w:rFonts w:ascii="Times New Roman" w:hAnsi="Times New Roman"/>
                <w:b w:val="0"/>
                <w:sz w:val="20"/>
              </w:rPr>
              <w:t>Resolved</w:t>
            </w:r>
          </w:p>
        </w:tc>
      </w:tr>
      <w:tr>
        <w:tc>
          <w:tcPr>
            <w:tcW w:type="dxa" w:w="1662"/>
          </w:tcPr>
          <w:p>
            <w:pPr>
              <w:spacing w:line="240" w:lineRule="auto" w:after="40"/>
            </w:pPr>
            <w:r>
              <w:rPr>
                <w:sz w:val="20"/>
              </w:rPr>
            </w:r>
            <w:r>
              <w:rPr>
                <w:rFonts w:ascii="Times New Roman" w:hAnsi="Times New Roman"/>
                <w:b w:val="0"/>
                <w:sz w:val="20"/>
              </w:rPr>
              <w:t>R4</w:t>
            </w:r>
          </w:p>
        </w:tc>
        <w:tc>
          <w:tcPr>
            <w:tcW w:type="dxa" w:w="1662"/>
          </w:tcPr>
          <w:p>
            <w:pPr>
              <w:spacing w:line="240" w:lineRule="auto" w:after="40"/>
            </w:pPr>
            <w:r>
              <w:rPr>
                <w:sz w:val="20"/>
              </w:rPr>
            </w:r>
            <w:r>
              <w:rPr>
                <w:rFonts w:ascii="Times New Roman" w:hAnsi="Times New Roman"/>
                <w:b w:val="0"/>
                <w:sz w:val="20"/>
              </w:rPr>
              <w:t>Automated grader disagrees with human judgement</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Blind labelling set prepared and balanced across categories</w:t>
            </w:r>
          </w:p>
        </w:tc>
        <w:tc>
          <w:tcPr>
            <w:tcW w:type="dxa" w:w="1662"/>
          </w:tcPr>
          <w:p>
            <w:pPr>
              <w:spacing w:line="240" w:lineRule="auto" w:after="40"/>
            </w:pPr>
            <w:r>
              <w:rPr>
                <w:sz w:val="20"/>
              </w:rPr>
            </w:r>
            <w:r>
              <w:rPr>
                <w:rFonts w:ascii="Times New Roman" w:hAnsi="Times New Roman"/>
                <w:b w:val="0"/>
                <w:sz w:val="20"/>
              </w:rPr>
              <w:t>Open — labels not yet collected</w:t>
            </w:r>
          </w:p>
        </w:tc>
      </w:tr>
      <w:tr>
        <w:tc>
          <w:tcPr>
            <w:tcW w:type="dxa" w:w="1662"/>
          </w:tcPr>
          <w:p>
            <w:pPr>
              <w:spacing w:line="240" w:lineRule="auto" w:after="40"/>
            </w:pPr>
            <w:r>
              <w:rPr>
                <w:sz w:val="20"/>
              </w:rPr>
            </w:r>
            <w:r>
              <w:rPr>
                <w:rFonts w:ascii="Times New Roman" w:hAnsi="Times New Roman"/>
                <w:b w:val="0"/>
                <w:sz w:val="20"/>
              </w:rPr>
              <w:t>R5</w:t>
            </w:r>
          </w:p>
        </w:tc>
        <w:tc>
          <w:tcPr>
            <w:tcW w:type="dxa" w:w="1662"/>
          </w:tcPr>
          <w:p>
            <w:pPr>
              <w:spacing w:line="240" w:lineRule="auto" w:after="40"/>
            </w:pPr>
            <w:r>
              <w:rPr>
                <w:sz w:val="20"/>
              </w:rPr>
            </w:r>
            <w:r>
              <w:rPr>
                <w:rFonts w:ascii="Times New Roman" w:hAnsi="Times New Roman"/>
                <w:b w:val="0"/>
                <w:sz w:val="20"/>
              </w:rPr>
              <w:t>Single-run results quoted as if stable</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Repeated runs in progress; results reported as one run until complete</w:t>
            </w:r>
          </w:p>
        </w:tc>
        <w:tc>
          <w:tcPr>
            <w:tcW w:type="dxa" w:w="1662"/>
          </w:tcPr>
          <w:p>
            <w:pPr>
              <w:spacing w:line="240" w:lineRule="auto" w:after="40"/>
            </w:pPr>
            <w:r>
              <w:rPr>
                <w:sz w:val="20"/>
              </w:rPr>
            </w:r>
            <w:r>
              <w:rPr>
                <w:rFonts w:ascii="Times New Roman" w:hAnsi="Times New Roman"/>
                <w:b w:val="0"/>
                <w:sz w:val="20"/>
              </w:rPr>
              <w:t>Open</w:t>
            </w:r>
          </w:p>
        </w:tc>
      </w:tr>
      <w:tr>
        <w:tc>
          <w:tcPr>
            <w:tcW w:type="dxa" w:w="1662"/>
          </w:tcPr>
          <w:p>
            <w:pPr>
              <w:spacing w:line="240" w:lineRule="auto" w:after="40"/>
            </w:pPr>
            <w:r>
              <w:rPr>
                <w:sz w:val="20"/>
              </w:rPr>
            </w:r>
            <w:r>
              <w:rPr>
                <w:rFonts w:ascii="Times New Roman" w:hAnsi="Times New Roman"/>
                <w:b w:val="0"/>
                <w:sz w:val="20"/>
              </w:rPr>
              <w:t>R6</w:t>
            </w:r>
          </w:p>
        </w:tc>
        <w:tc>
          <w:tcPr>
            <w:tcW w:type="dxa" w:w="1662"/>
          </w:tcPr>
          <w:p>
            <w:pPr>
              <w:spacing w:line="240" w:lineRule="auto" w:after="40"/>
            </w:pPr>
            <w:r>
              <w:rPr>
                <w:sz w:val="20"/>
              </w:rPr>
            </w:r>
            <w:r>
              <w:rPr>
                <w:rFonts w:ascii="Times New Roman" w:hAnsi="Times New Roman"/>
                <w:b w:val="0"/>
                <w:sz w:val="20"/>
              </w:rPr>
              <w:t>Capability inferred from tool names may mis-classify</w:t>
            </w:r>
          </w:p>
        </w:tc>
        <w:tc>
          <w:tcPr>
            <w:tcW w:type="dxa" w:w="1662"/>
          </w:tcPr>
          <w:p>
            <w:pPr>
              <w:spacing w:line="240" w:lineRule="auto" w:after="40"/>
            </w:pPr>
            <w:r>
              <w:rPr>
                <w:sz w:val="20"/>
              </w:rPr>
            </w:r>
            <w:r>
              <w:rPr>
                <w:rFonts w:ascii="Times New Roman" w:hAnsi="Times New Roman"/>
                <w:b w:val="0"/>
                <w:sz w:val="20"/>
              </w:rPr>
              <w:t>Medium</w:t>
            </w:r>
          </w:p>
        </w:tc>
        <w:tc>
          <w:tcPr>
            <w:tcW w:type="dxa" w:w="1662"/>
          </w:tcPr>
          <w:p>
            <w:pPr>
              <w:spacing w:line="240" w:lineRule="auto" w:after="40"/>
            </w:pPr>
            <w:r>
              <w:rPr>
                <w:sz w:val="20"/>
              </w:rPr>
            </w:r>
            <w:r>
              <w:rPr>
                <w:rFonts w:ascii="Times New Roman" w:hAnsi="Times New Roman"/>
                <w:b w:val="0"/>
                <w:sz w:val="20"/>
              </w:rPr>
              <w:t>Deliberate over-approximation, so reported blocking is a lower bound</w:t>
            </w:r>
          </w:p>
        </w:tc>
        <w:tc>
          <w:tcPr>
            <w:tcW w:type="dxa" w:w="1662"/>
          </w:tcPr>
          <w:p>
            <w:pPr>
              <w:spacing w:line="240" w:lineRule="auto" w:after="40"/>
            </w:pPr>
            <w:r>
              <w:rPr>
                <w:sz w:val="20"/>
              </w:rPr>
            </w:r>
            <w:r>
              <w:rPr>
                <w:rFonts w:ascii="Times New Roman" w:hAnsi="Times New Roman"/>
                <w:b w:val="0"/>
                <w:sz w:val="20"/>
              </w:rPr>
              <w:t>Accepted</w:t>
            </w:r>
          </w:p>
        </w:tc>
      </w:tr>
      <w:tr>
        <w:tc>
          <w:tcPr>
            <w:tcW w:type="dxa" w:w="1662"/>
          </w:tcPr>
          <w:p>
            <w:pPr>
              <w:spacing w:line="240" w:lineRule="auto" w:after="40"/>
            </w:pPr>
            <w:r>
              <w:rPr>
                <w:sz w:val="20"/>
              </w:rPr>
            </w:r>
            <w:r>
              <w:rPr>
                <w:rFonts w:ascii="Times New Roman" w:hAnsi="Times New Roman"/>
                <w:b w:val="0"/>
                <w:sz w:val="20"/>
              </w:rPr>
              <w:t>R7</w:t>
            </w:r>
          </w:p>
        </w:tc>
        <w:tc>
          <w:tcPr>
            <w:tcW w:type="dxa" w:w="1662"/>
          </w:tcPr>
          <w:p>
            <w:pPr>
              <w:spacing w:line="240" w:lineRule="auto" w:after="40"/>
            </w:pPr>
            <w:r>
              <w:rPr>
                <w:sz w:val="20"/>
              </w:rPr>
            </w:r>
            <w:r>
              <w:rPr>
                <w:rFonts w:ascii="Times New Roman" w:hAnsi="Times New Roman"/>
                <w:b w:val="0"/>
                <w:sz w:val="20"/>
              </w:rPr>
              <w:t>Policies reason only about the tool they were generated for</w:t>
            </w:r>
          </w:p>
        </w:tc>
        <w:tc>
          <w:tcPr>
            <w:tcW w:type="dxa" w:w="1662"/>
          </w:tcPr>
          <w:p>
            <w:pPr>
              <w:spacing w:line="240" w:lineRule="auto" w:after="40"/>
            </w:pPr>
            <w:r>
              <w:rPr>
                <w:sz w:val="20"/>
              </w:rPr>
            </w:r>
            <w:r>
              <w:rPr>
                <w:rFonts w:ascii="Times New Roman" w:hAnsi="Times New Roman"/>
                <w:b w:val="0"/>
                <w:sz w:val="20"/>
              </w:rPr>
              <w:t>Medium</w:t>
            </w:r>
          </w:p>
        </w:tc>
        <w:tc>
          <w:tcPr>
            <w:tcW w:type="dxa" w:w="1662"/>
          </w:tcPr>
          <w:p>
            <w:pPr>
              <w:spacing w:line="240" w:lineRule="auto" w:after="40"/>
            </w:pPr>
            <w:r>
              <w:rPr>
                <w:sz w:val="20"/>
              </w:rPr>
            </w:r>
            <w:r>
              <w:rPr>
                <w:rFonts w:ascii="Times New Roman" w:hAnsi="Times New Roman"/>
                <w:b w:val="0"/>
                <w:sz w:val="20"/>
              </w:rPr>
              <w:t>Documented limitation; cross-tool flow is future work</w:t>
            </w:r>
          </w:p>
        </w:tc>
        <w:tc>
          <w:tcPr>
            <w:tcW w:type="dxa" w:w="1662"/>
          </w:tcPr>
          <w:p>
            <w:pPr>
              <w:spacing w:line="240" w:lineRule="auto" w:after="40"/>
            </w:pPr>
            <w:r>
              <w:rPr>
                <w:sz w:val="20"/>
              </w:rPr>
            </w:r>
            <w:r>
              <w:rPr>
                <w:rFonts w:ascii="Times New Roman" w:hAnsi="Times New Roman"/>
                <w:b w:val="0"/>
                <w:sz w:val="20"/>
              </w:rPr>
              <w:t>Accepted</w:t>
            </w:r>
          </w:p>
        </w:tc>
      </w:tr>
      <w:tr>
        <w:tc>
          <w:tcPr>
            <w:tcW w:type="dxa" w:w="1662"/>
          </w:tcPr>
          <w:p>
            <w:pPr>
              <w:spacing w:line="240" w:lineRule="auto" w:after="40"/>
            </w:pPr>
            <w:r>
              <w:rPr>
                <w:sz w:val="20"/>
              </w:rPr>
            </w:r>
            <w:r>
              <w:rPr>
                <w:rFonts w:ascii="Times New Roman" w:hAnsi="Times New Roman"/>
                <w:b w:val="0"/>
                <w:sz w:val="20"/>
              </w:rPr>
              <w:t>R8</w:t>
            </w:r>
          </w:p>
        </w:tc>
        <w:tc>
          <w:tcPr>
            <w:tcW w:type="dxa" w:w="1662"/>
          </w:tcPr>
          <w:p>
            <w:pPr>
              <w:spacing w:line="240" w:lineRule="auto" w:after="40"/>
            </w:pPr>
            <w:r>
              <w:rPr>
                <w:sz w:val="20"/>
              </w:rPr>
            </w:r>
            <w:r>
              <w:rPr>
                <w:rFonts w:ascii="Times New Roman" w:hAnsi="Times New Roman"/>
                <w:b w:val="0"/>
                <w:sz w:val="20"/>
              </w:rPr>
              <w:t>No continuous integration, so regressions surface late</w:t>
            </w:r>
          </w:p>
        </w:tc>
        <w:tc>
          <w:tcPr>
            <w:tcW w:type="dxa" w:w="1662"/>
          </w:tcPr>
          <w:p>
            <w:pPr>
              <w:spacing w:line="240" w:lineRule="auto" w:after="40"/>
            </w:pPr>
            <w:r>
              <w:rPr>
                <w:sz w:val="20"/>
              </w:rPr>
            </w:r>
            <w:r>
              <w:rPr>
                <w:rFonts w:ascii="Times New Roman" w:hAnsi="Times New Roman"/>
                <w:b w:val="0"/>
                <w:sz w:val="20"/>
              </w:rPr>
              <w:t>Medium</w:t>
            </w:r>
          </w:p>
        </w:tc>
        <w:tc>
          <w:tcPr>
            <w:tcW w:type="dxa" w:w="1662"/>
          </w:tcPr>
          <w:p>
            <w:pPr>
              <w:spacing w:line="240" w:lineRule="auto" w:after="40"/>
            </w:pPr>
            <w:r>
              <w:rPr>
                <w:sz w:val="20"/>
              </w:rPr>
            </w:r>
            <w:r>
              <w:rPr>
                <w:rFonts w:ascii="Times New Roman" w:hAnsi="Times New Roman"/>
                <w:b w:val="0"/>
                <w:sz w:val="20"/>
              </w:rPr>
              <w:t>Tests run manually before each milestone</w:t>
            </w:r>
          </w:p>
        </w:tc>
        <w:tc>
          <w:tcPr>
            <w:tcW w:type="dxa" w:w="1662"/>
          </w:tcPr>
          <w:p>
            <w:pPr>
              <w:spacing w:line="240" w:lineRule="auto" w:after="40"/>
            </w:pPr>
            <w:r>
              <w:rPr>
                <w:sz w:val="20"/>
              </w:rPr>
            </w:r>
            <w:r>
              <w:rPr>
                <w:rFonts w:ascii="Times New Roman" w:hAnsi="Times New Roman"/>
                <w:b w:val="0"/>
                <w:sz w:val="20"/>
              </w:rPr>
              <w:t>Open</w:t>
            </w:r>
          </w:p>
        </w:tc>
      </w:tr>
    </w:tbl>
    <w:p>
      <w:pPr>
        <w:spacing w:after="80"/>
      </w:pPr>
    </w:p>
    <w:p>
      <w:r>
        <w:br w:type="page"/>
      </w:r>
    </w:p>
    <w:p>
      <w:pPr>
        <w:spacing w:after="240"/>
        <w:jc w:val="right"/>
        <w:pBdr>
          <w:bottom w:val="single" w:sz="18" w:space="4" w:color="000000"/>
        </w:pBdr>
      </w:pPr>
      <w:r>
        <w:rPr>
          <w:rFonts w:ascii="Times New Roman" w:hAnsi="Times New Roman"/>
          <w:b/>
          <w:sz w:val="32"/>
        </w:rPr>
        <w:t>CHAPTER 3: METHODOLOGY ADOPTED</w:t>
      </w:r>
    </w:p>
    <w:p>
      <w:pPr>
        <w:spacing w:before="200" w:after="80"/>
      </w:pPr>
      <w:r>
        <w:rPr>
          <w:rFonts w:ascii="Times New Roman" w:hAnsi="Times New Roman"/>
          <w:b/>
          <w:sz w:val="28"/>
        </w:rPr>
        <w:t>3.1 Investigative Techniques</w:t>
      </w:r>
    </w:p>
    <w:p>
      <w:r>
        <w:rPr>
          <w:rFonts w:ascii="Times New Roman" w:hAnsi="Times New Roman"/>
          <w:b w:val="0"/>
          <w:sz w:val="24"/>
        </w:rPr>
        <w:t>The project needed to answer two different kinds of question, and they demanded different methods.</w:t>
      </w:r>
    </w:p>
    <w:p>
      <w:r>
        <w:rPr>
          <w:rFonts w:ascii="Times New Roman" w:hAnsi="Times New Roman"/>
          <w:b w:val="0"/>
          <w:sz w:val="24"/>
        </w:rPr>
        <w:t xml:space="preserve">The first question is empirical: </w:t>
      </w:r>
      <w:r>
        <w:rPr>
          <w:rFonts w:ascii="Times New Roman" w:hAnsi="Times New Roman"/>
          <w:b w:val="0"/>
          <w:i/>
          <w:sz w:val="24"/>
        </w:rPr>
        <w:t>can this tool be abused, and how?</w:t>
      </w:r>
      <w:r>
        <w:rPr>
          <w:rFonts w:ascii="Times New Roman" w:hAnsi="Times New Roman"/>
          <w:b w:val="0"/>
          <w:sz w:val="24"/>
        </w:rPr>
        <w:t xml:space="preserve"> This cannot be settled by inspection, because whether an attack succeeds depends on how a particular model responds to a particular phrasing. The chosen technique is therefore adversarial experimentation. Attacks are generated, executed against a live agent, and the agent's actual behaviour is recorded. A model then grades each trajectory against criteria fixed when the attack was created.</w:t>
      </w:r>
    </w:p>
    <w:p>
      <w:r>
        <w:rPr>
          <w:rFonts w:ascii="Times New Roman" w:hAnsi="Times New Roman"/>
          <w:b w:val="0"/>
          <w:sz w:val="24"/>
        </w:rPr>
        <w:t>Two safeguards were necessary to keep this honest. Grading and generation use models from different families, because a model asked to grade its own output is not an independent judge. Tool execution is simulated, because the system deliberately generates prompts intended to cause destructive actions, and a genuine execution path would make the experiment dangerous.</w:t>
      </w:r>
    </w:p>
    <w:p>
      <w:r>
        <w:rPr>
          <w:rFonts w:ascii="Times New Roman" w:hAnsi="Times New Roman"/>
          <w:b w:val="0"/>
          <w:sz w:val="24"/>
        </w:rPr>
        <w:t xml:space="preserve">The second question is analytical: </w:t>
      </w:r>
      <w:r>
        <w:rPr>
          <w:rFonts w:ascii="Times New Roman" w:hAnsi="Times New Roman"/>
          <w:b w:val="0"/>
          <w:i/>
          <w:sz w:val="24"/>
        </w:rPr>
        <w:t>does the generated policy actually stop these attacks?</w:t>
      </w:r>
      <w:r>
        <w:rPr>
          <w:rFonts w:ascii="Times New Roman" w:hAnsi="Times New Roman"/>
          <w:b w:val="0"/>
          <w:sz w:val="24"/>
        </w:rPr>
        <w:t xml:space="preserve"> Here experimentation would be the wrong instrument. Asking a model whether a policy blocks a trace reintroduces exactly the subjectivity the policy is meant to remove. The technique chosen is deterministic replay: each recorded trace is walked through the policy's gates by ordinary code, with no model consulted. The outcome is reproducible and auditable, and every decision can be traced to the rule that caused it.</w:t>
      </w:r>
    </w:p>
    <w:p>
      <w:r>
        <w:rPr>
          <w:rFonts w:ascii="Times New Roman" w:hAnsi="Times New Roman"/>
          <w:b w:val="0"/>
          <w:sz w:val="24"/>
        </w:rPr>
        <w:t xml:space="preserve">A third technique was required by a problem specific to security evaluation. A defence can always be made to look good by measuring only what it blocks. The project therefore fixed a paired metric before collecting results: the fraction of successful attacks blocked, and the fraction of legitimate tasks still permitted, combined into a harmonic mean so that a policy scoring perfectly on one and zero on the other is scored as worthless. Critically, both figures are produced by the </w:t>
      </w:r>
      <w:r>
        <w:rPr>
          <w:rFonts w:ascii="Times New Roman" w:hAnsi="Times New Roman"/>
          <w:b w:val="0"/>
          <w:i/>
          <w:sz w:val="24"/>
        </w:rPr>
        <w:t>same</w:t>
      </w:r>
      <w:r>
        <w:rPr>
          <w:rFonts w:ascii="Times New Roman" w:hAnsi="Times New Roman"/>
          <w:b w:val="0"/>
          <w:sz w:val="24"/>
        </w:rPr>
        <w:t xml:space="preserve"> replay engine over the same gates, so the comparison cannot be biased by measuring the two sides differently.</w:t>
      </w:r>
    </w:p>
    <w:p>
      <w:r>
        <w:rPr>
          <w:rFonts w:ascii="Times New Roman" w:hAnsi="Times New Roman"/>
          <w:b w:val="0"/>
          <w:sz w:val="24"/>
        </w:rPr>
        <w:t>This decision proved to be load-bearing rather than ceremonial. Early versions of the system frequently produced policies that disabled the tool's core capability — a file reader whose policy forbade file access. Such a policy blocks every attack. Without the utility half of the metric, those runs would have been recorded as complete successes. Two specific guards were added: one preventing the removal of a capability the tool is documented to need, and one that downgrades a blanket block on the tool's own primary operation to a human-confirmation requirement. Both were needed; a live run with only the first still produced a degenerate policy.</w:t>
      </w:r>
    </w:p>
    <w:p>
      <w:pPr>
        <w:spacing w:line="240" w:lineRule="auto" w:before="80" w:after="160"/>
        <w:jc w:val="center"/>
      </w:pPr>
      <w:r>
        <w:rPr>
          <w:rFonts w:ascii="Times New Roman" w:hAnsi="Times New Roman"/>
          <w:b/>
          <w:sz w:val="20"/>
        </w:rPr>
        <w:t>TABLE 3.1: Techniques and rationale.</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Question</w:t>
            </w:r>
          </w:p>
        </w:tc>
        <w:tc>
          <w:tcPr>
            <w:tcW w:type="dxa" w:w="2770"/>
          </w:tcPr>
          <w:p>
            <w:pPr>
              <w:spacing w:line="240" w:lineRule="auto" w:after="40"/>
            </w:pPr>
            <w:r>
              <w:rPr>
                <w:b/>
                <w:sz w:val="20"/>
              </w:rPr>
            </w:r>
            <w:r>
              <w:rPr>
                <w:rFonts w:ascii="Times New Roman" w:hAnsi="Times New Roman"/>
                <w:b/>
                <w:sz w:val="20"/>
              </w:rPr>
              <w:t>Technique</w:t>
            </w:r>
          </w:p>
        </w:tc>
        <w:tc>
          <w:tcPr>
            <w:tcW w:type="dxa" w:w="2770"/>
          </w:tcPr>
          <w:p>
            <w:pPr>
              <w:spacing w:line="240" w:lineRule="auto" w:after="40"/>
            </w:pPr>
            <w:r>
              <w:rPr>
                <w:b/>
                <w:sz w:val="20"/>
              </w:rPr>
            </w:r>
            <w:r>
              <w:rPr>
                <w:rFonts w:ascii="Times New Roman" w:hAnsi="Times New Roman"/>
                <w:b/>
                <w:sz w:val="20"/>
              </w:rPr>
              <w:t>Why not the alternative</w:t>
            </w:r>
          </w:p>
        </w:tc>
      </w:tr>
      <w:tr>
        <w:tc>
          <w:tcPr>
            <w:tcW w:type="dxa" w:w="2770"/>
          </w:tcPr>
          <w:p>
            <w:pPr>
              <w:spacing w:line="240" w:lineRule="auto" w:after="40"/>
            </w:pPr>
            <w:r>
              <w:rPr>
                <w:sz w:val="20"/>
              </w:rPr>
            </w:r>
            <w:r>
              <w:rPr>
                <w:rFonts w:ascii="Times New Roman" w:hAnsi="Times New Roman"/>
                <w:b w:val="0"/>
                <w:sz w:val="20"/>
              </w:rPr>
              <w:t>Is the tool exploitable?</w:t>
            </w:r>
          </w:p>
        </w:tc>
        <w:tc>
          <w:tcPr>
            <w:tcW w:type="dxa" w:w="2770"/>
          </w:tcPr>
          <w:p>
            <w:pPr>
              <w:spacing w:line="240" w:lineRule="auto" w:after="40"/>
            </w:pPr>
            <w:r>
              <w:rPr>
                <w:sz w:val="20"/>
              </w:rPr>
            </w:r>
            <w:r>
              <w:rPr>
                <w:rFonts w:ascii="Times New Roman" w:hAnsi="Times New Roman"/>
                <w:b w:val="0"/>
                <w:sz w:val="20"/>
              </w:rPr>
              <w:t>Adversarial experimentation against a live agent</w:t>
            </w:r>
          </w:p>
        </w:tc>
        <w:tc>
          <w:tcPr>
            <w:tcW w:type="dxa" w:w="2770"/>
          </w:tcPr>
          <w:p>
            <w:pPr>
              <w:spacing w:line="240" w:lineRule="auto" w:after="40"/>
            </w:pPr>
            <w:r>
              <w:rPr>
                <w:sz w:val="20"/>
              </w:rPr>
            </w:r>
            <w:r>
              <w:rPr>
                <w:rFonts w:ascii="Times New Roman" w:hAnsi="Times New Roman"/>
                <w:b w:val="0"/>
                <w:sz w:val="20"/>
              </w:rPr>
              <w:t>Static inspection cannot predict model behaviour</w:t>
            </w:r>
          </w:p>
        </w:tc>
      </w:tr>
      <w:tr>
        <w:tc>
          <w:tcPr>
            <w:tcW w:type="dxa" w:w="2770"/>
          </w:tcPr>
          <w:p>
            <w:pPr>
              <w:spacing w:line="240" w:lineRule="auto" w:after="40"/>
            </w:pPr>
            <w:r>
              <w:rPr>
                <w:sz w:val="20"/>
              </w:rPr>
            </w:r>
            <w:r>
              <w:rPr>
                <w:rFonts w:ascii="Times New Roman" w:hAnsi="Times New Roman"/>
                <w:b w:val="0"/>
                <w:sz w:val="20"/>
              </w:rPr>
              <w:t>Does the policy block the attacks?</w:t>
            </w:r>
          </w:p>
        </w:tc>
        <w:tc>
          <w:tcPr>
            <w:tcW w:type="dxa" w:w="2770"/>
          </w:tcPr>
          <w:p>
            <w:pPr>
              <w:spacing w:line="240" w:lineRule="auto" w:after="40"/>
            </w:pPr>
            <w:r>
              <w:rPr>
                <w:sz w:val="20"/>
              </w:rPr>
            </w:r>
            <w:r>
              <w:rPr>
                <w:rFonts w:ascii="Times New Roman" w:hAnsi="Times New Roman"/>
                <w:b w:val="0"/>
                <w:sz w:val="20"/>
              </w:rPr>
              <w:t>Deterministic replay through the gates</w:t>
            </w:r>
          </w:p>
        </w:tc>
        <w:tc>
          <w:tcPr>
            <w:tcW w:type="dxa" w:w="2770"/>
          </w:tcPr>
          <w:p>
            <w:pPr>
              <w:spacing w:line="240" w:lineRule="auto" w:after="40"/>
            </w:pPr>
            <w:r>
              <w:rPr>
                <w:sz w:val="20"/>
              </w:rPr>
            </w:r>
            <w:r>
              <w:rPr>
                <w:rFonts w:ascii="Times New Roman" w:hAnsi="Times New Roman"/>
                <w:b w:val="0"/>
                <w:sz w:val="20"/>
              </w:rPr>
              <w:t>A model judge reintroduces subjectivity</w:t>
            </w:r>
          </w:p>
        </w:tc>
      </w:tr>
      <w:tr>
        <w:tc>
          <w:tcPr>
            <w:tcW w:type="dxa" w:w="2770"/>
          </w:tcPr>
          <w:p>
            <w:pPr>
              <w:spacing w:line="240" w:lineRule="auto" w:after="40"/>
            </w:pPr>
            <w:r>
              <w:rPr>
                <w:sz w:val="20"/>
              </w:rPr>
            </w:r>
            <w:r>
              <w:rPr>
                <w:rFonts w:ascii="Times New Roman" w:hAnsi="Times New Roman"/>
                <w:b w:val="0"/>
                <w:sz w:val="20"/>
              </w:rPr>
              <w:t>Does the policy preserve utility?</w:t>
            </w:r>
          </w:p>
        </w:tc>
        <w:tc>
          <w:tcPr>
            <w:tcW w:type="dxa" w:w="2770"/>
          </w:tcPr>
          <w:p>
            <w:pPr>
              <w:spacing w:line="240" w:lineRule="auto" w:after="40"/>
            </w:pPr>
            <w:r>
              <w:rPr>
                <w:sz w:val="20"/>
              </w:rPr>
            </w:r>
            <w:r>
              <w:rPr>
                <w:rFonts w:ascii="Times New Roman" w:hAnsi="Times New Roman"/>
                <w:b w:val="0"/>
                <w:sz w:val="20"/>
              </w:rPr>
              <w:t>Same replay over legitimate-use traces</w:t>
            </w:r>
          </w:p>
        </w:tc>
        <w:tc>
          <w:tcPr>
            <w:tcW w:type="dxa" w:w="2770"/>
          </w:tcPr>
          <w:p>
            <w:pPr>
              <w:spacing w:line="240" w:lineRule="auto" w:after="40"/>
            </w:pPr>
            <w:r>
              <w:rPr>
                <w:sz w:val="20"/>
              </w:rPr>
            </w:r>
            <w:r>
              <w:rPr>
                <w:rFonts w:ascii="Times New Roman" w:hAnsi="Times New Roman"/>
                <w:b w:val="0"/>
                <w:sz w:val="20"/>
              </w:rPr>
              <w:t>Measuring only security rewards deny-all policies</w:t>
            </w:r>
          </w:p>
        </w:tc>
      </w:tr>
      <w:tr>
        <w:tc>
          <w:tcPr>
            <w:tcW w:type="dxa" w:w="2770"/>
          </w:tcPr>
          <w:p>
            <w:pPr>
              <w:spacing w:line="240" w:lineRule="auto" w:after="40"/>
            </w:pPr>
            <w:r>
              <w:rPr>
                <w:sz w:val="20"/>
              </w:rPr>
            </w:r>
            <w:r>
              <w:rPr>
                <w:rFonts w:ascii="Times New Roman" w:hAnsi="Times New Roman"/>
                <w:b w:val="0"/>
                <w:sz w:val="20"/>
              </w:rPr>
              <w:t>Are legitimate-use traces realistic?</w:t>
            </w:r>
          </w:p>
        </w:tc>
        <w:tc>
          <w:tcPr>
            <w:tcW w:type="dxa" w:w="2770"/>
          </w:tcPr>
          <w:p>
            <w:pPr>
              <w:spacing w:line="240" w:lineRule="auto" w:after="40"/>
            </w:pPr>
            <w:r>
              <w:rPr>
                <w:sz w:val="20"/>
              </w:rPr>
            </w:r>
            <w:r>
              <w:rPr>
                <w:rFonts w:ascii="Times New Roman" w:hAnsi="Times New Roman"/>
                <w:b w:val="0"/>
                <w:sz w:val="20"/>
              </w:rPr>
              <w:t>Recorded from the live agent</w:t>
            </w:r>
          </w:p>
        </w:tc>
        <w:tc>
          <w:tcPr>
            <w:tcW w:type="dxa" w:w="2770"/>
          </w:tcPr>
          <w:p>
            <w:pPr>
              <w:spacing w:line="240" w:lineRule="auto" w:after="40"/>
            </w:pPr>
            <w:r>
              <w:rPr>
                <w:sz w:val="20"/>
              </w:rPr>
            </w:r>
            <w:r>
              <w:rPr>
                <w:rFonts w:ascii="Times New Roman" w:hAnsi="Times New Roman"/>
                <w:b w:val="0"/>
                <w:sz w:val="20"/>
              </w:rPr>
              <w:t>Hand-written traces are circular</w:t>
            </w:r>
          </w:p>
        </w:tc>
      </w:tr>
    </w:tbl>
    <w:p>
      <w:pPr>
        <w:spacing w:after="80"/>
      </w:pPr>
    </w:p>
    <w:p>
      <w:pPr>
        <w:spacing w:before="200" w:after="80"/>
      </w:pPr>
      <w:r>
        <w:rPr>
          <w:rFonts w:ascii="Times New Roman" w:hAnsi="Times New Roman"/>
          <w:b/>
          <w:sz w:val="28"/>
        </w:rPr>
        <w:t>3.2 Proposed Solution</w:t>
      </w:r>
    </w:p>
    <w:p>
      <w:r>
        <w:rPr>
          <w:rFonts w:ascii="Times New Roman" w:hAnsi="Times New Roman"/>
          <w:b w:val="0"/>
          <w:sz w:val="24"/>
        </w:rPr>
        <w:t>The solution is a pipeline of three stages followed by enforcement.</w:t>
      </w:r>
    </w:p>
    <w:p>
      <w:r>
        <w:rPr>
          <w:rFonts w:ascii="Times New Roman" w:hAnsi="Times New Roman"/>
          <w:b/>
          <w:sz w:val="24"/>
        </w:rPr>
        <w:t>Stage 1 — attack.</w:t>
      </w:r>
      <w:r>
        <w:rPr>
          <w:rFonts w:ascii="Times New Roman" w:hAnsi="Times New Roman"/>
          <w:b w:val="0"/>
          <w:sz w:val="24"/>
        </w:rPr>
        <w:t xml:space="preserve"> The tool description and parameter schema are profiled to identify the tool's domain, its capabilities, and any ambiguity in its documentation that an attacker could exploit. Adversarial prompts are then generated across six categories of tool misuse: data exfiltration, destructive action, unauthorised communication, capability escalation, persistence tampering, and injection hijack. These categories were chosen deliberately over a content-harm taxonomy, because asking a file-reading tool to produce hate speech is incoherent and fails for reasons that say nothing about the tool's security.</w:t>
      </w:r>
    </w:p>
    <w:p>
      <w:r>
        <w:rPr>
          <w:rFonts w:ascii="Times New Roman" w:hAnsi="Times New Roman"/>
          <w:b w:val="0"/>
          <w:sz w:val="24"/>
        </w:rPr>
        <w:t>Each attack uses a named red-team technique — direct request, benign decomposition, authority pretext, hypothetical framing, tool chaining, context priming, obfuscation, and strong authority override — ordered by strength. When the agent refuses, the attack is not merely reworded; it is regenerated using a stronger technique. This escalation is what distinguishes the approach from single-shot attack generation.</w:t>
      </w:r>
    </w:p>
    <w:p>
      <w:r>
        <w:rPr>
          <w:rFonts w:ascii="Times New Roman" w:hAnsi="Times New Roman"/>
          <w:b w:val="0"/>
          <w:sz w:val="24"/>
        </w:rPr>
        <w:t xml:space="preserve">The injection hijack category is different in kind and is kept separate throughout. Its payload is planted in a tool </w:t>
      </w:r>
      <w:r>
        <w:rPr>
          <w:rFonts w:ascii="Times New Roman" w:hAnsi="Times New Roman"/>
          <w:b w:val="0"/>
          <w:i/>
          <w:sz w:val="24"/>
        </w:rPr>
        <w:t>result</w:t>
      </w:r>
      <w:r>
        <w:rPr>
          <w:rFonts w:ascii="Times New Roman" w:hAnsi="Times New Roman"/>
          <w:b w:val="0"/>
          <w:sz w:val="24"/>
        </w:rPr>
        <w:t xml:space="preserve"> rather than the user's message, and the user's request is benign. Mixing these results with direct attacks would obscure the distinction between an agent that obeys a malicious user and one that is hijacked while serving an honest one, so the two are never pooled.</w:t>
      </w:r>
    </w:p>
    <w:p>
      <w:r>
        <w:rPr>
          <w:rFonts w:ascii="Times New Roman" w:hAnsi="Times New Roman"/>
          <w:b/>
          <w:sz w:val="24"/>
        </w:rPr>
        <w:t>Stage 2 — analysis.</w:t>
      </w:r>
      <w:r>
        <w:rPr>
          <w:rFonts w:ascii="Times New Roman" w:hAnsi="Times New Roman"/>
          <w:b w:val="0"/>
          <w:sz w:val="24"/>
        </w:rPr>
        <w:t xml:space="preserve"> Successful attacks are classified by why they worked, and patterns are aggregated across them to identify the primary exploit vector for the tool. The stage also proposes changes to the tool's own documentation to remove the ambiguities the attacks exploited.</w:t>
      </w:r>
    </w:p>
    <w:p>
      <w:r>
        <w:rPr>
          <w:rFonts w:ascii="Times New Roman" w:hAnsi="Times New Roman"/>
          <w:b/>
          <w:sz w:val="24"/>
        </w:rPr>
        <w:t>Stage 3 — policy synthesis.</w:t>
      </w:r>
      <w:r>
        <w:rPr>
          <w:rFonts w:ascii="Times New Roman" w:hAnsi="Times New Roman"/>
          <w:b w:val="0"/>
          <w:sz w:val="24"/>
        </w:rPr>
        <w:t xml:space="preserve"> The patterns become a structured policy with four parts: confidentiality labels for what the tool reads and writes; capability annotations for network, filesystem, environment and execution access; taint rules describing how sensitivity propagates through a session; and specific enforcement rules with an action of block, audit, or require confirmation.</w:t>
      </w:r>
    </w:p>
    <w:p>
      <w:r>
        <w:rPr>
          <w:rFonts w:ascii="Times New Roman" w:hAnsi="Times New Roman"/>
          <w:b/>
          <w:sz w:val="24"/>
        </w:rPr>
        <w:t>Enforcement.</w:t>
      </w:r>
      <w:r>
        <w:rPr>
          <w:rFonts w:ascii="Times New Roman" w:hAnsi="Times New Roman"/>
          <w:b w:val="0"/>
          <w:sz w:val="24"/>
        </w:rPr>
        <w:t xml:space="preserve"> A gateway loads the policy and sits between callers and the agent. Every trajectory the agent returns is checked against four gates before being released. The capability gate rejects a call whose capability the policy denies. The confidentiality gate maintains a session taint level and blocks a write to a public sink once secret data has been read, stopping private data leaving. The integrity gate is its dual: once a response has carried attacker-controlled content, a subsequent consequential action is blocked, stopping an injection being carried out. Because legitimate traces never carry untrusted content, this gate raises security at no cost to utility, which is a structural property rather than an empirical finding. The final gate applies the specific enforcement rules, matched not only on the tool name but on argument values, so a rule targeting one dangerous query does not block every query.</w:t>
      </w:r>
    </w:p>
    <w:p>
      <w:pPr>
        <w:spacing w:before="200" w:after="80"/>
      </w:pPr>
      <w:r>
        <w:rPr>
          <w:rFonts w:ascii="Times New Roman" w:hAnsi="Times New Roman"/>
          <w:b/>
          <w:sz w:val="28"/>
        </w:rPr>
        <w:t>3.3 Work Breakdown Structure</w:t>
      </w:r>
    </w:p>
    <w:p>
      <w:pPr>
        <w:spacing w:line="240" w:lineRule="auto" w:before="80" w:after="160"/>
        <w:jc w:val="center"/>
      </w:pPr>
      <w:r>
        <w:rPr>
          <w:rFonts w:ascii="Times New Roman" w:hAnsi="Times New Roman"/>
          <w:b/>
          <w:sz w:val="20"/>
        </w:rPr>
        <w:t>TABLE 3.2: Work packages and ownership.</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WP</w:t>
            </w:r>
          </w:p>
        </w:tc>
        <w:tc>
          <w:tcPr>
            <w:tcW w:type="dxa" w:w="2077"/>
          </w:tcPr>
          <w:p>
            <w:pPr>
              <w:spacing w:line="240" w:lineRule="auto" w:after="40"/>
            </w:pPr>
            <w:r>
              <w:rPr>
                <w:b/>
                <w:sz w:val="20"/>
              </w:rPr>
            </w:r>
            <w:r>
              <w:rPr>
                <w:rFonts w:ascii="Times New Roman" w:hAnsi="Times New Roman"/>
                <w:b/>
                <w:sz w:val="20"/>
              </w:rPr>
              <w:t>Package</w:t>
            </w:r>
          </w:p>
        </w:tc>
        <w:tc>
          <w:tcPr>
            <w:tcW w:type="dxa" w:w="2077"/>
          </w:tcPr>
          <w:p>
            <w:pPr>
              <w:spacing w:line="240" w:lineRule="auto" w:after="40"/>
            </w:pPr>
            <w:r>
              <w:rPr>
                <w:b/>
                <w:sz w:val="20"/>
              </w:rPr>
            </w:r>
            <w:r>
              <w:rPr>
                <w:rFonts w:ascii="Times New Roman" w:hAnsi="Times New Roman"/>
                <w:b/>
                <w:sz w:val="20"/>
              </w:rPr>
              <w:t>Owner</w:t>
            </w:r>
          </w:p>
        </w:tc>
        <w:tc>
          <w:tcPr>
            <w:tcW w:type="dxa" w:w="2077"/>
          </w:tcPr>
          <w:p>
            <w:pPr>
              <w:spacing w:line="240" w:lineRule="auto" w:after="40"/>
            </w:pPr>
            <w:r>
              <w:rPr>
                <w:b/>
                <w:sz w:val="20"/>
              </w:rPr>
            </w:r>
            <w:r>
              <w:rPr>
                <w:rFonts w:ascii="Times New Roman" w:hAnsi="Times New Roman"/>
                <w:b/>
                <w:sz w:val="20"/>
              </w:rPr>
              <w:t>Status</w:t>
            </w:r>
          </w:p>
        </w:tc>
      </w:tr>
      <w:tr>
        <w:tc>
          <w:tcPr>
            <w:tcW w:type="dxa" w:w="2077"/>
          </w:tcPr>
          <w:p>
            <w:pPr>
              <w:spacing w:line="240" w:lineRule="auto" w:after="40"/>
            </w:pPr>
            <w:r>
              <w:rPr>
                <w:sz w:val="20"/>
              </w:rPr>
            </w:r>
            <w:r>
              <w:rPr>
                <w:rFonts w:ascii="Times New Roman" w:hAnsi="Times New Roman"/>
                <w:b w:val="0"/>
                <w:sz w:val="20"/>
              </w:rPr>
              <w:t>1</w:t>
            </w:r>
          </w:p>
        </w:tc>
        <w:tc>
          <w:tcPr>
            <w:tcW w:type="dxa" w:w="2077"/>
          </w:tcPr>
          <w:p>
            <w:pPr>
              <w:spacing w:line="240" w:lineRule="auto" w:after="40"/>
            </w:pPr>
            <w:r>
              <w:rPr>
                <w:sz w:val="20"/>
              </w:rPr>
            </w:r>
            <w:r>
              <w:rPr>
                <w:rFonts w:ascii="Times New Roman" w:hAnsi="Times New Roman"/>
                <w:b w:val="0"/>
                <w:sz w:val="20"/>
              </w:rPr>
              <w:t>Attack generation, techniques, refinement</w:t>
            </w:r>
          </w:p>
        </w:tc>
        <w:tc>
          <w:tcPr>
            <w:tcW w:type="dxa" w:w="2077"/>
          </w:tcPr>
          <w:p>
            <w:pPr>
              <w:spacing w:line="240" w:lineRule="auto" w:after="40"/>
            </w:pPr>
            <w:r>
              <w:rPr>
                <w:sz w:val="20"/>
              </w:rPr>
            </w:r>
            <w:r>
              <w:rPr>
                <w:rFonts w:ascii="Times New Roman" w:hAnsi="Times New Roman"/>
                <w:b w:val="0"/>
                <w:sz w:val="20"/>
              </w:rPr>
              <w:t>Aarav Dudeja</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2</w:t>
            </w:r>
          </w:p>
        </w:tc>
        <w:tc>
          <w:tcPr>
            <w:tcW w:type="dxa" w:w="2077"/>
          </w:tcPr>
          <w:p>
            <w:pPr>
              <w:spacing w:line="240" w:lineRule="auto" w:after="40"/>
            </w:pPr>
            <w:r>
              <w:rPr>
                <w:sz w:val="20"/>
              </w:rPr>
            </w:r>
            <w:r>
              <w:rPr>
                <w:rFonts w:ascii="Times New Roman" w:hAnsi="Times New Roman"/>
                <w:b w:val="0"/>
                <w:sz w:val="20"/>
              </w:rPr>
              <w:t>Failure analysis and pattern aggregation</w:t>
            </w:r>
          </w:p>
        </w:tc>
        <w:tc>
          <w:tcPr>
            <w:tcW w:type="dxa" w:w="2077"/>
          </w:tcPr>
          <w:p>
            <w:pPr>
              <w:spacing w:line="240" w:lineRule="auto" w:after="40"/>
            </w:pPr>
            <w:r>
              <w:rPr>
                <w:sz w:val="20"/>
              </w:rPr>
            </w:r>
            <w:r>
              <w:rPr>
                <w:rFonts w:ascii="Times New Roman" w:hAnsi="Times New Roman"/>
                <w:b w:val="0"/>
                <w:sz w:val="20"/>
              </w:rPr>
              <w:t>Akshat Srivastava</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3</w:t>
            </w:r>
          </w:p>
        </w:tc>
        <w:tc>
          <w:tcPr>
            <w:tcW w:type="dxa" w:w="2077"/>
          </w:tcPr>
          <w:p>
            <w:pPr>
              <w:spacing w:line="240" w:lineRule="auto" w:after="40"/>
            </w:pPr>
            <w:r>
              <w:rPr>
                <w:sz w:val="20"/>
              </w:rPr>
            </w:r>
            <w:r>
              <w:rPr>
                <w:rFonts w:ascii="Times New Roman" w:hAnsi="Times New Roman"/>
                <w:b w:val="0"/>
                <w:sz w:val="20"/>
              </w:rPr>
              <w:t>Policy synthesis and anti-degeneracy guards</w:t>
            </w:r>
          </w:p>
        </w:tc>
        <w:tc>
          <w:tcPr>
            <w:tcW w:type="dxa" w:w="2077"/>
          </w:tcPr>
          <w:p>
            <w:pPr>
              <w:spacing w:line="240" w:lineRule="auto" w:after="40"/>
            </w:pPr>
            <w:r>
              <w:rPr>
                <w:sz w:val="20"/>
              </w:rPr>
            </w:r>
            <w:r>
              <w:rPr>
                <w:rFonts w:ascii="Times New Roman" w:hAnsi="Times New Roman"/>
                <w:b w:val="0"/>
                <w:sz w:val="20"/>
              </w:rPr>
              <w:t>Hiten Yadav</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4</w:t>
            </w:r>
          </w:p>
        </w:tc>
        <w:tc>
          <w:tcPr>
            <w:tcW w:type="dxa" w:w="2077"/>
          </w:tcPr>
          <w:p>
            <w:pPr>
              <w:spacing w:line="240" w:lineRule="auto" w:after="40"/>
            </w:pPr>
            <w:r>
              <w:rPr>
                <w:sz w:val="20"/>
              </w:rPr>
            </w:r>
            <w:r>
              <w:rPr>
                <w:rFonts w:ascii="Times New Roman" w:hAnsi="Times New Roman"/>
                <w:b w:val="0"/>
                <w:sz w:val="20"/>
              </w:rPr>
              <w:t>Deterministic checker and paired metric</w:t>
            </w:r>
          </w:p>
        </w:tc>
        <w:tc>
          <w:tcPr>
            <w:tcW w:type="dxa" w:w="2077"/>
          </w:tcPr>
          <w:p>
            <w:pPr>
              <w:spacing w:line="240" w:lineRule="auto" w:after="40"/>
            </w:pPr>
            <w:r>
              <w:rPr>
                <w:sz w:val="20"/>
              </w:rPr>
            </w:r>
            <w:r>
              <w:rPr>
                <w:rFonts w:ascii="Times New Roman" w:hAnsi="Times New Roman"/>
                <w:b w:val="0"/>
                <w:sz w:val="20"/>
              </w:rPr>
              <w:t>Simran Arora</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5</w:t>
            </w:r>
          </w:p>
        </w:tc>
        <w:tc>
          <w:tcPr>
            <w:tcW w:type="dxa" w:w="2077"/>
          </w:tcPr>
          <w:p>
            <w:pPr>
              <w:spacing w:line="240" w:lineRule="auto" w:after="40"/>
            </w:pPr>
            <w:r>
              <w:rPr>
                <w:sz w:val="20"/>
              </w:rPr>
            </w:r>
            <w:r>
              <w:rPr>
                <w:rFonts w:ascii="Times New Roman" w:hAnsi="Times New Roman"/>
                <w:b w:val="0"/>
                <w:sz w:val="20"/>
              </w:rPr>
              <w:t>Enforcement gateway and audit trail</w:t>
            </w:r>
          </w:p>
        </w:tc>
        <w:tc>
          <w:tcPr>
            <w:tcW w:type="dxa" w:w="2077"/>
          </w:tcPr>
          <w:p>
            <w:pPr>
              <w:spacing w:line="240" w:lineRule="auto" w:after="40"/>
            </w:pPr>
            <w:r>
              <w:rPr>
                <w:sz w:val="20"/>
              </w:rPr>
            </w:r>
            <w:r>
              <w:rPr>
                <w:rFonts w:ascii="Times New Roman" w:hAnsi="Times New Roman"/>
                <w:b w:val="0"/>
                <w:sz w:val="20"/>
              </w:rPr>
              <w:t>Sanil Grover</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6</w:t>
            </w:r>
          </w:p>
        </w:tc>
        <w:tc>
          <w:tcPr>
            <w:tcW w:type="dxa" w:w="2077"/>
          </w:tcPr>
          <w:p>
            <w:pPr>
              <w:spacing w:line="240" w:lineRule="auto" w:after="40"/>
            </w:pPr>
            <w:r>
              <w:rPr>
                <w:sz w:val="20"/>
              </w:rPr>
            </w:r>
            <w:r>
              <w:rPr>
                <w:rFonts w:ascii="Times New Roman" w:hAnsi="Times New Roman"/>
                <w:b w:val="0"/>
                <w:sz w:val="20"/>
              </w:rPr>
              <w:t>Evaluation corpus and legitimate-use suites</w:t>
            </w:r>
          </w:p>
        </w:tc>
        <w:tc>
          <w:tcPr>
            <w:tcW w:type="dxa" w:w="2077"/>
          </w:tcPr>
          <w:p>
            <w:pPr>
              <w:spacing w:line="240" w:lineRule="auto" w:after="40"/>
            </w:pPr>
            <w:r>
              <w:rPr>
                <w:sz w:val="20"/>
              </w:rPr>
            </w:r>
            <w:r>
              <w:rPr>
                <w:rFonts w:ascii="Times New Roman" w:hAnsi="Times New Roman"/>
                <w:b w:val="0"/>
                <w:sz w:val="20"/>
              </w:rPr>
              <w:t>Shared</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7</w:t>
            </w:r>
          </w:p>
        </w:tc>
        <w:tc>
          <w:tcPr>
            <w:tcW w:type="dxa" w:w="2077"/>
          </w:tcPr>
          <w:p>
            <w:pPr>
              <w:spacing w:line="240" w:lineRule="auto" w:after="40"/>
            </w:pPr>
            <w:r>
              <w:rPr>
                <w:sz w:val="20"/>
              </w:rPr>
            </w:r>
            <w:r>
              <w:rPr>
                <w:rFonts w:ascii="Times New Roman" w:hAnsi="Times New Roman"/>
                <w:b w:val="0"/>
                <w:sz w:val="20"/>
              </w:rPr>
              <w:t>Poisoned descriptions and controls</w:t>
            </w:r>
          </w:p>
        </w:tc>
        <w:tc>
          <w:tcPr>
            <w:tcW w:type="dxa" w:w="2077"/>
          </w:tcPr>
          <w:p>
            <w:pPr>
              <w:spacing w:line="240" w:lineRule="auto" w:after="40"/>
            </w:pPr>
            <w:r>
              <w:rPr>
                <w:sz w:val="20"/>
              </w:rPr>
            </w:r>
            <w:r>
              <w:rPr>
                <w:rFonts w:ascii="Times New Roman" w:hAnsi="Times New Roman"/>
                <w:b w:val="0"/>
                <w:sz w:val="20"/>
              </w:rPr>
              <w:t>Sanil Grover</w:t>
            </w:r>
          </w:p>
        </w:tc>
        <w:tc>
          <w:tcPr>
            <w:tcW w:type="dxa" w:w="2077"/>
          </w:tcPr>
          <w:p>
            <w:pPr>
              <w:spacing w:line="240" w:lineRule="auto" w:after="40"/>
            </w:pPr>
            <w:r>
              <w:rPr>
                <w:sz w:val="20"/>
              </w:rPr>
            </w:r>
            <w:r>
              <w:rPr>
                <w:rFonts w:ascii="Times New Roman" w:hAnsi="Times New Roman"/>
                <w:b w:val="0"/>
                <w:sz w:val="20"/>
              </w:rPr>
              <w:t>Code complete, evaluation pending</w:t>
            </w:r>
          </w:p>
        </w:tc>
      </w:tr>
      <w:tr>
        <w:tc>
          <w:tcPr>
            <w:tcW w:type="dxa" w:w="2077"/>
          </w:tcPr>
          <w:p>
            <w:pPr>
              <w:spacing w:line="240" w:lineRule="auto" w:after="40"/>
            </w:pPr>
            <w:r>
              <w:rPr>
                <w:sz w:val="20"/>
              </w:rPr>
            </w:r>
            <w:r>
              <w:rPr>
                <w:rFonts w:ascii="Times New Roman" w:hAnsi="Times New Roman"/>
                <w:b w:val="0"/>
                <w:sz w:val="20"/>
              </w:rPr>
              <w:t>8</w:t>
            </w:r>
          </w:p>
        </w:tc>
        <w:tc>
          <w:tcPr>
            <w:tcW w:type="dxa" w:w="2077"/>
          </w:tcPr>
          <w:p>
            <w:pPr>
              <w:spacing w:line="240" w:lineRule="auto" w:after="40"/>
            </w:pPr>
            <w:r>
              <w:rPr>
                <w:sz w:val="20"/>
              </w:rPr>
            </w:r>
            <w:r>
              <w:rPr>
                <w:rFonts w:ascii="Times New Roman" w:hAnsi="Times New Roman"/>
                <w:b w:val="0"/>
                <w:sz w:val="20"/>
              </w:rPr>
              <w:t>Defence baseline comparison</w:t>
            </w:r>
          </w:p>
        </w:tc>
        <w:tc>
          <w:tcPr>
            <w:tcW w:type="dxa" w:w="2077"/>
          </w:tcPr>
          <w:p>
            <w:pPr>
              <w:spacing w:line="240" w:lineRule="auto" w:after="40"/>
            </w:pPr>
            <w:r>
              <w:rPr>
                <w:sz w:val="20"/>
              </w:rPr>
            </w:r>
            <w:r>
              <w:rPr>
                <w:rFonts w:ascii="Times New Roman" w:hAnsi="Times New Roman"/>
                <w:b w:val="0"/>
                <w:sz w:val="20"/>
              </w:rPr>
              <w:t>Simran Arora</w:t>
            </w:r>
          </w:p>
        </w:tc>
        <w:tc>
          <w:tcPr>
            <w:tcW w:type="dxa" w:w="2077"/>
          </w:tcPr>
          <w:p>
            <w:pPr>
              <w:spacing w:line="240" w:lineRule="auto" w:after="40"/>
            </w:pPr>
            <w:r>
              <w:rPr>
                <w:sz w:val="20"/>
              </w:rPr>
            </w:r>
            <w:r>
              <w:rPr>
                <w:rFonts w:ascii="Times New Roman" w:hAnsi="Times New Roman"/>
                <w:b w:val="0"/>
                <w:sz w:val="20"/>
              </w:rPr>
              <w:t>Code complete, evaluation pending</w:t>
            </w:r>
          </w:p>
        </w:tc>
      </w:tr>
      <w:tr>
        <w:tc>
          <w:tcPr>
            <w:tcW w:type="dxa" w:w="2077"/>
          </w:tcPr>
          <w:p>
            <w:pPr>
              <w:spacing w:line="240" w:lineRule="auto" w:after="40"/>
            </w:pPr>
            <w:r>
              <w:rPr>
                <w:sz w:val="20"/>
              </w:rPr>
            </w:r>
            <w:r>
              <w:rPr>
                <w:rFonts w:ascii="Times New Roman" w:hAnsi="Times New Roman"/>
                <w:b w:val="0"/>
                <w:sz w:val="20"/>
              </w:rPr>
              <w:t>9</w:t>
            </w:r>
          </w:p>
        </w:tc>
        <w:tc>
          <w:tcPr>
            <w:tcW w:type="dxa" w:w="2077"/>
          </w:tcPr>
          <w:p>
            <w:pPr>
              <w:spacing w:line="240" w:lineRule="auto" w:after="40"/>
            </w:pPr>
            <w:r>
              <w:rPr>
                <w:sz w:val="20"/>
              </w:rPr>
            </w:r>
            <w:r>
              <w:rPr>
                <w:rFonts w:ascii="Times New Roman" w:hAnsi="Times New Roman"/>
                <w:b w:val="0"/>
                <w:sz w:val="20"/>
              </w:rPr>
              <w:t>Grader calibration against human labels</w:t>
            </w:r>
          </w:p>
        </w:tc>
        <w:tc>
          <w:tcPr>
            <w:tcW w:type="dxa" w:w="2077"/>
          </w:tcPr>
          <w:p>
            <w:pPr>
              <w:spacing w:line="240" w:lineRule="auto" w:after="40"/>
            </w:pPr>
            <w:r>
              <w:rPr>
                <w:sz w:val="20"/>
              </w:rPr>
            </w:r>
            <w:r>
              <w:rPr>
                <w:rFonts w:ascii="Times New Roman" w:hAnsi="Times New Roman"/>
                <w:b w:val="0"/>
                <w:sz w:val="20"/>
              </w:rPr>
              <w:t>Aarav Dudeja</w:t>
            </w:r>
          </w:p>
        </w:tc>
        <w:tc>
          <w:tcPr>
            <w:tcW w:type="dxa" w:w="2077"/>
          </w:tcPr>
          <w:p>
            <w:pPr>
              <w:spacing w:line="240" w:lineRule="auto" w:after="40"/>
            </w:pPr>
            <w:r>
              <w:rPr>
                <w:sz w:val="20"/>
              </w:rPr>
            </w:r>
            <w:r>
              <w:rPr>
                <w:rFonts w:ascii="Times New Roman" w:hAnsi="Times New Roman"/>
                <w:b w:val="0"/>
                <w:sz w:val="20"/>
              </w:rPr>
              <w:t>Labelling set prepared</w:t>
            </w:r>
          </w:p>
        </w:tc>
      </w:tr>
      <w:tr>
        <w:tc>
          <w:tcPr>
            <w:tcW w:type="dxa" w:w="2077"/>
          </w:tcPr>
          <w:p>
            <w:pPr>
              <w:spacing w:line="240" w:lineRule="auto" w:after="40"/>
            </w:pPr>
            <w:r>
              <w:rPr>
                <w:sz w:val="20"/>
              </w:rPr>
            </w:r>
            <w:r>
              <w:rPr>
                <w:rFonts w:ascii="Times New Roman" w:hAnsi="Times New Roman"/>
                <w:b w:val="0"/>
                <w:sz w:val="20"/>
              </w:rPr>
              <w:t>10</w:t>
            </w:r>
          </w:p>
        </w:tc>
        <w:tc>
          <w:tcPr>
            <w:tcW w:type="dxa" w:w="2077"/>
          </w:tcPr>
          <w:p>
            <w:pPr>
              <w:spacing w:line="240" w:lineRule="auto" w:after="40"/>
            </w:pPr>
            <w:r>
              <w:rPr>
                <w:sz w:val="20"/>
              </w:rPr>
            </w:r>
            <w:r>
              <w:rPr>
                <w:rFonts w:ascii="Times New Roman" w:hAnsi="Times New Roman"/>
                <w:b w:val="0"/>
                <w:sz w:val="20"/>
              </w:rPr>
              <w:t>Repeated runs for error bars</w:t>
            </w:r>
          </w:p>
        </w:tc>
        <w:tc>
          <w:tcPr>
            <w:tcW w:type="dxa" w:w="2077"/>
          </w:tcPr>
          <w:p>
            <w:pPr>
              <w:spacing w:line="240" w:lineRule="auto" w:after="40"/>
            </w:pPr>
            <w:r>
              <w:rPr>
                <w:sz w:val="20"/>
              </w:rPr>
            </w:r>
            <w:r>
              <w:rPr>
                <w:rFonts w:ascii="Times New Roman" w:hAnsi="Times New Roman"/>
                <w:b w:val="0"/>
                <w:sz w:val="20"/>
              </w:rPr>
              <w:t>Shared</w:t>
            </w:r>
          </w:p>
        </w:tc>
        <w:tc>
          <w:tcPr>
            <w:tcW w:type="dxa" w:w="2077"/>
          </w:tcPr>
          <w:p>
            <w:pPr>
              <w:spacing w:line="240" w:lineRule="auto" w:after="40"/>
            </w:pPr>
            <w:r>
              <w:rPr>
                <w:sz w:val="20"/>
              </w:rPr>
            </w:r>
            <w:r>
              <w:rPr>
                <w:rFonts w:ascii="Times New Roman" w:hAnsi="Times New Roman"/>
                <w:b w:val="0"/>
                <w:sz w:val="20"/>
              </w:rPr>
              <w:t>In progress</w:t>
            </w:r>
          </w:p>
        </w:tc>
      </w:tr>
    </w:tbl>
    <w:p>
      <w:pPr>
        <w:spacing w:after="80"/>
      </w:pPr>
    </w:p>
    <w:p>
      <w:r>
        <w:rPr>
          <w:rFonts w:ascii="Times New Roman" w:hAnsi="Times New Roman"/>
          <w:b w:val="0"/>
          <w:sz w:val="24"/>
        </w:rPr>
        <w:t>The packages marked pending account for most of the outstanding completion percentage. They are not blocked by missing design; the code exists and the work required is execution and analysis time.</w:t>
      </w:r>
    </w:p>
    <w:p>
      <w:pPr>
        <w:spacing w:before="200" w:after="80"/>
      </w:pPr>
      <w:r>
        <w:rPr>
          <w:rFonts w:ascii="Times New Roman" w:hAnsi="Times New Roman"/>
          <w:b/>
          <w:sz w:val="28"/>
        </w:rPr>
        <w:t>3.4 Tools and Technology</w:t>
      </w:r>
    </w:p>
    <w:p>
      <w:r>
        <w:rPr>
          <w:rFonts w:ascii="Times New Roman" w:hAnsi="Times New Roman"/>
          <w:b w:val="0"/>
          <w:sz w:val="24"/>
        </w:rPr>
        <w:t>Implementation is entirely in Python. Data passing between stages is validated by typed models, so no untyped structure crosses a stage boundary — a deliberate choice, because the stages are developed by different members and the contract between them is where integration errors would otherwise accumulate. Model access is routed through a single abstraction so that changing providers does not touch pipeline code, which is what makes the cross-family grading requirement practical. The agent under test and the enforcement gateway are both lightweight HTTP services. Testing uses pytest, with 205 tests covering the stage contracts, the enforcement gates, and invariants such as every corpus tool having a legitimate-use suite.</w:t>
      </w:r>
    </w:p>
    <w:p>
      <w:r>
        <w:br w:type="page"/>
      </w:r>
    </w:p>
    <w:p>
      <w:pPr>
        <w:spacing w:after="240"/>
        <w:jc w:val="right"/>
        <w:pBdr>
          <w:bottom w:val="single" w:sz="18" w:space="4" w:color="000000"/>
        </w:pBdr>
      </w:pPr>
      <w:r>
        <w:rPr>
          <w:rFonts w:ascii="Times New Roman" w:hAnsi="Times New Roman"/>
          <w:b/>
          <w:sz w:val="32"/>
        </w:rPr>
        <w:t>CHAPTER 4: DESIGN SPECIFICATIONS</w:t>
      </w:r>
    </w:p>
    <w:p>
      <w:pPr>
        <w:spacing w:before="200" w:after="80"/>
      </w:pPr>
      <w:r>
        <w:rPr>
          <w:rFonts w:ascii="Times New Roman" w:hAnsi="Times New Roman"/>
          <w:b/>
          <w:sz w:val="28"/>
        </w:rPr>
        <w:t>4.1 System Architecture</w:t>
      </w:r>
    </w:p>
    <w:p>
      <w:r>
        <w:rPr>
          <w:rFonts w:ascii="Times New Roman" w:hAnsi="Times New Roman"/>
          <w:b w:val="0"/>
          <w:sz w:val="24"/>
        </w:rPr>
        <w:t>The system has two operating modes sharing one policy representation.</w:t>
      </w:r>
    </w:p>
    <w:p>
      <w:r>
        <w:rPr>
          <w:rFonts w:ascii="Times New Roman" w:hAnsi="Times New Roman"/>
          <w:b w:val="0"/>
          <w:sz w:val="24"/>
        </w:rPr>
        <w:t xml:space="preserve">In </w:t>
      </w:r>
      <w:r>
        <w:rPr>
          <w:rFonts w:ascii="Times New Roman" w:hAnsi="Times New Roman"/>
          <w:b/>
          <w:sz w:val="24"/>
        </w:rPr>
        <w:t>analysis mode</w:t>
      </w:r>
      <w:r>
        <w:rPr>
          <w:rFonts w:ascii="Times New Roman" w:hAnsi="Times New Roman"/>
          <w:b w:val="0"/>
          <w:sz w:val="24"/>
        </w:rPr>
        <w:t>, the tool definition enters the pipeline. Stage 1 attacks the tool through the live agent and records trajectories. Stage 2 analyses the successes. Stage 3 emits the policy. The deterministic checker then replays both the attack traces and the legitimate-use traces through that policy and reports the paired metric. Output is a machine-readable report, an HTML dashboard, and a manifest recording the models, settings and library versions used, so a run can be reproduced.</w:t>
      </w:r>
    </w:p>
    <w:p>
      <w:r>
        <w:rPr>
          <w:rFonts w:ascii="Times New Roman" w:hAnsi="Times New Roman"/>
          <w:b w:val="0"/>
          <w:sz w:val="24"/>
        </w:rPr>
        <w:t xml:space="preserve">In </w:t>
      </w:r>
      <w:r>
        <w:rPr>
          <w:rFonts w:ascii="Times New Roman" w:hAnsi="Times New Roman"/>
          <w:b/>
          <w:sz w:val="24"/>
        </w:rPr>
        <w:t>enforcement mode</w:t>
      </w:r>
      <w:r>
        <w:rPr>
          <w:rFonts w:ascii="Times New Roman" w:hAnsi="Times New Roman"/>
          <w:b w:val="0"/>
          <w:sz w:val="24"/>
        </w:rPr>
        <w:t>, the same policy is loaded by a gateway that sits between the agent's callers and the agent. Requests pass through; responses are checked against the four gates before release; every decision is appended to an audit log.</w:t>
      </w:r>
    </w:p>
    <w:p>
      <w:pPr>
        <w:spacing w:line="240" w:lineRule="auto" w:before="80" w:after="160"/>
        <w:jc w:val="center"/>
      </w:pPr>
      <w:r>
        <w:rPr>
          <w:rFonts w:ascii="Times New Roman" w:hAnsi="Times New Roman"/>
          <w:b/>
          <w:sz w:val="20"/>
        </w:rPr>
        <w:t>FIGURE 4.1: System architecture — analysis mode produces a policy, enforcement mode applies</w:t>
      </w:r>
    </w:p>
    <w:p>
      <w:r>
        <w:rPr>
          <w:rFonts w:ascii="Times New Roman" w:hAnsi="Times New Roman"/>
          <w:b w:val="0"/>
          <w:sz w:val="24"/>
        </w:rPr>
        <w:t xml:space="preserve">it. </w:t>
      </w:r>
      <w:r>
        <w:rPr>
          <w:rFonts w:ascii="Times New Roman" w:hAnsi="Times New Roman"/>
          <w:b w:val="0"/>
          <w:i/>
          <w:sz w:val="24"/>
        </w:rPr>
        <w:t>[SCREENSHOT: block diagram]</w:t>
      </w:r>
    </w:p>
    <w:p>
      <w:pPr>
        <w:spacing w:before="200" w:after="80"/>
      </w:pPr>
      <w:r>
        <w:rPr>
          <w:rFonts w:ascii="Times New Roman" w:hAnsi="Times New Roman"/>
          <w:b/>
          <w:sz w:val="28"/>
        </w:rPr>
        <w:t>4.2 Design Level Diagrams</w:t>
      </w:r>
    </w:p>
    <w:p>
      <w:r>
        <w:rPr>
          <w:rFonts w:ascii="Times New Roman" w:hAnsi="Times New Roman"/>
          <w:b w:val="0"/>
          <w:sz w:val="24"/>
        </w:rPr>
        <w:t>The core design decision is that the checker is shared. The same replay engine, over the same gates, processes adversarial and legitimate traces. This matters because if security and utility were measured by different code, the comparison could be biased — accidentally or otherwise — by treating the two cases differently. Sharing the engine makes that structurally impossible.</w:t>
      </w:r>
    </w:p>
    <w:p>
      <w:r>
        <w:rPr>
          <w:rFonts w:ascii="Times New Roman" w:hAnsi="Times New Roman"/>
          <w:b w:val="0"/>
          <w:sz w:val="24"/>
        </w:rPr>
        <w:t xml:space="preserve">The four gates are ordered, and the order is deliberate. Capability denial is checked first because it is unconditional. The two taint gates follow, and each deliberately tests taint accumulated from </w:t>
      </w:r>
      <w:r>
        <w:rPr>
          <w:rFonts w:ascii="Times New Roman" w:hAnsi="Times New Roman"/>
          <w:b w:val="0"/>
          <w:i/>
          <w:sz w:val="24"/>
        </w:rPr>
        <w:t>prior</w:t>
      </w:r>
      <w:r>
        <w:rPr>
          <w:rFonts w:ascii="Times New Roman" w:hAnsi="Times New Roman"/>
          <w:b w:val="0"/>
          <w:sz w:val="24"/>
        </w:rPr>
        <w:t xml:space="preserve"> calls only. Without this, a tool that both reads sensitive data and is labelled as writing to a public sink would block itself on its very first call, destroying all legitimate use. Enforcement rules are checked last, since they are the most specific.</w:t>
      </w:r>
    </w:p>
    <w:p>
      <w:r>
        <w:rPr>
          <w:rFonts w:ascii="Times New Roman" w:hAnsi="Times New Roman"/>
          <w:b w:val="0"/>
          <w:sz w:val="24"/>
        </w:rPr>
        <w:t>Session taint is monotonic: once raised, it does not fall within a session. This is the conservative choice, and it means the system may over-block rather than under-block, which is the correct direction for a security control.</w:t>
      </w:r>
    </w:p>
    <w:p>
      <w:pPr>
        <w:spacing w:line="240" w:lineRule="auto" w:before="80" w:after="160"/>
        <w:jc w:val="center"/>
      </w:pPr>
      <w:r>
        <w:rPr>
          <w:rFonts w:ascii="Times New Roman" w:hAnsi="Times New Roman"/>
          <w:b/>
          <w:sz w:val="20"/>
        </w:rPr>
        <w:t>FIGURE 4.2: The four enforcement gates in order, with the taint state carried between calls.</w:t>
      </w:r>
    </w:p>
    <w:p>
      <w:r>
        <w:rPr>
          <w:rFonts w:ascii="Times New Roman" w:hAnsi="Times New Roman"/>
          <w:b w:val="0"/>
          <w:i/>
          <w:sz w:val="24"/>
        </w:rPr>
        <w:t>[SCREENSHOT: gate flow diagram]</w:t>
      </w:r>
    </w:p>
    <w:p>
      <w:pPr>
        <w:spacing w:before="200" w:after="80"/>
      </w:pPr>
      <w:r>
        <w:rPr>
          <w:rFonts w:ascii="Times New Roman" w:hAnsi="Times New Roman"/>
          <w:b/>
          <w:sz w:val="28"/>
        </w:rPr>
        <w:t>4.3 User Interface Diagrams</w:t>
      </w:r>
    </w:p>
    <w:p>
      <w:r>
        <w:rPr>
          <w:rFonts w:ascii="Times New Roman" w:hAnsi="Times New Roman"/>
          <w:b w:val="0"/>
          <w:sz w:val="24"/>
        </w:rPr>
        <w:t>The interface is a command line for operators and an HTML report for review. The report opens with the headline attack outcomes, then the generated policy in readable form, then the security-utility result, and finally a per-attack table giving each trace's verdict and the gate that produced it. That last table is the important one for an evaluator, because it lets every reported number be audited down to the individual decision rather than taken on trust.</w:t>
      </w:r>
    </w:p>
    <w:p>
      <w:pPr>
        <w:spacing w:line="240" w:lineRule="auto" w:before="80" w:after="160"/>
        <w:jc w:val="center"/>
      </w:pPr>
      <w:r>
        <w:rPr>
          <w:rFonts w:ascii="Times New Roman" w:hAnsi="Times New Roman"/>
          <w:b/>
          <w:sz w:val="20"/>
        </w:rPr>
        <w:t>FIGURE 4.3: HTML report, security-utility section. *[SCREENSHOT: report dashboard]</w:t>
      </w:r>
    </w:p>
    <w:p>
      <w:pPr>
        <w:spacing w:before="200" w:after="80"/>
      </w:pPr>
      <w:r>
        <w:rPr>
          <w:rFonts w:ascii="Times New Roman" w:hAnsi="Times New Roman"/>
          <w:b/>
          <w:sz w:val="28"/>
        </w:rPr>
        <w:t>4.4 Snapshots of Working Prototype</w:t>
      </w:r>
    </w:p>
    <w:p>
      <w:r>
        <w:rPr>
          <w:rFonts w:ascii="Times New Roman" w:hAnsi="Times New Roman"/>
          <w:b/>
          <w:sz w:val="24"/>
        </w:rPr>
        <w:t>Step 1 — analysis.</w:t>
      </w:r>
      <w:r>
        <w:rPr>
          <w:rFonts w:ascii="Times New Roman" w:hAnsi="Times New Roman"/>
          <w:b w:val="0"/>
          <w:sz w:val="24"/>
        </w:rPr>
        <w:t xml:space="preserve"> Running the analysis command against a file-reading tool profiles the tool, generates six attacks, executes them against the live agent, and reports how many succeeded. In the run shown, one of six attacks succeeded at the strict scoring threshold, and the pipeline proceeded to generate a policy from it.</w:t>
      </w:r>
    </w:p>
    <w:p>
      <w:pPr>
        <w:spacing w:line="240" w:lineRule="auto" w:before="80" w:after="160"/>
        <w:jc w:val="center"/>
      </w:pPr>
      <w:r>
        <w:rPr>
          <w:rFonts w:ascii="Times New Roman" w:hAnsi="Times New Roman"/>
          <w:b/>
          <w:sz w:val="20"/>
        </w:rPr>
        <w:t>FIGURE 4.4: Analysis run in progress. *[SCREENSHOT: terminal during analysis]</w:t>
      </w:r>
    </w:p>
    <w:p>
      <w:r>
        <w:rPr>
          <w:rFonts w:ascii="Times New Roman" w:hAnsi="Times New Roman"/>
          <w:b/>
          <w:sz w:val="24"/>
        </w:rPr>
        <w:t>Step 2 — corpus results.</w:t>
      </w:r>
      <w:r>
        <w:rPr>
          <w:rFonts w:ascii="Times New Roman" w:hAnsi="Times New Roman"/>
          <w:b w:val="0"/>
          <w:sz w:val="24"/>
        </w:rPr>
        <w:t xml:space="preserve"> The pipeline was run across all ten tools in the corpus.</w:t>
      </w:r>
    </w:p>
    <w:p>
      <w:pPr>
        <w:spacing w:line="240" w:lineRule="auto" w:before="80" w:after="160"/>
        <w:jc w:val="center"/>
      </w:pPr>
      <w:r>
        <w:rPr>
          <w:rFonts w:ascii="Times New Roman" w:hAnsi="Times New Roman"/>
          <w:b/>
          <w:sz w:val="20"/>
        </w:rPr>
        <w:t>TABLE 4.1: Security-utility results, ten-tool corpus, mean +/- standard deviation over five</w:t>
      </w:r>
    </w:p>
    <w:p>
      <w:r>
        <w:rPr>
          <w:rFonts w:ascii="Times New Roman" w:hAnsi="Times New Roman"/>
          <w:b w:val="0"/>
          <w:sz w:val="24"/>
        </w:rPr>
        <w:t>independent runs, after enforcement-rule schema validation.</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Tool</w:t>
            </w:r>
          </w:p>
        </w:tc>
        <w:tc>
          <w:tcPr>
            <w:tcW w:type="dxa" w:w="2077"/>
          </w:tcPr>
          <w:p>
            <w:pPr>
              <w:spacing w:line="240" w:lineRule="auto" w:after="40"/>
            </w:pPr>
            <w:r>
              <w:rPr>
                <w:b/>
                <w:sz w:val="20"/>
              </w:rPr>
            </w:r>
            <w:r>
              <w:rPr>
                <w:rFonts w:ascii="Times New Roman" w:hAnsi="Times New Roman"/>
                <w:b/>
                <w:sz w:val="20"/>
              </w:rPr>
              <w:t>Attacks blocked</w:t>
            </w:r>
          </w:p>
        </w:tc>
        <w:tc>
          <w:tcPr>
            <w:tcW w:type="dxa" w:w="2077"/>
          </w:tcPr>
          <w:p>
            <w:pPr>
              <w:spacing w:line="240" w:lineRule="auto" w:after="40"/>
            </w:pPr>
            <w:r>
              <w:rPr>
                <w:b/>
                <w:sz w:val="20"/>
              </w:rPr>
            </w:r>
            <w:r>
              <w:rPr>
                <w:rFonts w:ascii="Times New Roman" w:hAnsi="Times New Roman"/>
                <w:b/>
                <w:sz w:val="20"/>
              </w:rPr>
              <w:t>Legitimate use allowed</w:t>
            </w:r>
          </w:p>
        </w:tc>
        <w:tc>
          <w:tcPr>
            <w:tcW w:type="dxa" w:w="2077"/>
          </w:tcPr>
          <w:p>
            <w:pPr>
              <w:spacing w:line="240" w:lineRule="auto" w:after="40"/>
            </w:pPr>
            <w:r>
              <w:rPr>
                <w:b/>
                <w:sz w:val="20"/>
              </w:rPr>
            </w:r>
            <w:r>
              <w:rPr>
                <w:rFonts w:ascii="Times New Roman" w:hAnsi="Times New Roman"/>
                <w:b/>
                <w:sz w:val="20"/>
              </w:rPr>
              <w:t>F1</w:t>
            </w:r>
          </w:p>
        </w:tc>
      </w:tr>
      <w:tr>
        <w:tc>
          <w:tcPr>
            <w:tcW w:type="dxa" w:w="2077"/>
          </w:tcPr>
          <w:p>
            <w:pPr>
              <w:spacing w:line="240" w:lineRule="auto" w:after="40"/>
            </w:pPr>
            <w:r>
              <w:rPr>
                <w:sz w:val="20"/>
              </w:rPr>
            </w:r>
            <w:r>
              <w:rPr>
                <w:rFonts w:ascii="Times New Roman" w:hAnsi="Times New Roman"/>
                <w:b w:val="0"/>
                <w:sz w:val="20"/>
              </w:rPr>
              <w:t>Calendar management</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1.00</w:t>
            </w:r>
          </w:p>
        </w:tc>
      </w:tr>
      <w:tr>
        <w:tc>
          <w:tcPr>
            <w:tcW w:type="dxa" w:w="2077"/>
          </w:tcPr>
          <w:p>
            <w:pPr>
              <w:spacing w:line="240" w:lineRule="auto" w:after="40"/>
            </w:pPr>
            <w:r>
              <w:rPr>
                <w:sz w:val="20"/>
              </w:rPr>
            </w:r>
            <w:r>
              <w:rPr>
                <w:rFonts w:ascii="Times New Roman" w:hAnsi="Times New Roman"/>
                <w:b w:val="0"/>
                <w:sz w:val="20"/>
              </w:rPr>
              <w:t>Message posting</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1.00</w:t>
            </w:r>
          </w:p>
        </w:tc>
      </w:tr>
      <w:tr>
        <w:tc>
          <w:tcPr>
            <w:tcW w:type="dxa" w:w="2077"/>
          </w:tcPr>
          <w:p>
            <w:pPr>
              <w:spacing w:line="240" w:lineRule="auto" w:after="40"/>
            </w:pPr>
            <w:r>
              <w:rPr>
                <w:sz w:val="20"/>
              </w:rPr>
            </w:r>
            <w:r>
              <w:rPr>
                <w:rFonts w:ascii="Times New Roman" w:hAnsi="Times New Roman"/>
                <w:b w:val="0"/>
                <w:sz w:val="20"/>
              </w:rPr>
              <w:t>File reading</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1.00</w:t>
            </w:r>
          </w:p>
        </w:tc>
      </w:tr>
      <w:tr>
        <w:tc>
          <w:tcPr>
            <w:tcW w:type="dxa" w:w="2077"/>
          </w:tcPr>
          <w:p>
            <w:pPr>
              <w:spacing w:line="240" w:lineRule="auto" w:after="40"/>
            </w:pPr>
            <w:r>
              <w:rPr>
                <w:sz w:val="20"/>
              </w:rPr>
            </w:r>
            <w:r>
              <w:rPr>
                <w:rFonts w:ascii="Times New Roman" w:hAnsi="Times New Roman"/>
                <w:b w:val="0"/>
                <w:sz w:val="20"/>
              </w:rPr>
              <w:t>File writing</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1.00</w:t>
            </w:r>
          </w:p>
        </w:tc>
      </w:tr>
      <w:tr>
        <w:tc>
          <w:tcPr>
            <w:tcW w:type="dxa" w:w="2077"/>
          </w:tcPr>
          <w:p>
            <w:pPr>
              <w:spacing w:line="240" w:lineRule="auto" w:after="40"/>
            </w:pPr>
            <w:r>
              <w:rPr>
                <w:sz w:val="20"/>
              </w:rPr>
            </w:r>
            <w:r>
              <w:rPr>
                <w:rFonts w:ascii="Times New Roman" w:hAnsi="Times New Roman"/>
                <w:b w:val="0"/>
                <w:sz w:val="20"/>
              </w:rPr>
              <w:t>Directory listing</w:t>
            </w:r>
          </w:p>
        </w:tc>
        <w:tc>
          <w:tcPr>
            <w:tcW w:type="dxa" w:w="2077"/>
          </w:tcPr>
          <w:p>
            <w:pPr>
              <w:spacing w:line="240" w:lineRule="auto" w:after="40"/>
            </w:pPr>
            <w:r>
              <w:rPr>
                <w:sz w:val="20"/>
              </w:rPr>
            </w:r>
            <w:r>
              <w:rPr>
                <w:rFonts w:ascii="Times New Roman" w:hAnsi="Times New Roman"/>
                <w:b w:val="0"/>
                <w:sz w:val="20"/>
              </w:rPr>
              <w:t>0.85 +/- 0.14</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0.91</w:t>
            </w:r>
          </w:p>
        </w:tc>
      </w:tr>
      <w:tr>
        <w:tc>
          <w:tcPr>
            <w:tcW w:type="dxa" w:w="2077"/>
          </w:tcPr>
          <w:p>
            <w:pPr>
              <w:spacing w:line="240" w:lineRule="auto" w:after="40"/>
            </w:pPr>
            <w:r>
              <w:rPr>
                <w:sz w:val="20"/>
              </w:rPr>
            </w:r>
            <w:r>
              <w:rPr>
                <w:rFonts w:ascii="Times New Roman" w:hAnsi="Times New Roman"/>
                <w:b w:val="0"/>
                <w:sz w:val="20"/>
              </w:rPr>
              <w:t>Command execution</w:t>
            </w:r>
          </w:p>
        </w:tc>
        <w:tc>
          <w:tcPr>
            <w:tcW w:type="dxa" w:w="2077"/>
          </w:tcPr>
          <w:p>
            <w:pPr>
              <w:spacing w:line="240" w:lineRule="auto" w:after="40"/>
            </w:pPr>
            <w:r>
              <w:rPr>
                <w:sz w:val="20"/>
              </w:rPr>
            </w:r>
            <w:r>
              <w:rPr>
                <w:rFonts w:ascii="Times New Roman" w:hAnsi="Times New Roman"/>
                <w:b w:val="0"/>
                <w:sz w:val="20"/>
              </w:rPr>
              <w:t>0.67 +/- 0.29</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0.77</w:t>
            </w:r>
          </w:p>
        </w:tc>
      </w:tr>
      <w:tr>
        <w:tc>
          <w:tcPr>
            <w:tcW w:type="dxa" w:w="2077"/>
          </w:tcPr>
          <w:p>
            <w:pPr>
              <w:spacing w:line="240" w:lineRule="auto" w:after="40"/>
            </w:pPr>
            <w:r>
              <w:rPr>
                <w:sz w:val="20"/>
              </w:rPr>
            </w:r>
            <w:r>
              <w:rPr>
                <w:rFonts w:ascii="Times New Roman" w:hAnsi="Times New Roman"/>
                <w:b w:val="0"/>
                <w:sz w:val="20"/>
              </w:rPr>
              <w:t>Email sending</w:t>
            </w:r>
          </w:p>
        </w:tc>
        <w:tc>
          <w:tcPr>
            <w:tcW w:type="dxa" w:w="2077"/>
          </w:tcPr>
          <w:p>
            <w:pPr>
              <w:spacing w:line="240" w:lineRule="auto" w:after="40"/>
            </w:pPr>
            <w:r>
              <w:rPr>
                <w:sz w:val="20"/>
              </w:rPr>
            </w:r>
            <w:r>
              <w:rPr>
                <w:rFonts w:ascii="Times New Roman" w:hAnsi="Times New Roman"/>
                <w:b w:val="0"/>
                <w:sz w:val="20"/>
              </w:rPr>
              <w:t>0.58 +/- 0.37</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0.66</w:t>
            </w:r>
          </w:p>
        </w:tc>
      </w:tr>
      <w:tr>
        <w:tc>
          <w:tcPr>
            <w:tcW w:type="dxa" w:w="2077"/>
          </w:tcPr>
          <w:p>
            <w:pPr>
              <w:spacing w:line="240" w:lineRule="auto" w:after="40"/>
            </w:pPr>
            <w:r>
              <w:rPr>
                <w:sz w:val="20"/>
              </w:rPr>
            </w:r>
            <w:r>
              <w:rPr>
                <w:rFonts w:ascii="Times New Roman" w:hAnsi="Times New Roman"/>
                <w:b w:val="0"/>
                <w:sz w:val="20"/>
              </w:rPr>
              <w:t>Database query</w:t>
            </w:r>
          </w:p>
        </w:tc>
        <w:tc>
          <w:tcPr>
            <w:tcW w:type="dxa" w:w="2077"/>
          </w:tcPr>
          <w:p>
            <w:pPr>
              <w:spacing w:line="240" w:lineRule="auto" w:after="40"/>
            </w:pPr>
            <w:r>
              <w:rPr>
                <w:sz w:val="20"/>
              </w:rPr>
            </w:r>
            <w:r>
              <w:rPr>
                <w:rFonts w:ascii="Times New Roman" w:hAnsi="Times New Roman"/>
                <w:b w:val="0"/>
                <w:sz w:val="20"/>
              </w:rPr>
              <w:t>undefined</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undefined</w:t>
            </w:r>
          </w:p>
        </w:tc>
      </w:tr>
      <w:tr>
        <w:tc>
          <w:tcPr>
            <w:tcW w:type="dxa" w:w="2077"/>
          </w:tcPr>
          <w:p>
            <w:pPr>
              <w:spacing w:line="240" w:lineRule="auto" w:after="40"/>
            </w:pPr>
            <w:r>
              <w:rPr>
                <w:sz w:val="20"/>
              </w:rPr>
            </w:r>
            <w:r>
              <w:rPr>
                <w:rFonts w:ascii="Times New Roman" w:hAnsi="Times New Roman"/>
                <w:b w:val="0"/>
                <w:sz w:val="20"/>
              </w:rPr>
              <w:t>HTTP request</w:t>
            </w:r>
          </w:p>
        </w:tc>
        <w:tc>
          <w:tcPr>
            <w:tcW w:type="dxa" w:w="2077"/>
          </w:tcPr>
          <w:p>
            <w:pPr>
              <w:spacing w:line="240" w:lineRule="auto" w:after="40"/>
            </w:pPr>
            <w:r>
              <w:rPr>
                <w:sz w:val="20"/>
              </w:rPr>
            </w:r>
            <w:r>
              <w:rPr>
                <w:rFonts w:ascii="Times New Roman" w:hAnsi="Times New Roman"/>
                <w:b w:val="0"/>
                <w:sz w:val="20"/>
              </w:rPr>
              <w:t>undefined</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undefined</w:t>
            </w:r>
          </w:p>
        </w:tc>
      </w:tr>
      <w:tr>
        <w:tc>
          <w:tcPr>
            <w:tcW w:type="dxa" w:w="2077"/>
          </w:tcPr>
          <w:p>
            <w:pPr>
              <w:spacing w:line="240" w:lineRule="auto" w:after="40"/>
            </w:pPr>
            <w:r>
              <w:rPr>
                <w:sz w:val="20"/>
              </w:rPr>
            </w:r>
            <w:r>
              <w:rPr>
                <w:rFonts w:ascii="Times New Roman" w:hAnsi="Times New Roman"/>
                <w:b w:val="0"/>
                <w:sz w:val="20"/>
              </w:rPr>
              <w:t>Web search</w:t>
            </w:r>
          </w:p>
        </w:tc>
        <w:tc>
          <w:tcPr>
            <w:tcW w:type="dxa" w:w="2077"/>
          </w:tcPr>
          <w:p>
            <w:pPr>
              <w:spacing w:line="240" w:lineRule="auto" w:after="40"/>
            </w:pPr>
            <w:r>
              <w:rPr>
                <w:sz w:val="20"/>
              </w:rPr>
            </w:r>
            <w:r>
              <w:rPr>
                <w:rFonts w:ascii="Times New Roman" w:hAnsi="Times New Roman"/>
                <w:b w:val="0"/>
                <w:sz w:val="20"/>
              </w:rPr>
              <w:t>undefined</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undefined</w:t>
            </w:r>
          </w:p>
        </w:tc>
      </w:tr>
      <w:tr>
        <w:tc>
          <w:tcPr>
            <w:tcW w:type="dxa" w:w="2077"/>
          </w:tcPr>
          <w:p>
            <w:pPr>
              <w:spacing w:line="240" w:lineRule="auto" w:after="40"/>
            </w:pPr>
            <w:r>
              <w:rPr>
                <w:sz w:val="20"/>
              </w:rPr>
            </w:r>
            <w:r>
              <w:rPr>
                <w:rFonts w:ascii="Times New Roman" w:hAnsi="Times New Roman"/>
                <w:b/>
                <w:sz w:val="20"/>
              </w:rPr>
              <w:t>Mean</w:t>
            </w:r>
          </w:p>
        </w:tc>
        <w:tc>
          <w:tcPr>
            <w:tcW w:type="dxa" w:w="2077"/>
          </w:tcPr>
          <w:p>
            <w:pPr>
              <w:spacing w:line="240" w:lineRule="auto" w:after="40"/>
            </w:pPr>
            <w:r>
              <w:rPr>
                <w:sz w:val="20"/>
              </w:rPr>
            </w:r>
            <w:r>
              <w:rPr>
                <w:rFonts w:ascii="Times New Roman" w:hAnsi="Times New Roman"/>
                <w:b/>
                <w:sz w:val="20"/>
              </w:rPr>
              <w:t>0.87</w:t>
            </w:r>
          </w:p>
        </w:tc>
        <w:tc>
          <w:tcPr>
            <w:tcW w:type="dxa" w:w="2077"/>
          </w:tcPr>
          <w:p>
            <w:pPr>
              <w:spacing w:line="240" w:lineRule="auto" w:after="40"/>
            </w:pPr>
            <w:r>
              <w:rPr>
                <w:sz w:val="20"/>
              </w:rPr>
            </w:r>
            <w:r>
              <w:rPr>
                <w:rFonts w:ascii="Times New Roman" w:hAnsi="Times New Roman"/>
                <w:b/>
                <w:sz w:val="20"/>
              </w:rPr>
              <w:t>1.00</w:t>
            </w:r>
          </w:p>
        </w:tc>
        <w:tc>
          <w:tcPr>
            <w:tcW w:type="dxa" w:w="2077"/>
          </w:tcPr>
          <w:p>
            <w:pPr>
              <w:spacing w:line="240" w:lineRule="auto" w:after="40"/>
            </w:pPr>
            <w:r>
              <w:rPr>
                <w:sz w:val="20"/>
              </w:rPr>
            </w:r>
            <w:r>
              <w:rPr>
                <w:rFonts w:ascii="Times New Roman" w:hAnsi="Times New Roman"/>
                <w:b/>
                <w:sz w:val="20"/>
              </w:rPr>
              <w:t>0.91</w:t>
            </w:r>
          </w:p>
        </w:tc>
      </w:tr>
    </w:tbl>
    <w:p>
      <w:pPr>
        <w:spacing w:after="80"/>
      </w:pPr>
    </w:p>
    <w:p>
      <w:pPr>
        <w:spacing w:line="240" w:lineRule="auto" w:before="80" w:after="160"/>
        <w:jc w:val="center"/>
      </w:pPr>
      <w:r>
        <w:rPr>
          <w:rFonts w:ascii="Times New Roman" w:hAnsi="Times New Roman"/>
          <w:b/>
          <w:sz w:val="20"/>
        </w:rPr>
        <w:t>TABLE 4.2: Effect of enforcement-rule schema validation, five runs before and after.</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Measure</w:t>
            </w:r>
          </w:p>
        </w:tc>
        <w:tc>
          <w:tcPr>
            <w:tcW w:type="dxa" w:w="2770"/>
          </w:tcPr>
          <w:p>
            <w:pPr>
              <w:spacing w:line="240" w:lineRule="auto" w:after="40"/>
            </w:pPr>
            <w:r>
              <w:rPr>
                <w:b/>
                <w:sz w:val="20"/>
              </w:rPr>
            </w:r>
            <w:r>
              <w:rPr>
                <w:rFonts w:ascii="Times New Roman" w:hAnsi="Times New Roman"/>
                <w:b/>
                <w:sz w:val="20"/>
              </w:rPr>
              <w:t>Before</w:t>
            </w:r>
          </w:p>
        </w:tc>
        <w:tc>
          <w:tcPr>
            <w:tcW w:type="dxa" w:w="2770"/>
          </w:tcPr>
          <w:p>
            <w:pPr>
              <w:spacing w:line="240" w:lineRule="auto" w:after="40"/>
            </w:pPr>
            <w:r>
              <w:rPr>
                <w:b/>
                <w:sz w:val="20"/>
              </w:rPr>
            </w:r>
            <w:r>
              <w:rPr>
                <w:rFonts w:ascii="Times New Roman" w:hAnsi="Times New Roman"/>
                <w:b/>
                <w:sz w:val="20"/>
              </w:rPr>
              <w:t>After</w:t>
            </w:r>
          </w:p>
        </w:tc>
      </w:tr>
      <w:tr>
        <w:tc>
          <w:tcPr>
            <w:tcW w:type="dxa" w:w="2770"/>
          </w:tcPr>
          <w:p>
            <w:pPr>
              <w:spacing w:line="240" w:lineRule="auto" w:after="40"/>
            </w:pPr>
            <w:r>
              <w:rPr>
                <w:sz w:val="20"/>
              </w:rPr>
            </w:r>
            <w:r>
              <w:rPr>
                <w:rFonts w:ascii="Times New Roman" w:hAnsi="Times New Roman"/>
                <w:b w:val="0"/>
                <w:sz w:val="20"/>
              </w:rPr>
              <w:t>Rules referencing a non-existent parameter</w:t>
            </w:r>
          </w:p>
        </w:tc>
        <w:tc>
          <w:tcPr>
            <w:tcW w:type="dxa" w:w="2770"/>
          </w:tcPr>
          <w:p>
            <w:pPr>
              <w:spacing w:line="240" w:lineRule="auto" w:after="40"/>
            </w:pPr>
            <w:r>
              <w:rPr>
                <w:sz w:val="20"/>
              </w:rPr>
            </w:r>
            <w:r>
              <w:rPr>
                <w:rFonts w:ascii="Times New Roman" w:hAnsi="Times New Roman"/>
                <w:b w:val="0"/>
                <w:sz w:val="20"/>
              </w:rPr>
              <w:t>34%</w:t>
            </w:r>
          </w:p>
        </w:tc>
        <w:tc>
          <w:tcPr>
            <w:tcW w:type="dxa" w:w="2770"/>
          </w:tcPr>
          <w:p>
            <w:pPr>
              <w:spacing w:line="240" w:lineRule="auto" w:after="40"/>
            </w:pPr>
            <w:r>
              <w:rPr>
                <w:sz w:val="20"/>
              </w:rPr>
            </w:r>
            <w:r>
              <w:rPr>
                <w:rFonts w:ascii="Times New Roman" w:hAnsi="Times New Roman"/>
                <w:b w:val="0"/>
                <w:sz w:val="20"/>
              </w:rPr>
              <w:t>5%</w:t>
            </w:r>
          </w:p>
        </w:tc>
      </w:tr>
      <w:tr>
        <w:tc>
          <w:tcPr>
            <w:tcW w:type="dxa" w:w="2770"/>
          </w:tcPr>
          <w:p>
            <w:pPr>
              <w:spacing w:line="240" w:lineRule="auto" w:after="40"/>
            </w:pPr>
            <w:r>
              <w:rPr>
                <w:sz w:val="20"/>
              </w:rPr>
            </w:r>
            <w:r>
              <w:rPr>
                <w:rFonts w:ascii="Times New Roman" w:hAnsi="Times New Roman"/>
                <w:b w:val="0"/>
                <w:sz w:val="20"/>
              </w:rPr>
              <w:t>Attacks blocked</w:t>
            </w:r>
          </w:p>
        </w:tc>
        <w:tc>
          <w:tcPr>
            <w:tcW w:type="dxa" w:w="2770"/>
          </w:tcPr>
          <w:p>
            <w:pPr>
              <w:spacing w:line="240" w:lineRule="auto" w:after="40"/>
            </w:pPr>
            <w:r>
              <w:rPr>
                <w:sz w:val="20"/>
              </w:rPr>
            </w:r>
            <w:r>
              <w:rPr>
                <w:rFonts w:ascii="Times New Roman" w:hAnsi="Times New Roman"/>
                <w:b w:val="0"/>
                <w:sz w:val="20"/>
              </w:rPr>
              <w:t>0.68</w:t>
            </w:r>
          </w:p>
        </w:tc>
        <w:tc>
          <w:tcPr>
            <w:tcW w:type="dxa" w:w="2770"/>
          </w:tcPr>
          <w:p>
            <w:pPr>
              <w:spacing w:line="240" w:lineRule="auto" w:after="40"/>
            </w:pPr>
            <w:r>
              <w:rPr>
                <w:sz w:val="20"/>
              </w:rPr>
            </w:r>
            <w:r>
              <w:rPr>
                <w:rFonts w:ascii="Times New Roman" w:hAnsi="Times New Roman"/>
                <w:b/>
                <w:sz w:val="20"/>
              </w:rPr>
              <w:t>0.87</w:t>
            </w:r>
          </w:p>
        </w:tc>
      </w:tr>
      <w:tr>
        <w:tc>
          <w:tcPr>
            <w:tcW w:type="dxa" w:w="2770"/>
          </w:tcPr>
          <w:p>
            <w:pPr>
              <w:spacing w:line="240" w:lineRule="auto" w:after="40"/>
            </w:pPr>
            <w:r>
              <w:rPr>
                <w:sz w:val="20"/>
              </w:rPr>
            </w:r>
            <w:r>
              <w:rPr>
                <w:rFonts w:ascii="Times New Roman" w:hAnsi="Times New Roman"/>
                <w:b w:val="0"/>
                <w:sz w:val="20"/>
              </w:rPr>
              <w:t>Legitimate use allowed</w:t>
            </w:r>
          </w:p>
        </w:tc>
        <w:tc>
          <w:tcPr>
            <w:tcW w:type="dxa" w:w="2770"/>
          </w:tcPr>
          <w:p>
            <w:pPr>
              <w:spacing w:line="240" w:lineRule="auto" w:after="40"/>
            </w:pPr>
            <w:r>
              <w:rPr>
                <w:sz w:val="20"/>
              </w:rPr>
            </w:r>
            <w:r>
              <w:rPr>
                <w:rFonts w:ascii="Times New Roman" w:hAnsi="Times New Roman"/>
                <w:b w:val="0"/>
                <w:sz w:val="20"/>
              </w:rPr>
              <w:t>0.99</w:t>
            </w:r>
          </w:p>
        </w:tc>
        <w:tc>
          <w:tcPr>
            <w:tcW w:type="dxa" w:w="2770"/>
          </w:tcPr>
          <w:p>
            <w:pPr>
              <w:spacing w:line="240" w:lineRule="auto" w:after="40"/>
            </w:pPr>
            <w:r>
              <w:rPr>
                <w:sz w:val="20"/>
              </w:rPr>
            </w:r>
            <w:r>
              <w:rPr>
                <w:rFonts w:ascii="Times New Roman" w:hAnsi="Times New Roman"/>
                <w:b/>
                <w:sz w:val="20"/>
              </w:rPr>
              <w:t>1.00</w:t>
            </w:r>
          </w:p>
        </w:tc>
      </w:tr>
      <w:tr>
        <w:tc>
          <w:tcPr>
            <w:tcW w:type="dxa" w:w="2770"/>
          </w:tcPr>
          <w:p>
            <w:pPr>
              <w:spacing w:line="240" w:lineRule="auto" w:after="40"/>
            </w:pPr>
            <w:r>
              <w:rPr>
                <w:sz w:val="20"/>
              </w:rPr>
            </w:r>
            <w:r>
              <w:rPr>
                <w:rFonts w:ascii="Times New Roman" w:hAnsi="Times New Roman"/>
                <w:b w:val="0"/>
                <w:sz w:val="20"/>
              </w:rPr>
              <w:t>F1</w:t>
            </w:r>
          </w:p>
        </w:tc>
        <w:tc>
          <w:tcPr>
            <w:tcW w:type="dxa" w:w="2770"/>
          </w:tcPr>
          <w:p>
            <w:pPr>
              <w:spacing w:line="240" w:lineRule="auto" w:after="40"/>
            </w:pPr>
            <w:r>
              <w:rPr>
                <w:sz w:val="20"/>
              </w:rPr>
            </w:r>
            <w:r>
              <w:rPr>
                <w:rFonts w:ascii="Times New Roman" w:hAnsi="Times New Roman"/>
                <w:b w:val="0"/>
                <w:sz w:val="20"/>
              </w:rPr>
              <w:t>0.69</w:t>
            </w:r>
          </w:p>
        </w:tc>
        <w:tc>
          <w:tcPr>
            <w:tcW w:type="dxa" w:w="2770"/>
          </w:tcPr>
          <w:p>
            <w:pPr>
              <w:spacing w:line="240" w:lineRule="auto" w:after="40"/>
            </w:pPr>
            <w:r>
              <w:rPr>
                <w:sz w:val="20"/>
              </w:rPr>
            </w:r>
            <w:r>
              <w:rPr>
                <w:rFonts w:ascii="Times New Roman" w:hAnsi="Times New Roman"/>
                <w:b/>
                <w:sz w:val="20"/>
              </w:rPr>
              <w:t>0.91</w:t>
            </w:r>
          </w:p>
        </w:tc>
      </w:tr>
    </w:tbl>
    <w:p>
      <w:pPr>
        <w:spacing w:after="80"/>
      </w:pPr>
    </w:p>
    <w:p>
      <w:r>
        <w:rPr>
          <w:rFonts w:ascii="Times New Roman" w:hAnsi="Times New Roman"/>
          <w:b w:val="0"/>
          <w:sz w:val="24"/>
        </w:rPr>
        <w:t xml:space="preserve">Three points must be read carefully. First, the block rate is a proportion of the attacks that </w:t>
      </w:r>
      <w:r>
        <w:rPr>
          <w:rFonts w:ascii="Times New Roman" w:hAnsi="Times New Roman"/>
          <w:b w:val="0"/>
          <w:i/>
          <w:sz w:val="24"/>
        </w:rPr>
        <w:t>succeeded</w:t>
      </w:r>
      <w:r>
        <w:rPr>
          <w:rFonts w:ascii="Times New Roman" w:hAnsi="Times New Roman"/>
          <w:b w:val="0"/>
          <w:sz w:val="24"/>
        </w:rPr>
        <w:t>; where no attack succeeded there is nothing to block and the value is undefined rather than zero.</w:t>
      </w:r>
    </w:p>
    <w:p>
      <w:r>
        <w:rPr>
          <w:rFonts w:ascii="Times New Roman" w:hAnsi="Times New Roman"/>
          <w:b w:val="0"/>
          <w:sz w:val="24"/>
        </w:rPr>
        <w:t>Second, legitimate use is now preserved on every tool. The security gain therefore did not come from blocking more indiscriminately, which would have shown up as lost utility.</w:t>
      </w:r>
    </w:p>
    <w:p>
      <w:r>
        <w:rPr>
          <w:rFonts w:ascii="Times New Roman" w:hAnsi="Times New Roman"/>
          <w:b w:val="0"/>
          <w:sz w:val="24"/>
        </w:rPr>
        <w:t xml:space="preserve">Third, the improvement in Table 4.2 came from a defect in policy </w:t>
      </w:r>
      <w:r>
        <w:rPr>
          <w:rFonts w:ascii="Times New Roman" w:hAnsi="Times New Roman"/>
          <w:b w:val="0"/>
          <w:i/>
          <w:sz w:val="24"/>
        </w:rPr>
        <w:t>generation</w:t>
      </w:r>
      <w:r>
        <w:rPr>
          <w:rFonts w:ascii="Times New Roman" w:hAnsi="Times New Roman"/>
          <w:b w:val="0"/>
          <w:sz w:val="24"/>
        </w:rPr>
        <w:t xml:space="preserve">, not policy </w:t>
      </w:r>
      <w:r>
        <w:rPr>
          <w:rFonts w:ascii="Times New Roman" w:hAnsi="Times New Roman"/>
          <w:b w:val="0"/>
          <w:i/>
          <w:sz w:val="24"/>
        </w:rPr>
        <w:t>design</w:t>
      </w:r>
      <w:r>
        <w:rPr>
          <w:rFonts w:ascii="Times New Roman" w:hAnsi="Times New Roman"/>
          <w:b w:val="0"/>
          <w:sz w:val="24"/>
        </w:rPr>
        <w:t>. Enforcement rules are written by a language model, which routinely invented parameter names the tool did not have — guarding a parameter called `</w:t>
      </w:r>
      <w:r>
        <w:rPr>
          <w:rFonts w:ascii="Consolas" w:hAnsi="Consolas"/>
          <w:b w:val="0"/>
          <w:sz w:val="22"/>
        </w:rPr>
        <w:t>file_path</w:t>
      </w:r>
      <w:r>
        <w:rPr>
          <w:rFonts w:ascii="Consolas" w:hAnsi="Consolas"/>
          <w:b w:val="0"/>
          <w:sz w:val="22"/>
        </w:rPr>
        <w:t xml:space="preserve"> on a tool whose argument is </w:t>
      </w:r>
      <w:r>
        <w:rPr>
          <w:rFonts w:ascii="Consolas" w:hAnsi="Consolas"/>
          <w:b w:val="0"/>
          <w:sz w:val="22"/>
        </w:rPr>
        <w:t>path</w:t>
      </w:r>
      <w:r>
        <w:rPr>
          <w:rFonts w:ascii="Times New Roman" w:hAnsi="Times New Roman"/>
          <w:b w:val="0"/>
          <w:sz w:val="24"/>
        </w:rPr>
        <w:t>`. Such a rule fails open rather than closed: the checker's fail-safe only widens a rule that has no argument condition at all, whereas a condition on a parameter that never exists simply evaluates to false, so a correct-looking blocking rule never fires. A third of all generated rules were affected. Validating rules against the tool's declared schema, repairing near-misses and discarding conditions that cannot be resolved, raised the block rate from 0.68 to 0.87 and removed both of the failures reported earlier: message posting rose from 0.25 to 1.00 and file writing from 0.00 to 1.00.</w:t>
      </w:r>
    </w:p>
    <w:p>
      <w:r>
        <w:rPr>
          <w:rFonts w:ascii="Times New Roman" w:hAnsi="Times New Roman"/>
          <w:b w:val="0"/>
          <w:sz w:val="24"/>
        </w:rPr>
        <w:t>Email sending is the one tool that fell, from 1.00 to 0.58, and the comparison is not like-for-like: attacks succeeded against it fifteen times after the change against eight before, so the later figure is measured over a larger and harder set. Inspection of its worst run showed the remaining attacks were audited rather than blocked, and that one rule invoked a predicate function the model had invented outright. Schema validation checks parameter names, not fabricated predicates, so that class of defect remains open and is recorded as future work.</w:t>
      </w:r>
    </w:p>
    <w:p>
      <w:pPr>
        <w:spacing w:line="240" w:lineRule="auto" w:before="80" w:after="160"/>
        <w:jc w:val="center"/>
      </w:pPr>
      <w:r>
        <w:rPr>
          <w:rFonts w:ascii="Times New Roman" w:hAnsi="Times New Roman"/>
          <w:b/>
          <w:sz w:val="20"/>
        </w:rPr>
        <w:t>FIGURE 4.5: Corpus results in the HTML report. *[SCREENSHOT: results dashboard]</w:t>
      </w:r>
    </w:p>
    <w:p>
      <w:r>
        <w:rPr>
          <w:rFonts w:ascii="Times New Roman" w:hAnsi="Times New Roman"/>
          <w:b/>
          <w:sz w:val="24"/>
        </w:rPr>
        <w:t>Step 3 — live enforcement.</w:t>
      </w:r>
      <w:r>
        <w:rPr>
          <w:rFonts w:ascii="Times New Roman" w:hAnsi="Times New Roman"/>
          <w:b w:val="0"/>
          <w:sz w:val="24"/>
        </w:rPr>
        <w:t xml:space="preserve"> The gateway was loaded with the policy generated for the file-reading tool and placed in front of the agent. Two requests were sent.</w:t>
      </w:r>
    </w:p>
    <w:p>
      <w:r>
        <w:rPr>
          <w:rFonts w:ascii="Times New Roman" w:hAnsi="Times New Roman"/>
          <w:b w:val="0"/>
          <w:sz w:val="24"/>
        </w:rPr>
        <w:t>The first asked the agent to read a secret file and email its contents to an external address. The agent performed the read, which the policy permits, and the attempt to send email was blocked at the capability gate because the policy denies network access for that session. The second request asked the agent to read an ordinary project file and summarise it. It completed normally with no enforcement action.</w:t>
      </w:r>
    </w:p>
    <w:p>
      <w:pPr>
        <w:spacing w:line="240" w:lineRule="auto" w:before="80" w:after="160"/>
        <w:jc w:val="center"/>
      </w:pPr>
      <w:r>
        <w:rPr>
          <w:rFonts w:ascii="Times New Roman" w:hAnsi="Times New Roman"/>
          <w:b/>
          <w:sz w:val="20"/>
        </w:rPr>
        <w:t>TABLE 4.2: Live gateway behaviour.</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Request</w:t>
            </w:r>
          </w:p>
        </w:tc>
        <w:tc>
          <w:tcPr>
            <w:tcW w:type="dxa" w:w="2770"/>
          </w:tcPr>
          <w:p>
            <w:pPr>
              <w:spacing w:line="240" w:lineRule="auto" w:after="40"/>
            </w:pPr>
            <w:r>
              <w:rPr>
                <w:b/>
                <w:sz w:val="20"/>
              </w:rPr>
            </w:r>
            <w:r>
              <w:rPr>
                <w:rFonts w:ascii="Times New Roman" w:hAnsi="Times New Roman"/>
                <w:b/>
                <w:sz w:val="20"/>
              </w:rPr>
              <w:t>Agent action</w:t>
            </w:r>
          </w:p>
        </w:tc>
        <w:tc>
          <w:tcPr>
            <w:tcW w:type="dxa" w:w="2770"/>
          </w:tcPr>
          <w:p>
            <w:pPr>
              <w:spacing w:line="240" w:lineRule="auto" w:after="40"/>
            </w:pPr>
            <w:r>
              <w:rPr>
                <w:b/>
                <w:sz w:val="20"/>
              </w:rPr>
            </w:r>
            <w:r>
              <w:rPr>
                <w:rFonts w:ascii="Times New Roman" w:hAnsi="Times New Roman"/>
                <w:b/>
                <w:sz w:val="20"/>
              </w:rPr>
              <w:t>Gateway decision</w:t>
            </w:r>
          </w:p>
        </w:tc>
      </w:tr>
      <w:tr>
        <w:tc>
          <w:tcPr>
            <w:tcW w:type="dxa" w:w="2770"/>
          </w:tcPr>
          <w:p>
            <w:pPr>
              <w:spacing w:line="240" w:lineRule="auto" w:after="40"/>
            </w:pPr>
            <w:r>
              <w:rPr>
                <w:sz w:val="20"/>
              </w:rPr>
            </w:r>
            <w:r>
              <w:rPr>
                <w:rFonts w:ascii="Times New Roman" w:hAnsi="Times New Roman"/>
                <w:b w:val="0"/>
                <w:sz w:val="20"/>
              </w:rPr>
              <w:t>Read secret file, email contents externally</w:t>
            </w:r>
          </w:p>
        </w:tc>
        <w:tc>
          <w:tcPr>
            <w:tcW w:type="dxa" w:w="2770"/>
          </w:tcPr>
          <w:p>
            <w:pPr>
              <w:spacing w:line="240" w:lineRule="auto" w:after="40"/>
            </w:pPr>
            <w:r>
              <w:rPr>
                <w:sz w:val="20"/>
              </w:rPr>
            </w:r>
            <w:r>
              <w:rPr>
                <w:rFonts w:ascii="Times New Roman" w:hAnsi="Times New Roman"/>
                <w:b w:val="0"/>
                <w:sz w:val="20"/>
              </w:rPr>
              <w:t>Read file, then send email</w:t>
            </w:r>
          </w:p>
        </w:tc>
        <w:tc>
          <w:tcPr>
            <w:tcW w:type="dxa" w:w="2770"/>
          </w:tcPr>
          <w:p>
            <w:pPr>
              <w:spacing w:line="240" w:lineRule="auto" w:after="40"/>
            </w:pPr>
            <w:r>
              <w:rPr>
                <w:sz w:val="20"/>
              </w:rPr>
            </w:r>
            <w:r>
              <w:rPr>
                <w:rFonts w:ascii="Times New Roman" w:hAnsi="Times New Roman"/>
                <w:b w:val="0"/>
                <w:sz w:val="20"/>
              </w:rPr>
              <w:t xml:space="preserve">Read allowed; email </w:t>
            </w:r>
            <w:r>
              <w:rPr>
                <w:rFonts w:ascii="Times New Roman" w:hAnsi="Times New Roman"/>
                <w:b/>
                <w:sz w:val="20"/>
              </w:rPr>
              <w:t>blocked</w:t>
            </w:r>
            <w:r>
              <w:rPr>
                <w:rFonts w:ascii="Times New Roman" w:hAnsi="Times New Roman"/>
                <w:b w:val="0"/>
                <w:sz w:val="20"/>
              </w:rPr>
              <w:t xml:space="preserve"> (network capability denied)</w:t>
            </w:r>
          </w:p>
        </w:tc>
      </w:tr>
      <w:tr>
        <w:tc>
          <w:tcPr>
            <w:tcW w:type="dxa" w:w="2770"/>
          </w:tcPr>
          <w:p>
            <w:pPr>
              <w:spacing w:line="240" w:lineRule="auto" w:after="40"/>
            </w:pPr>
            <w:r>
              <w:rPr>
                <w:sz w:val="20"/>
              </w:rPr>
            </w:r>
            <w:r>
              <w:rPr>
                <w:rFonts w:ascii="Times New Roman" w:hAnsi="Times New Roman"/>
                <w:b w:val="0"/>
                <w:sz w:val="20"/>
              </w:rPr>
              <w:t>Read a project file and summarise</w:t>
            </w:r>
          </w:p>
        </w:tc>
        <w:tc>
          <w:tcPr>
            <w:tcW w:type="dxa" w:w="2770"/>
          </w:tcPr>
          <w:p>
            <w:pPr>
              <w:spacing w:line="240" w:lineRule="auto" w:after="40"/>
            </w:pPr>
            <w:r>
              <w:rPr>
                <w:sz w:val="20"/>
              </w:rPr>
            </w:r>
            <w:r>
              <w:rPr>
                <w:rFonts w:ascii="Times New Roman" w:hAnsi="Times New Roman"/>
                <w:b w:val="0"/>
                <w:sz w:val="20"/>
              </w:rPr>
              <w:t>Read file</w:t>
            </w:r>
          </w:p>
        </w:tc>
        <w:tc>
          <w:tcPr>
            <w:tcW w:type="dxa" w:w="2770"/>
          </w:tcPr>
          <w:p>
            <w:pPr>
              <w:spacing w:line="240" w:lineRule="auto" w:after="40"/>
            </w:pPr>
            <w:r>
              <w:rPr>
                <w:sz w:val="20"/>
              </w:rPr>
            </w:r>
            <w:r>
              <w:rPr>
                <w:rFonts w:ascii="Times New Roman" w:hAnsi="Times New Roman"/>
                <w:b/>
                <w:sz w:val="20"/>
              </w:rPr>
              <w:t>Allowed</w:t>
            </w:r>
          </w:p>
        </w:tc>
      </w:tr>
    </w:tbl>
    <w:p>
      <w:pPr>
        <w:spacing w:after="80"/>
      </w:pPr>
    </w:p>
    <w:p>
      <w:r>
        <w:rPr>
          <w:rFonts w:ascii="Times New Roman" w:hAnsi="Times New Roman"/>
          <w:b w:val="0"/>
          <w:sz w:val="24"/>
        </w:rPr>
        <w:t>This is the project's central claim demonstrated end to end on a running system: the attack is stopped at the point where data would leave, and the tool's legitimate purpose still works.</w:t>
      </w:r>
    </w:p>
    <w:p>
      <w:pPr>
        <w:spacing w:line="240" w:lineRule="auto" w:before="80" w:after="160"/>
        <w:jc w:val="center"/>
      </w:pPr>
      <w:r>
        <w:rPr>
          <w:rFonts w:ascii="Times New Roman" w:hAnsi="Times New Roman"/>
          <w:b/>
          <w:sz w:val="20"/>
        </w:rPr>
        <w:t>FIGURE 4.6: Gateway blocking an exfiltration attempt while permitting normal use.</w:t>
      </w:r>
    </w:p>
    <w:p>
      <w:r>
        <w:rPr>
          <w:rFonts w:ascii="Times New Roman" w:hAnsi="Times New Roman"/>
          <w:b w:val="0"/>
          <w:i/>
          <w:sz w:val="24"/>
        </w:rPr>
        <w:t>[SCREENSHOT: demo terminal output]</w:t>
      </w:r>
    </w:p>
    <w:p>
      <w:pPr>
        <w:spacing w:line="240" w:lineRule="auto" w:before="80" w:after="160"/>
        <w:jc w:val="center"/>
      </w:pPr>
      <w:r>
        <w:rPr>
          <w:rFonts w:ascii="Times New Roman" w:hAnsi="Times New Roman"/>
          <w:b/>
          <w:sz w:val="20"/>
        </w:rPr>
        <w:t>FIGURE 4.7: Audit log showing both decisions with the gate and rule that fired.</w:t>
      </w:r>
    </w:p>
    <w:p>
      <w:r>
        <w:rPr>
          <w:rFonts w:ascii="Times New Roman" w:hAnsi="Times New Roman"/>
          <w:b w:val="0"/>
          <w:i/>
          <w:sz w:val="24"/>
        </w:rPr>
        <w:t>[SCREENSHOT: audit output]</w:t>
      </w:r>
    </w:p>
    <w:p>
      <w:r>
        <w:br w:type="page"/>
      </w:r>
    </w:p>
    <w:p>
      <w:pPr>
        <w:spacing w:after="240"/>
        <w:jc w:val="right"/>
        <w:pBdr>
          <w:bottom w:val="single" w:sz="18" w:space="4" w:color="000000"/>
        </w:pBdr>
      </w:pPr>
      <w:r>
        <w:rPr>
          <w:rFonts w:ascii="Times New Roman" w:hAnsi="Times New Roman"/>
          <w:b/>
          <w:sz w:val="32"/>
        </w:rPr>
        <w:t>CHAPTER 5: CONCLUSIONS AND FUTURE SCOPE</w:t>
      </w:r>
    </w:p>
    <w:p>
      <w:pPr>
        <w:spacing w:before="200" w:after="80"/>
      </w:pPr>
      <w:r>
        <w:rPr>
          <w:rFonts w:ascii="Times New Roman" w:hAnsi="Times New Roman"/>
          <w:b/>
          <w:sz w:val="28"/>
        </w:rPr>
        <w:t>5.1 Work Accomplished</w:t>
      </w:r>
    </w:p>
    <w:p>
      <w:r>
        <w:rPr>
          <w:rFonts w:ascii="Times New Roman" w:hAnsi="Times New Roman"/>
          <w:b/>
          <w:sz w:val="24"/>
        </w:rPr>
        <w:t>O1 — adversarial attack generation (85%).</w:t>
      </w:r>
      <w:r>
        <w:rPr>
          <w:rFonts w:ascii="Times New Roman" w:hAnsi="Times New Roman"/>
          <w:b w:val="0"/>
          <w:sz w:val="24"/>
        </w:rPr>
        <w:t xml:space="preserve"> Attacks are generated from the tool schema across six misuse categories and eight escalating techniques, refined on refusal, and graded by a model from a different family than the generator. Indirect injection is carried on a separate channel and reported separately throughout. The shortfall is that the grader has not yet been calibrated against human judgement; a balanced blind labelling set has been prepared and the analysis is ready to run once labels exist.</w:t>
      </w:r>
    </w:p>
    <w:p>
      <w:r>
        <w:rPr>
          <w:rFonts w:ascii="Times New Roman" w:hAnsi="Times New Roman"/>
          <w:b/>
          <w:sz w:val="24"/>
        </w:rPr>
        <w:t>O2 — analysis and policy synthesis (90%).</w:t>
      </w:r>
      <w:r>
        <w:rPr>
          <w:rFonts w:ascii="Times New Roman" w:hAnsi="Times New Roman"/>
          <w:b w:val="0"/>
          <w:sz w:val="24"/>
        </w:rPr>
        <w:t xml:space="preserve"> Successful attacks are classified, aggregated into a primary exploit vector, and converted into a structured policy covering confidentiality, capabilities, taint propagation and specific enforcement rules. The remaining work is comparison against prompt-level defence baselines, which is implemented but not yet executed.</w:t>
      </w:r>
    </w:p>
    <w:p>
      <w:r>
        <w:rPr>
          <w:rFonts w:ascii="Times New Roman" w:hAnsi="Times New Roman"/>
          <w:b/>
          <w:sz w:val="24"/>
        </w:rPr>
        <w:t>O3 — enforcement and verification (80%).</w:t>
      </w:r>
      <w:r>
        <w:rPr>
          <w:rFonts w:ascii="Times New Roman" w:hAnsi="Times New Roman"/>
          <w:b w:val="0"/>
          <w:sz w:val="24"/>
        </w:rPr>
        <w:t xml:space="preserve"> All four gates are implemented and applied both offline, by the deterministic checker, and online, by the gateway. The paired security-utility metric is reported for every run. The shortfall is statistical: results are currently from a single complete run, and repeated runs are in progress.</w:t>
      </w:r>
    </w:p>
    <w:p>
      <w:r>
        <w:rPr>
          <w:rFonts w:ascii="Times New Roman" w:hAnsi="Times New Roman"/>
          <w:b/>
          <w:sz w:val="24"/>
        </w:rPr>
        <w:t>O4 — intent alignment and dashboard (30%).</w:t>
      </w:r>
      <w:r>
        <w:rPr>
          <w:rFonts w:ascii="Times New Roman" w:hAnsi="Times New Roman"/>
          <w:b w:val="0"/>
          <w:sz w:val="24"/>
        </w:rPr>
        <w:t xml:space="preserve"> The intent alignment layer was not built. The information-flow gates that replaced it are stronger where they apply, because they do not depend on a model's judgement, but they are narrower, reasoning about data flow rather than intent. This is an honest deviation and is recorded as such. The dashboard exists as a static per-run report with an audit endpoint, not as live monitoring.</w:t>
      </w:r>
    </w:p>
    <w:p>
      <w:pPr>
        <w:spacing w:before="200" w:after="80"/>
      </w:pPr>
      <w:r>
        <w:rPr>
          <w:rFonts w:ascii="Times New Roman" w:hAnsi="Times New Roman"/>
          <w:b/>
          <w:sz w:val="28"/>
        </w:rPr>
        <w:t>5.2 Conclusions</w:t>
      </w:r>
    </w:p>
    <w:p>
      <w:r>
        <w:rPr>
          <w:rFonts w:ascii="Times New Roman" w:hAnsi="Times New Roman"/>
          <w:b w:val="0"/>
          <w:sz w:val="24"/>
        </w:rPr>
        <w:t>The main finding is that a useful security policy can be derived automatically from a tool's public description alone, and enforced without modifying the agent. Across ten tools and five independent runs the synthesised policies blocked 87% of attacks that had succeeded against the unguarded agent while allowing 100% of legitimate use, and the behaviour was reproduced on a live system. Email sending is the weakest tool at 0.58, with wide variance across runs.</w:t>
      </w:r>
    </w:p>
    <w:p>
      <w:r>
        <w:rPr>
          <w:rFonts w:ascii="Times New Roman" w:hAnsi="Times New Roman"/>
          <w:b w:val="0"/>
          <w:sz w:val="24"/>
        </w:rPr>
        <w:t>The secondary finding is methodological and, in the team's view, the more transferable one. Security effectiveness reported without a matching utility figure is not interpretable, because the strongest possible block rate is achieved by disabling the tool. This is not a theoretical concern: the system generated such policies repeatedly until two specific guards were added, and the utility half of the metric is the only reason those runs were recognised as failures rather than recorded as perfect scores.</w:t>
      </w:r>
    </w:p>
    <w:p>
      <w:r>
        <w:rPr>
          <w:rFonts w:ascii="Times New Roman" w:hAnsi="Times New Roman"/>
          <w:b w:val="0"/>
          <w:sz w:val="24"/>
        </w:rPr>
        <w:t xml:space="preserve">Three limitations should be stated plainly. Two findings about evaluation are worth as much as the headline number. First, the estimate is unstable in a way that repeated runs are needed to expose: after three and four runs the mean block rate stood at 0.83 and appeared converged to three decimal places, and only the fifth run revealed a tool the policy could not defend at all. Second, and more seriously, a third of all generated enforcement rules referenced parameters the target tool does not have, and such rules fail open rather than closed. Correcting this raised the block rate from 0.68 to 0.87 at no cost to legitimate use. Both defects were invisible without repeated runs and per-rule inspection, and neither would have been caught by measuring attack blocking alone. The automated grader has not been validated against human labels, so agreement between the two is unknown. And a policy reasons only about the tool it was generated for — while building the demonstration, the same attack was found </w:t>
      </w:r>
      <w:r>
        <w:rPr>
          <w:rFonts w:ascii="Times New Roman" w:hAnsi="Times New Roman"/>
          <w:b w:val="0"/>
          <w:i/>
          <w:sz w:val="24"/>
        </w:rPr>
        <w:t>not</w:t>
      </w:r>
      <w:r>
        <w:rPr>
          <w:rFonts w:ascii="Times New Roman" w:hAnsi="Times New Roman"/>
          <w:b w:val="0"/>
          <w:sz w:val="24"/>
        </w:rPr>
        <w:t xml:space="preserve"> to be blocked under a different tool's policy, because a read performed by another tool is not recognised as sensitive. Cross-tool data-flow policy is the clearest technical gap in the current design.</w:t>
      </w:r>
    </w:p>
    <w:p>
      <w:pPr>
        <w:spacing w:before="200" w:after="80"/>
      </w:pPr>
      <w:r>
        <w:rPr>
          <w:rFonts w:ascii="Times New Roman" w:hAnsi="Times New Roman"/>
          <w:b/>
          <w:sz w:val="28"/>
        </w:rPr>
        <w:t>5.3 Environmental, Economic and Social Benefits</w:t>
      </w:r>
    </w:p>
    <w:p>
      <w:r>
        <w:rPr>
          <w:rFonts w:ascii="Times New Roman" w:hAnsi="Times New Roman"/>
          <w:b/>
          <w:sz w:val="24"/>
        </w:rPr>
        <w:t>Economic.</w:t>
      </w:r>
      <w:r>
        <w:rPr>
          <w:rFonts w:ascii="Times New Roman" w:hAnsi="Times New Roman"/>
          <w:b w:val="0"/>
          <w:sz w:val="24"/>
        </w:rPr>
        <w:t xml:space="preserve"> Writing information-flow policies by hand requires security expertise and must be repeated for every tool. Automating the analysis lowers the cost of adopting third-party tools safely, particularly for organisations without a dedicated security team. Running on locally hosted open models kept the project's own inference cost at zero.</w:t>
      </w:r>
    </w:p>
    <w:p>
      <w:r>
        <w:rPr>
          <w:rFonts w:ascii="Times New Roman" w:hAnsi="Times New Roman"/>
          <w:b/>
          <w:sz w:val="24"/>
        </w:rPr>
        <w:t>Social.</w:t>
      </w:r>
      <w:r>
        <w:rPr>
          <w:rFonts w:ascii="Times New Roman" w:hAnsi="Times New Roman"/>
          <w:b w:val="0"/>
          <w:sz w:val="24"/>
        </w:rPr>
        <w:t xml:space="preserve"> Agents are being connected to email, documents and databases containing personal data. A control that prevents an agent from being manipulated into exfiltrating that data protects people who are not party to the decision to deploy the agent, and the audit trail gives an organisation the evidence needed to investigate an incident.</w:t>
      </w:r>
    </w:p>
    <w:p>
      <w:r>
        <w:rPr>
          <w:rFonts w:ascii="Times New Roman" w:hAnsi="Times New Roman"/>
          <w:b/>
          <w:sz w:val="24"/>
        </w:rPr>
        <w:t>Environmental.</w:t>
      </w:r>
      <w:r>
        <w:rPr>
          <w:rFonts w:ascii="Times New Roman" w:hAnsi="Times New Roman"/>
          <w:b w:val="0"/>
          <w:sz w:val="24"/>
        </w:rPr>
        <w:t xml:space="preserve"> The analysis is run once per tool rather than per request, and enforcement adds no model calls, so the recurring computational cost of the defence is negligible. The principal cost is the one-time analysis, which the early-stopping improvement reduced by roughly half after measurement showed most refinement effort was producing no change in outcome.</w:t>
      </w:r>
    </w:p>
    <w:p>
      <w:pPr>
        <w:spacing w:before="200" w:after="80"/>
      </w:pPr>
      <w:r>
        <w:rPr>
          <w:rFonts w:ascii="Times New Roman" w:hAnsi="Times New Roman"/>
          <w:b/>
          <w:sz w:val="28"/>
        </w:rPr>
        <w:t>5.4 Future Work Plan</w:t>
      </w:r>
    </w:p>
    <w:p>
      <w:pPr>
        <w:spacing w:line="240" w:lineRule="auto" w:before="80" w:after="160"/>
        <w:jc w:val="center"/>
      </w:pPr>
      <w:r>
        <w:rPr>
          <w:rFonts w:ascii="Times New Roman" w:hAnsi="Times New Roman"/>
          <w:b/>
          <w:sz w:val="20"/>
        </w:rPr>
        <w:t>TABLE 5.1: Planned work for the remainder of the project.</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Priority</w:t>
            </w:r>
          </w:p>
        </w:tc>
        <w:tc>
          <w:tcPr>
            <w:tcW w:type="dxa" w:w="2770"/>
          </w:tcPr>
          <w:p>
            <w:pPr>
              <w:spacing w:line="240" w:lineRule="auto" w:after="40"/>
            </w:pPr>
            <w:r>
              <w:rPr>
                <w:b/>
                <w:sz w:val="20"/>
              </w:rPr>
            </w:r>
            <w:r>
              <w:rPr>
                <w:rFonts w:ascii="Times New Roman" w:hAnsi="Times New Roman"/>
                <w:b/>
                <w:sz w:val="20"/>
              </w:rPr>
              <w:t>Task</w:t>
            </w:r>
          </w:p>
        </w:tc>
        <w:tc>
          <w:tcPr>
            <w:tcW w:type="dxa" w:w="2770"/>
          </w:tcPr>
          <w:p>
            <w:pPr>
              <w:spacing w:line="240" w:lineRule="auto" w:after="40"/>
            </w:pPr>
            <w:r>
              <w:rPr>
                <w:b/>
                <w:sz w:val="20"/>
              </w:rPr>
            </w:r>
            <w:r>
              <w:rPr>
                <w:rFonts w:ascii="Times New Roman" w:hAnsi="Times New Roman"/>
                <w:b/>
                <w:sz w:val="20"/>
              </w:rPr>
              <w:t>Purpose</w:t>
            </w:r>
          </w:p>
        </w:tc>
      </w:tr>
      <w:tr>
        <w:tc>
          <w:tcPr>
            <w:tcW w:type="dxa" w:w="2770"/>
          </w:tcPr>
          <w:p>
            <w:pPr>
              <w:spacing w:line="240" w:lineRule="auto" w:after="40"/>
            </w:pPr>
            <w:r>
              <w:rPr>
                <w:sz w:val="20"/>
              </w:rPr>
            </w:r>
            <w:r>
              <w:rPr>
                <w:rFonts w:ascii="Times New Roman" w:hAnsi="Times New Roman"/>
                <w:b w:val="0"/>
                <w:sz w:val="20"/>
              </w:rPr>
              <w:t>1</w:t>
            </w:r>
          </w:p>
        </w:tc>
        <w:tc>
          <w:tcPr>
            <w:tcW w:type="dxa" w:w="2770"/>
          </w:tcPr>
          <w:p>
            <w:pPr>
              <w:spacing w:line="240" w:lineRule="auto" w:after="40"/>
            </w:pPr>
            <w:r>
              <w:rPr>
                <w:sz w:val="20"/>
              </w:rPr>
            </w:r>
            <w:r>
              <w:rPr>
                <w:rFonts w:ascii="Times New Roman" w:hAnsi="Times New Roman"/>
                <w:b w:val="0"/>
                <w:sz w:val="20"/>
              </w:rPr>
              <w:t>Complete five repeated runs of the corpus</w:t>
            </w:r>
          </w:p>
        </w:tc>
        <w:tc>
          <w:tcPr>
            <w:tcW w:type="dxa" w:w="2770"/>
          </w:tcPr>
          <w:p>
            <w:pPr>
              <w:spacing w:line="240" w:lineRule="auto" w:after="40"/>
            </w:pPr>
            <w:r>
              <w:rPr>
                <w:sz w:val="20"/>
              </w:rPr>
            </w:r>
            <w:r>
              <w:rPr>
                <w:rFonts w:ascii="Times New Roman" w:hAnsi="Times New Roman"/>
                <w:b w:val="0"/>
                <w:sz w:val="20"/>
              </w:rPr>
              <w:t>Replace single-run figures with mean and standard deviation</w:t>
            </w:r>
          </w:p>
        </w:tc>
      </w:tr>
      <w:tr>
        <w:tc>
          <w:tcPr>
            <w:tcW w:type="dxa" w:w="2770"/>
          </w:tcPr>
          <w:p>
            <w:pPr>
              <w:spacing w:line="240" w:lineRule="auto" w:after="40"/>
            </w:pPr>
            <w:r>
              <w:rPr>
                <w:sz w:val="20"/>
              </w:rPr>
            </w:r>
            <w:r>
              <w:rPr>
                <w:rFonts w:ascii="Times New Roman" w:hAnsi="Times New Roman"/>
                <w:b w:val="0"/>
                <w:sz w:val="20"/>
              </w:rPr>
              <w:t>2</w:t>
            </w:r>
          </w:p>
        </w:tc>
        <w:tc>
          <w:tcPr>
            <w:tcW w:type="dxa" w:w="2770"/>
          </w:tcPr>
          <w:p>
            <w:pPr>
              <w:spacing w:line="240" w:lineRule="auto" w:after="40"/>
            </w:pPr>
            <w:r>
              <w:rPr>
                <w:sz w:val="20"/>
              </w:rPr>
            </w:r>
            <w:r>
              <w:rPr>
                <w:rFonts w:ascii="Times New Roman" w:hAnsi="Times New Roman"/>
                <w:b w:val="0"/>
                <w:sz w:val="20"/>
              </w:rPr>
              <w:t>Collect human labels and compute grader agreement</w:t>
            </w:r>
          </w:p>
        </w:tc>
        <w:tc>
          <w:tcPr>
            <w:tcW w:type="dxa" w:w="2770"/>
          </w:tcPr>
          <w:p>
            <w:pPr>
              <w:spacing w:line="240" w:lineRule="auto" w:after="40"/>
            </w:pPr>
            <w:r>
              <w:rPr>
                <w:sz w:val="20"/>
              </w:rPr>
            </w:r>
            <w:r>
              <w:rPr>
                <w:rFonts w:ascii="Times New Roman" w:hAnsi="Times New Roman"/>
                <w:b w:val="0"/>
                <w:sz w:val="20"/>
              </w:rPr>
              <w:t>Establish that the automated grader is trustworthy</w:t>
            </w:r>
          </w:p>
        </w:tc>
      </w:tr>
      <w:tr>
        <w:tc>
          <w:tcPr>
            <w:tcW w:type="dxa" w:w="2770"/>
          </w:tcPr>
          <w:p>
            <w:pPr>
              <w:spacing w:line="240" w:lineRule="auto" w:after="40"/>
            </w:pPr>
            <w:r>
              <w:rPr>
                <w:sz w:val="20"/>
              </w:rPr>
            </w:r>
            <w:r>
              <w:rPr>
                <w:rFonts w:ascii="Times New Roman" w:hAnsi="Times New Roman"/>
                <w:b w:val="0"/>
                <w:sz w:val="20"/>
              </w:rPr>
              <w:t>3</w:t>
            </w:r>
          </w:p>
        </w:tc>
        <w:tc>
          <w:tcPr>
            <w:tcW w:type="dxa" w:w="2770"/>
          </w:tcPr>
          <w:p>
            <w:pPr>
              <w:spacing w:line="240" w:lineRule="auto" w:after="40"/>
            </w:pPr>
            <w:r>
              <w:rPr>
                <w:sz w:val="20"/>
              </w:rPr>
            </w:r>
            <w:r>
              <w:rPr>
                <w:rFonts w:ascii="Times New Roman" w:hAnsi="Times New Roman"/>
                <w:b w:val="0"/>
                <w:sz w:val="20"/>
              </w:rPr>
              <w:t>Run the prompt-level defence comparison</w:t>
            </w:r>
          </w:p>
        </w:tc>
        <w:tc>
          <w:tcPr>
            <w:tcW w:type="dxa" w:w="2770"/>
          </w:tcPr>
          <w:p>
            <w:pPr>
              <w:spacing w:line="240" w:lineRule="auto" w:after="40"/>
            </w:pPr>
            <w:r>
              <w:rPr>
                <w:sz w:val="20"/>
              </w:rPr>
            </w:r>
            <w:r>
              <w:rPr>
                <w:rFonts w:ascii="Times New Roman" w:hAnsi="Times New Roman"/>
                <w:b w:val="0"/>
                <w:sz w:val="20"/>
              </w:rPr>
              <w:t>Position the work against practical alternatives rather than against no defence</w:t>
            </w:r>
          </w:p>
        </w:tc>
      </w:tr>
      <w:tr>
        <w:tc>
          <w:tcPr>
            <w:tcW w:type="dxa" w:w="2770"/>
          </w:tcPr>
          <w:p>
            <w:pPr>
              <w:spacing w:line="240" w:lineRule="auto" w:after="40"/>
            </w:pPr>
            <w:r>
              <w:rPr>
                <w:sz w:val="20"/>
              </w:rPr>
            </w:r>
            <w:r>
              <w:rPr>
                <w:rFonts w:ascii="Times New Roman" w:hAnsi="Times New Roman"/>
                <w:b w:val="0"/>
                <w:sz w:val="20"/>
              </w:rPr>
              <w:t>4</w:t>
            </w:r>
          </w:p>
        </w:tc>
        <w:tc>
          <w:tcPr>
            <w:tcW w:type="dxa" w:w="2770"/>
          </w:tcPr>
          <w:p>
            <w:pPr>
              <w:spacing w:line="240" w:lineRule="auto" w:after="40"/>
            </w:pPr>
            <w:r>
              <w:rPr>
                <w:sz w:val="20"/>
              </w:rPr>
            </w:r>
            <w:r>
              <w:rPr>
                <w:rFonts w:ascii="Times New Roman" w:hAnsi="Times New Roman"/>
                <w:b w:val="0"/>
                <w:sz w:val="20"/>
              </w:rPr>
              <w:t>Run the poisoned-description evaluation</w:t>
            </w:r>
          </w:p>
        </w:tc>
        <w:tc>
          <w:tcPr>
            <w:tcW w:type="dxa" w:w="2770"/>
          </w:tcPr>
          <w:p>
            <w:pPr>
              <w:spacing w:line="240" w:lineRule="auto" w:after="40"/>
            </w:pPr>
            <w:r>
              <w:rPr>
                <w:sz w:val="20"/>
              </w:rPr>
            </w:r>
            <w:r>
              <w:rPr>
                <w:rFonts w:ascii="Times New Roman" w:hAnsi="Times New Roman"/>
                <w:b w:val="0"/>
                <w:sz w:val="20"/>
              </w:rPr>
              <w:t>Report detection quality against matched clean controls</w:t>
            </w:r>
          </w:p>
        </w:tc>
      </w:tr>
      <w:tr>
        <w:tc>
          <w:tcPr>
            <w:tcW w:type="dxa" w:w="2770"/>
          </w:tcPr>
          <w:p>
            <w:pPr>
              <w:spacing w:line="240" w:lineRule="auto" w:after="40"/>
            </w:pPr>
            <w:r>
              <w:rPr>
                <w:sz w:val="20"/>
              </w:rPr>
            </w:r>
            <w:r>
              <w:rPr>
                <w:rFonts w:ascii="Times New Roman" w:hAnsi="Times New Roman"/>
                <w:b w:val="0"/>
                <w:sz w:val="20"/>
              </w:rPr>
              <w:t>5</w:t>
            </w:r>
          </w:p>
        </w:tc>
        <w:tc>
          <w:tcPr>
            <w:tcW w:type="dxa" w:w="2770"/>
          </w:tcPr>
          <w:p>
            <w:pPr>
              <w:spacing w:line="240" w:lineRule="auto" w:after="40"/>
            </w:pPr>
            <w:r>
              <w:rPr>
                <w:sz w:val="20"/>
              </w:rPr>
            </w:r>
            <w:r>
              <w:rPr>
                <w:rFonts w:ascii="Times New Roman" w:hAnsi="Times New Roman"/>
                <w:b w:val="0"/>
                <w:sz w:val="20"/>
              </w:rPr>
              <w:t>Cross-tool information flow</w:t>
            </w:r>
          </w:p>
        </w:tc>
        <w:tc>
          <w:tcPr>
            <w:tcW w:type="dxa" w:w="2770"/>
          </w:tcPr>
          <w:p>
            <w:pPr>
              <w:spacing w:line="240" w:lineRule="auto" w:after="40"/>
            </w:pPr>
            <w:r>
              <w:rPr>
                <w:sz w:val="20"/>
              </w:rPr>
            </w:r>
            <w:r>
              <w:rPr>
                <w:rFonts w:ascii="Times New Roman" w:hAnsi="Times New Roman"/>
                <w:b w:val="0"/>
                <w:sz w:val="20"/>
              </w:rPr>
              <w:t>Address the limitation found during the demonstration</w:t>
            </w:r>
          </w:p>
        </w:tc>
      </w:tr>
      <w:tr>
        <w:tc>
          <w:tcPr>
            <w:tcW w:type="dxa" w:w="2770"/>
          </w:tcPr>
          <w:p>
            <w:pPr>
              <w:spacing w:line="240" w:lineRule="auto" w:after="40"/>
            </w:pPr>
            <w:r>
              <w:rPr>
                <w:sz w:val="20"/>
              </w:rPr>
            </w:r>
            <w:r>
              <w:rPr>
                <w:rFonts w:ascii="Times New Roman" w:hAnsi="Times New Roman"/>
                <w:b w:val="0"/>
                <w:sz w:val="20"/>
              </w:rPr>
              <w:t>6</w:t>
            </w:r>
          </w:p>
        </w:tc>
        <w:tc>
          <w:tcPr>
            <w:tcW w:type="dxa" w:w="2770"/>
          </w:tcPr>
          <w:p>
            <w:pPr>
              <w:spacing w:line="240" w:lineRule="auto" w:after="40"/>
            </w:pPr>
            <w:r>
              <w:rPr>
                <w:sz w:val="20"/>
              </w:rPr>
            </w:r>
            <w:r>
              <w:rPr>
                <w:rFonts w:ascii="Times New Roman" w:hAnsi="Times New Roman"/>
                <w:b w:val="0"/>
                <w:sz w:val="20"/>
              </w:rPr>
              <w:t>Expand the corpus toward twenty tools</w:t>
            </w:r>
          </w:p>
        </w:tc>
        <w:tc>
          <w:tcPr>
            <w:tcW w:type="dxa" w:w="2770"/>
          </w:tcPr>
          <w:p>
            <w:pPr>
              <w:spacing w:line="240" w:lineRule="auto" w:after="40"/>
            </w:pPr>
            <w:r>
              <w:rPr>
                <w:sz w:val="20"/>
              </w:rPr>
            </w:r>
            <w:r>
              <w:rPr>
                <w:rFonts w:ascii="Times New Roman" w:hAnsi="Times New Roman"/>
                <w:b w:val="0"/>
                <w:sz w:val="20"/>
              </w:rPr>
              <w:t>Strengthen the generalisation claim</w:t>
            </w:r>
          </w:p>
        </w:tc>
      </w:tr>
      <w:tr>
        <w:tc>
          <w:tcPr>
            <w:tcW w:type="dxa" w:w="2770"/>
          </w:tcPr>
          <w:p>
            <w:pPr>
              <w:spacing w:line="240" w:lineRule="auto" w:after="40"/>
            </w:pPr>
            <w:r>
              <w:rPr>
                <w:sz w:val="20"/>
              </w:rPr>
            </w:r>
            <w:r>
              <w:rPr>
                <w:rFonts w:ascii="Times New Roman" w:hAnsi="Times New Roman"/>
                <w:b w:val="0"/>
                <w:sz w:val="20"/>
              </w:rPr>
              <w:t>7</w:t>
            </w:r>
          </w:p>
        </w:tc>
        <w:tc>
          <w:tcPr>
            <w:tcW w:type="dxa" w:w="2770"/>
          </w:tcPr>
          <w:p>
            <w:pPr>
              <w:spacing w:line="240" w:lineRule="auto" w:after="40"/>
            </w:pPr>
            <w:r>
              <w:rPr>
                <w:sz w:val="20"/>
              </w:rPr>
            </w:r>
            <w:r>
              <w:rPr>
                <w:rFonts w:ascii="Times New Roman" w:hAnsi="Times New Roman"/>
                <w:b w:val="0"/>
                <w:sz w:val="20"/>
              </w:rPr>
              <w:t>Continuous integration</w:t>
            </w:r>
          </w:p>
        </w:tc>
        <w:tc>
          <w:tcPr>
            <w:tcW w:type="dxa" w:w="2770"/>
          </w:tcPr>
          <w:p>
            <w:pPr>
              <w:spacing w:line="240" w:lineRule="auto" w:after="40"/>
            </w:pPr>
            <w:r>
              <w:rPr>
                <w:sz w:val="20"/>
              </w:rPr>
            </w:r>
            <w:r>
              <w:rPr>
                <w:rFonts w:ascii="Times New Roman" w:hAnsi="Times New Roman"/>
                <w:b w:val="0"/>
                <w:sz w:val="20"/>
              </w:rPr>
              <w:t>Prevent regressions between milestones</w:t>
            </w:r>
          </w:p>
        </w:tc>
      </w:tr>
    </w:tbl>
    <w:p>
      <w:pPr>
        <w:spacing w:after="80"/>
      </w:pPr>
    </w:p>
    <w:p>
      <w:r>
        <w:rPr>
          <w:rFonts w:ascii="Times New Roman" w:hAnsi="Times New Roman"/>
          <w:b w:val="0"/>
          <w:sz w:val="24"/>
        </w:rPr>
        <w:t>Items 1 and 2 are the priorities, because they change what the existing results are permitted to claim rather than adding new capability. Item 5 is the most substantial engineering task and follows directly from a limitation the team found and documented rather than one raised in review.</w:t>
      </w:r>
    </w:p>
    <w:p>
      <w:r>
        <w:br w:type="page"/>
      </w:r>
    </w:p>
    <w:p>
      <w:pPr>
        <w:spacing w:after="240"/>
        <w:jc w:val="right"/>
        <w:pBdr>
          <w:bottom w:val="single" w:sz="18" w:space="4" w:color="000000"/>
        </w:pBdr>
      </w:pPr>
      <w:r>
        <w:rPr>
          <w:rFonts w:ascii="Times New Roman" w:hAnsi="Times New Roman"/>
          <w:b/>
          <w:sz w:val="32"/>
        </w:rPr>
        <w:t>APPENDIX A: REFERENCES</w:t>
      </w:r>
    </w:p>
    <w:p>
      <w:r>
        <w:rPr>
          <w:rFonts w:ascii="Times New Roman" w:hAnsi="Times New Roman"/>
          <w:b w:val="0"/>
          <w:sz w:val="24"/>
        </w:rPr>
        <w:t xml:space="preserve">[1] Y. Liu, G. Deng, Y. Li, K. Wang, Z. Wang, X. Wang, T. Zhang, Y. Liu, H. Wang, Y. Zheng, L. Y. Zhang, and Y. Liu, "Prompt injection attack against LLM-integrated applications," arXiv:2306.05499, 2023. </w:t>
      </w:r>
      <w:r>
        <w:rPr>
          <w:rFonts w:ascii="Times New Roman" w:hAnsi="Times New Roman"/>
          <w:b/>
          <w:sz w:val="24"/>
        </w:rPr>
        <w:t>[preprint]</w:t>
      </w:r>
    </w:p>
    <w:p>
      <w:r>
        <w:rPr>
          <w:rFonts w:ascii="Times New Roman" w:hAnsi="Times New Roman"/>
          <w:b w:val="0"/>
          <w:sz w:val="24"/>
        </w:rPr>
        <w:t xml:space="preserve">[2] Y. Liu, Y. Jia, R. Geng, J. Jia, and N. Z. Gong, "Formalizing and benchmarking prompt injection attacks and defenses," in </w:t>
      </w:r>
      <w:r>
        <w:rPr>
          <w:rFonts w:ascii="Times New Roman" w:hAnsi="Times New Roman"/>
          <w:b w:val="0"/>
          <w:i/>
          <w:sz w:val="24"/>
        </w:rPr>
        <w:t>Proc. 33rd USENIX Security Symposium</w:t>
      </w:r>
      <w:r>
        <w:rPr>
          <w:rFonts w:ascii="Times New Roman" w:hAnsi="Times New Roman"/>
          <w:b w:val="0"/>
          <w:sz w:val="24"/>
        </w:rPr>
        <w:t>, 2024.</w:t>
      </w:r>
    </w:p>
    <w:p>
      <w:r>
        <w:rPr>
          <w:rFonts w:ascii="Times New Roman" w:hAnsi="Times New Roman"/>
          <w:b w:val="0"/>
          <w:sz w:val="24"/>
        </w:rPr>
        <w:t xml:space="preserve">[3] X. Liu, Z. Yu, Y. Zhang, N. Zhang, and C. Xiao, "Automatic and universal prompt injection attacks against large language models," arXiv:2403.04957, 2024. </w:t>
      </w:r>
      <w:r>
        <w:rPr>
          <w:rFonts w:ascii="Times New Roman" w:hAnsi="Times New Roman"/>
          <w:b/>
          <w:sz w:val="24"/>
        </w:rPr>
        <w:t>[preprint]</w:t>
      </w:r>
    </w:p>
    <w:p>
      <w:r>
        <w:rPr>
          <w:rFonts w:ascii="Times New Roman" w:hAnsi="Times New Roman"/>
          <w:b w:val="0"/>
          <w:sz w:val="24"/>
        </w:rPr>
        <w:t xml:space="preserve">[4] E. Wallace, K. Xiao, R. Leike, L. Weng, J. Heidecke, and A. Beutel, "The instruction hierarchy: Training LLMs to prioritize privileged instructions," arXiv:2404.13208, 2024. </w:t>
      </w:r>
      <w:r>
        <w:rPr>
          <w:rFonts w:ascii="Times New Roman" w:hAnsi="Times New Roman"/>
          <w:b/>
          <w:sz w:val="24"/>
        </w:rPr>
        <w:t>[preprint]</w:t>
      </w:r>
    </w:p>
    <w:p>
      <w:r>
        <w:rPr>
          <w:rFonts w:ascii="Times New Roman" w:hAnsi="Times New Roman"/>
          <w:b w:val="0"/>
          <w:sz w:val="24"/>
        </w:rPr>
        <w:t>[5] K. Greshake, S. Abdelnabi, S. Mishra, C. Endres, T. Holz, and M. Fritz, "Not what you've signed up for: Compromising real-world LLM-integrated applications with indirect prompt injection," arXiv:2302.12173, 2023.</w:t>
      </w:r>
    </w:p>
    <w:p>
      <w:r>
        <w:rPr>
          <w:rFonts w:ascii="Times New Roman" w:hAnsi="Times New Roman"/>
          <w:b w:val="0"/>
          <w:sz w:val="24"/>
        </w:rPr>
        <w:t xml:space="preserve">[6] Q. Zhan, Z. Liang, Z. Ying, and D. Kang, "InjecAgent: Benchmarking indirect prompt injections in tool-integrated large language model agents," in </w:t>
      </w:r>
      <w:r>
        <w:rPr>
          <w:rFonts w:ascii="Times New Roman" w:hAnsi="Times New Roman"/>
          <w:b w:val="0"/>
          <w:i/>
          <w:sz w:val="24"/>
        </w:rPr>
        <w:t>Findings of the Association for Computational Linguistics: ACL 2024</w:t>
      </w:r>
      <w:r>
        <w:rPr>
          <w:rFonts w:ascii="Times New Roman" w:hAnsi="Times New Roman"/>
          <w:b w:val="0"/>
          <w:sz w:val="24"/>
        </w:rPr>
        <w:t>, 2024.</w:t>
      </w:r>
    </w:p>
    <w:p>
      <w:r>
        <w:rPr>
          <w:rFonts w:ascii="Times New Roman" w:hAnsi="Times New Roman"/>
          <w:b w:val="0"/>
          <w:sz w:val="24"/>
        </w:rPr>
        <w:t xml:space="preserve">[7] Y. Ruan, H. Dong, A. Wang, S. Pitis, Y. Zhou, J. Ba, Y. Dubois, C. J. Maddison, and T. Hashimoto, "Identifying the risks of LM agents with an LM-emulated sandbox," arXiv:2309.15817, 2023. </w:t>
      </w:r>
      <w:r>
        <w:rPr>
          <w:rFonts w:ascii="Times New Roman" w:hAnsi="Times New Roman"/>
          <w:b/>
          <w:sz w:val="24"/>
        </w:rPr>
        <w:t>[preprint]</w:t>
      </w:r>
    </w:p>
    <w:p>
      <w:r>
        <w:rPr>
          <w:rFonts w:ascii="Times New Roman" w:hAnsi="Times New Roman"/>
          <w:b w:val="0"/>
          <w:sz w:val="24"/>
        </w:rPr>
        <w:t xml:space="preserve">[8] E. Debenedetti, J. Zhang, M. Balunović, L. Beurer-Kellner, M. Fischer, and F. Tramèr, "AgentDojo: A dynamic environment to evaluate prompt injection attacks and defenses for LLM agents," in </w:t>
      </w:r>
      <w:r>
        <w:rPr>
          <w:rFonts w:ascii="Times New Roman" w:hAnsi="Times New Roman"/>
          <w:b w:val="0"/>
          <w:i/>
          <w:sz w:val="24"/>
        </w:rPr>
        <w:t>Advances in Neural Information Processing Systems 37 (NeurIPS Datasets and Benchmarks Track)</w:t>
      </w:r>
      <w:r>
        <w:rPr>
          <w:rFonts w:ascii="Times New Roman" w:hAnsi="Times New Roman"/>
          <w:b w:val="0"/>
          <w:sz w:val="24"/>
        </w:rPr>
        <w:t>, 2024.</w:t>
      </w:r>
    </w:p>
    <w:p>
      <w:r>
        <w:rPr>
          <w:rFonts w:ascii="Times New Roman" w:hAnsi="Times New Roman"/>
          <w:b w:val="0"/>
          <w:sz w:val="24"/>
        </w:rPr>
        <w:t xml:space="preserve">[9] M. Andriushchenko, A. Souly, M. Dziemian, D. Duenas, M. Lin, J. Wang, D. Hendrycks, A. Zou, Z. Kolter, M. Fredrikson, E. Winsor, J. Wynne, Y. Gal, and X. Davies, "AgentHarm: A benchmark for measuring harmfulness of LLM agents," in </w:t>
      </w:r>
      <w:r>
        <w:rPr>
          <w:rFonts w:ascii="Times New Roman" w:hAnsi="Times New Roman"/>
          <w:b w:val="0"/>
          <w:i/>
          <w:sz w:val="24"/>
        </w:rPr>
        <w:t>Proc. International Conference on Learning Representations (ICLR)</w:t>
      </w:r>
      <w:r>
        <w:rPr>
          <w:rFonts w:ascii="Times New Roman" w:hAnsi="Times New Roman"/>
          <w:b w:val="0"/>
          <w:sz w:val="24"/>
        </w:rPr>
        <w:t>, 2025.</w:t>
      </w:r>
    </w:p>
    <w:p>
      <w:r>
        <w:rPr>
          <w:rFonts w:ascii="Times New Roman" w:hAnsi="Times New Roman"/>
          <w:b w:val="0"/>
          <w:sz w:val="24"/>
        </w:rPr>
        <w:t xml:space="preserve">[10] H. Zhang, J. Huang, K. Mei, Y. Yao, Z. Wang, C. Zhan, H. Wang, and Y. Zhang, "Agent Security Bench (ASB): Formalizing and benchmarking attacks and defenses in LLM-based agents," in </w:t>
      </w:r>
      <w:r>
        <w:rPr>
          <w:rFonts w:ascii="Times New Roman" w:hAnsi="Times New Roman"/>
          <w:b w:val="0"/>
          <w:i/>
          <w:sz w:val="24"/>
        </w:rPr>
        <w:t>Proc. International Conference on Learning Representations (ICLR)</w:t>
      </w:r>
      <w:r>
        <w:rPr>
          <w:rFonts w:ascii="Times New Roman" w:hAnsi="Times New Roman"/>
          <w:b w:val="0"/>
          <w:sz w:val="24"/>
        </w:rPr>
        <w:t>, 2025.</w:t>
      </w:r>
    </w:p>
    <w:p>
      <w:r>
        <w:rPr>
          <w:rFonts w:ascii="Times New Roman" w:hAnsi="Times New Roman"/>
          <w:b w:val="0"/>
          <w:sz w:val="24"/>
        </w:rPr>
        <w:t xml:space="preserve">[11] K. Hines, G. Lopez, M. Hall, F. Zarfati, Y. Zunger, and E. Kiciman, "Defending against indirect prompt injection attacks with spotlighting," arXiv:2403.14720, 2024. </w:t>
      </w:r>
      <w:r>
        <w:rPr>
          <w:rFonts w:ascii="Times New Roman" w:hAnsi="Times New Roman"/>
          <w:b/>
          <w:sz w:val="24"/>
        </w:rPr>
        <w:t>[preprint]</w:t>
      </w:r>
    </w:p>
    <w:p>
      <w:r>
        <w:rPr>
          <w:rFonts w:ascii="Times New Roman" w:hAnsi="Times New Roman"/>
          <w:b w:val="0"/>
          <w:sz w:val="24"/>
        </w:rPr>
        <w:t xml:space="preserve">[12] S. Chen, J. Piet, C. Sitawarin, and D. Wagner, "StruQ: Defending against prompt injection with structured queries," in </w:t>
      </w:r>
      <w:r>
        <w:rPr>
          <w:rFonts w:ascii="Times New Roman" w:hAnsi="Times New Roman"/>
          <w:b w:val="0"/>
          <w:i/>
          <w:sz w:val="24"/>
        </w:rPr>
        <w:t>Proc. 34th USENIX Security Symposium</w:t>
      </w:r>
      <w:r>
        <w:rPr>
          <w:rFonts w:ascii="Times New Roman" w:hAnsi="Times New Roman"/>
          <w:b w:val="0"/>
          <w:sz w:val="24"/>
        </w:rPr>
        <w:t>, 2025.</w:t>
      </w:r>
    </w:p>
    <w:p>
      <w:r>
        <w:rPr>
          <w:rFonts w:ascii="Times New Roman" w:hAnsi="Times New Roman"/>
          <w:b w:val="0"/>
          <w:sz w:val="24"/>
        </w:rPr>
        <w:t xml:space="preserve">[13] S. Chen, A. Zharmagambetov, S. Mahloujifar, K. Chaudhuri, D. Wagner, and C. Guo, "SecAlign: Defending against prompt injection with preference optimization," in </w:t>
      </w:r>
      <w:r>
        <w:rPr>
          <w:rFonts w:ascii="Times New Roman" w:hAnsi="Times New Roman"/>
          <w:b w:val="0"/>
          <w:i/>
          <w:sz w:val="24"/>
        </w:rPr>
        <w:t>Proc. ACM SIGSAC Conference on Computer and Communications Security (CCS)</w:t>
      </w:r>
      <w:r>
        <w:rPr>
          <w:rFonts w:ascii="Times New Roman" w:hAnsi="Times New Roman"/>
          <w:b w:val="0"/>
          <w:sz w:val="24"/>
        </w:rPr>
        <w:t>, 2025.</w:t>
      </w:r>
    </w:p>
    <w:p>
      <w:r>
        <w:rPr>
          <w:rFonts w:ascii="Times New Roman" w:hAnsi="Times New Roman"/>
          <w:b w:val="0"/>
          <w:sz w:val="24"/>
        </w:rPr>
        <w:t xml:space="preserve">[14] A. C. Myers and B. Liskov, "A decentralized model for information flow control," in </w:t>
      </w:r>
      <w:r>
        <w:rPr>
          <w:rFonts w:ascii="Times New Roman" w:hAnsi="Times New Roman"/>
          <w:b w:val="0"/>
          <w:i/>
          <w:sz w:val="24"/>
        </w:rPr>
        <w:t>Proc. 16th ACM Symposium on Operating Systems Principles (SOSP)</w:t>
      </w:r>
      <w:r>
        <w:rPr>
          <w:rFonts w:ascii="Times New Roman" w:hAnsi="Times New Roman"/>
          <w:b w:val="0"/>
          <w:sz w:val="24"/>
        </w:rPr>
        <w:t>, 1997, pp. 129–142. doi: 10.1145/268998.266669.</w:t>
      </w:r>
    </w:p>
    <w:p>
      <w:r>
        <w:rPr>
          <w:rFonts w:ascii="Times New Roman" w:hAnsi="Times New Roman"/>
          <w:b w:val="0"/>
          <w:sz w:val="24"/>
        </w:rPr>
        <w:t xml:space="preserve">[15] A. Sabelfeld and A. C. Myers, "Language-based information-flow security," </w:t>
      </w:r>
      <w:r>
        <w:rPr>
          <w:rFonts w:ascii="Times New Roman" w:hAnsi="Times New Roman"/>
          <w:b w:val="0"/>
          <w:i/>
          <w:sz w:val="24"/>
        </w:rPr>
        <w:t>IEEE Journal on Selected Areas in Communications</w:t>
      </w:r>
      <w:r>
        <w:rPr>
          <w:rFonts w:ascii="Times New Roman" w:hAnsi="Times New Roman"/>
          <w:b w:val="0"/>
          <w:sz w:val="24"/>
        </w:rPr>
        <w:t>, vol. 21, no. 1, pp. 5–19, Jan. 2003. doi: 10.1109/JSAC.2002.806121.</w:t>
      </w:r>
    </w:p>
    <w:p>
      <w:r>
        <w:rPr>
          <w:rFonts w:ascii="Times New Roman" w:hAnsi="Times New Roman"/>
          <w:b w:val="0"/>
          <w:sz w:val="24"/>
        </w:rPr>
        <w:t xml:space="preserve">[16] E. Debenedetti, I. Shumailov, T. Fan, J. Hayes, N. Carlini, D. Fabian, C. Kern, C. Shi, A. Terzis, and F. Tramèr, "Defeating prompt injections by design," arXiv:2503.18813, 2025. </w:t>
      </w:r>
      <w:r>
        <w:rPr>
          <w:rFonts w:ascii="Times New Roman" w:hAnsi="Times New Roman"/>
          <w:b/>
          <w:sz w:val="24"/>
        </w:rPr>
        <w:t>[preprint]</w:t>
      </w:r>
    </w:p>
    <w:p>
      <w:r>
        <w:rPr>
          <w:rFonts w:ascii="Times New Roman" w:hAnsi="Times New Roman"/>
          <w:b w:val="0"/>
          <w:sz w:val="24"/>
        </w:rPr>
        <w:t xml:space="preserve">[17] L. Beurer-Kellner, B. Buesser, A.-M. Creţu, E. Debenedetti, D. Dobos, D. Fabian, M. Fischer, D. Froelicher, K. Grosse, D. Naeff, E. Ozoani, A. Paverd, F. Tramèr, and V. Volhejn, "Design patterns for securing LLM agents against prompt injections," arXiv:2506.08837, 2025. </w:t>
      </w:r>
      <w:r>
        <w:rPr>
          <w:rFonts w:ascii="Times New Roman" w:hAnsi="Times New Roman"/>
          <w:b/>
          <w:sz w:val="24"/>
        </w:rPr>
        <w:t>[preprint]</w:t>
      </w:r>
    </w:p>
    <w:p>
      <w:r>
        <w:rPr>
          <w:rFonts w:ascii="Times New Roman" w:hAnsi="Times New Roman"/>
          <w:b w:val="0"/>
          <w:sz w:val="24"/>
        </w:rPr>
        <w:t xml:space="preserve">[18] F. Wu, E. Cecchetti, and C. Xiao, "System-level defense against indirect prompt injection attacks: An information flow control perspective," arXiv:2409.19091, 2024. </w:t>
      </w:r>
      <w:r>
        <w:rPr>
          <w:rFonts w:ascii="Times New Roman" w:hAnsi="Times New Roman"/>
          <w:b/>
          <w:sz w:val="24"/>
        </w:rPr>
        <w:t>[preprint]</w:t>
      </w:r>
    </w:p>
    <w:p>
      <w:r>
        <w:rPr>
          <w:rFonts w:ascii="Times New Roman" w:hAnsi="Times New Roman"/>
          <w:b w:val="0"/>
          <w:sz w:val="24"/>
        </w:rPr>
        <w:t xml:space="preserve">[19] Y. Wu, F. Roesner, T. Kohno, N. Zhang, and U. Iqbal, "IsolateGPT: An execution isolation architecture for LLM-based agentic systems," in </w:t>
      </w:r>
      <w:r>
        <w:rPr>
          <w:rFonts w:ascii="Times New Roman" w:hAnsi="Times New Roman"/>
          <w:b w:val="0"/>
          <w:i/>
          <w:sz w:val="24"/>
        </w:rPr>
        <w:t>Proc. Network and Distributed System Security Symposium (NDSS)</w:t>
      </w:r>
      <w:r>
        <w:rPr>
          <w:rFonts w:ascii="Times New Roman" w:hAnsi="Times New Roman"/>
          <w:b w:val="0"/>
          <w:sz w:val="24"/>
        </w:rPr>
        <w:t>, 2025.</w:t>
      </w:r>
    </w:p>
    <w:p>
      <w:r>
        <w:rPr>
          <w:rFonts w:ascii="Times New Roman" w:hAnsi="Times New Roman"/>
          <w:b w:val="0"/>
          <w:sz w:val="24"/>
        </w:rPr>
        <w:t xml:space="preserve">[20] OWASP Foundation. (2025). </w:t>
      </w:r>
      <w:r>
        <w:rPr>
          <w:rFonts w:ascii="Times New Roman" w:hAnsi="Times New Roman"/>
          <w:b w:val="0"/>
          <w:i/>
          <w:sz w:val="24"/>
        </w:rPr>
        <w:t>MCP03:2025 – Tool poisoning, OWASP MCP Top 10</w:t>
      </w:r>
      <w:r>
        <w:rPr>
          <w:rFonts w:ascii="Times New Roman" w:hAnsi="Times New Roman"/>
          <w:b w:val="0"/>
          <w:sz w:val="24"/>
        </w:rPr>
        <w:t xml:space="preserve"> [Online]. Available: https://owasp.org/www-project-mcp-top-10/</w:t>
      </w:r>
    </w:p>
    <w:p>
      <w:r>
        <w:rPr>
          <w:rFonts w:ascii="Times New Roman" w:hAnsi="Times New Roman"/>
          <w:b w:val="0"/>
          <w:sz w:val="24"/>
        </w:rPr>
        <w:t xml:space="preserve">[21] Z. Wang, Y. Gao, Y. Wang, S. Liu, H. Sun, H. Cheng, G. Shi, H. Du, and X. Li, "MCPTox: A benchmark for tool poisoning attack on real-world MCP servers," arXiv:2508.14925, 2025. </w:t>
      </w:r>
      <w:r>
        <w:rPr>
          <w:rFonts w:ascii="Times New Roman" w:hAnsi="Times New Roman"/>
          <w:b/>
          <w:sz w:val="24"/>
        </w:rPr>
        <w:t>[preprint]</w:t>
      </w:r>
    </w:p>
    <w:p>
      <w:r>
        <w:rPr>
          <w:rFonts w:ascii="Times New Roman" w:hAnsi="Times New Roman"/>
          <w:b w:val="0"/>
          <w:sz w:val="24"/>
        </w:rPr>
        <w:t xml:space="preserve">[22] Y. Guo, P. Liu, W. Ma, Z. Deng, X. Zhu, P. Di, X. Xiao, and S. Wen, "MCPXKIT: The unified toolkit for analyzing Model Context Protocol security," arXiv:2508.12538, 2025. </w:t>
      </w:r>
      <w:r>
        <w:rPr>
          <w:rFonts w:ascii="Times New Roman" w:hAnsi="Times New Roman"/>
          <w:b/>
          <w:sz w:val="24"/>
        </w:rPr>
        <w:t>[preprint]</w:t>
      </w:r>
    </w:p>
    <w:p>
      <w:r>
        <w:rPr>
          <w:rFonts w:ascii="Times New Roman" w:hAnsi="Times New Roman"/>
          <w:b w:val="0"/>
          <w:sz w:val="24"/>
        </w:rPr>
        <w:t xml:space="preserve">[23] B. Wang, Z. Liu, H. Yu, A. Yang, Y. Huang, J. Guo, H. Cheng, H. Li, and H. Wu, "MCPGuard: Automatically detecting vulnerabilities in MCP servers," arXiv:2510.23673, 2025. </w:t>
      </w:r>
      <w:r>
        <w:rPr>
          <w:rFonts w:ascii="Times New Roman" w:hAnsi="Times New Roman"/>
          <w:b/>
          <w:sz w:val="24"/>
        </w:rPr>
        <w:t>[preprint]</w:t>
      </w:r>
    </w:p>
    <w:p>
      <w:r>
        <w:rPr>
          <w:rFonts w:ascii="Times New Roman" w:hAnsi="Times New Roman"/>
          <w:b w:val="0"/>
          <w:sz w:val="24"/>
        </w:rPr>
        <w:t xml:space="preserve">[24] E. Perez, S. Huang, F. Song, T. Cai, R. Ring, J. Aslanides, A. Glaese, N. McAleese, and G. Irving, "Red teaming language models with language models," in </w:t>
      </w:r>
      <w:r>
        <w:rPr>
          <w:rFonts w:ascii="Times New Roman" w:hAnsi="Times New Roman"/>
          <w:b w:val="0"/>
          <w:i/>
          <w:sz w:val="24"/>
        </w:rPr>
        <w:t>Proc. Conference on Empirical Methods in Natural Language Processing (EMNLP)</w:t>
      </w:r>
      <w:r>
        <w:rPr>
          <w:rFonts w:ascii="Times New Roman" w:hAnsi="Times New Roman"/>
          <w:b w:val="0"/>
          <w:sz w:val="24"/>
        </w:rPr>
        <w:t>, 2022.</w:t>
      </w:r>
    </w:p>
    <w:p>
      <w:r>
        <w:rPr>
          <w:rFonts w:ascii="Times New Roman" w:hAnsi="Times New Roman"/>
          <w:b w:val="0"/>
          <w:sz w:val="24"/>
        </w:rPr>
        <w:t xml:space="preserve">[25] P. Chao, A. Robey, E. Dobriban, H. Hassani, G. J. Pappas, and E. Wong, "Jailbreaking black box large language models in twenty queries," arXiv:2310.08419, 2023. </w:t>
      </w:r>
      <w:r>
        <w:rPr>
          <w:rFonts w:ascii="Times New Roman" w:hAnsi="Times New Roman"/>
          <w:b/>
          <w:sz w:val="24"/>
        </w:rPr>
        <w:t>[preprint]</w:t>
      </w:r>
    </w:p>
    <w:p>
      <w:r>
        <w:rPr>
          <w:rFonts w:ascii="Times New Roman" w:hAnsi="Times New Roman"/>
          <w:b w:val="0"/>
          <w:sz w:val="24"/>
        </w:rPr>
        <w:t xml:space="preserve">[26] T. Shi, J. He, Z. Wang, H. Li, L. Wu, W. Guo, and D. Song, "Progent: Securing AI agents with privilege control," arXiv:2504.11703, 2025. </w:t>
      </w:r>
      <w:r>
        <w:rPr>
          <w:rFonts w:ascii="Times New Roman" w:hAnsi="Times New Roman"/>
          <w:b/>
          <w:sz w:val="24"/>
        </w:rPr>
        <w:t>[preprint]</w:t>
      </w:r>
    </w:p>
    <w:p>
      <w:r>
        <w:rPr>
          <w:rFonts w:ascii="Times New Roman" w:hAnsi="Times New Roman"/>
          <w:b w:val="0"/>
          <w:sz w:val="24"/>
        </w:rPr>
        <w:t xml:space="preserve">[27] Anthropic. </w:t>
      </w:r>
      <w:r>
        <w:rPr>
          <w:rFonts w:ascii="Times New Roman" w:hAnsi="Times New Roman"/>
          <w:b w:val="0"/>
          <w:i/>
          <w:sz w:val="24"/>
        </w:rPr>
        <w:t>Model Context Protocol specification</w:t>
      </w:r>
      <w:r>
        <w:rPr>
          <w:rFonts w:ascii="Times New Roman" w:hAnsi="Times New Roman"/>
          <w:b w:val="0"/>
          <w:sz w:val="24"/>
        </w:rPr>
        <w:t xml:space="preserve"> [Online]. Available: https://modelcontextprotocol.io/ </w:t>
      </w:r>
      <w:r>
        <w:rPr>
          <w:rFonts w:ascii="Times New Roman" w:hAnsi="Times New Roman"/>
          <w:b/>
          <w:sz w:val="24"/>
        </w:rPr>
        <w:t>[VERIFY: pin the exact specification revision targeted by the evaluation agent before final submission.]</w:t>
      </w:r>
    </w:p>
    <w:p>
      <w:r>
        <w:br w:type="page"/>
      </w:r>
    </w:p>
    <w:p>
      <w:pPr>
        <w:spacing w:after="240"/>
        <w:jc w:val="right"/>
        <w:pBdr>
          <w:bottom w:val="single" w:sz="18" w:space="4" w:color="000000"/>
        </w:pBdr>
      </w:pPr>
      <w:r>
        <w:rPr>
          <w:rFonts w:ascii="Times New Roman" w:hAnsi="Times New Roman"/>
          <w:b/>
          <w:sz w:val="32"/>
        </w:rPr>
        <w:t>APPENDIX B: PLAGIARISM REPORT</w:t>
      </w:r>
    </w:p>
    <w:p>
      <w:r>
        <w:rPr>
          <w:rFonts w:ascii="Times New Roman" w:hAnsi="Times New Roman"/>
          <w:b w:val="0"/>
          <w:sz w:val="24"/>
        </w:rPr>
        <w:t>To be attached following submission to the institutional similarity-check service.</w:t>
      </w:r>
    </w:p>
    <w:sectPr w:rsidR="00FC693F" w:rsidRPr="0006063C" w:rsidSect="00034616">
      <w:footerReference w:type="default" r:id="rId10"/>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