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Gamer work space concept. gaming set up. top view of a gaming gear, keyboard, mouse, gamepad, joystick, headset and a smartphone on a colorful desk" id="3" name="image3.jpg"/>
            <a:graphic>
              <a:graphicData uri="http://schemas.openxmlformats.org/drawingml/2006/picture">
                <pic:pic>
                  <pic:nvPicPr>
                    <pic:cNvPr descr="Gamer work space concept. gaming set up. top view of a gaming gear, keyboard, mouse, gamepad, joystick, headset and a smartphone on a colorful desk" id="0" name="image3.jpg"/>
                    <pic:cNvPicPr preferRelativeResize="0"/>
                  </pic:nvPicPr>
                  <pic:blipFill>
                    <a:blip r:embed="rId6"/>
                    <a:srcRect b="29161" l="0" r="0" t="2916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ohtizz6ue32" w:id="0"/>
      <w:bookmarkEnd w:id="0"/>
      <w:r w:rsidDel="00000000" w:rsidR="00000000" w:rsidRPr="00000000">
        <w:rPr>
          <w:rtl w:val="0"/>
        </w:rPr>
        <w:t xml:space="preserve">Web Semàntica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gqwhm97wv85a" w:id="1"/>
      <w:bookmarkEnd w:id="1"/>
      <w:r w:rsidDel="00000000" w:rsidR="00000000" w:rsidRPr="00000000">
        <w:rPr>
          <w:rtl w:val="0"/>
        </w:rPr>
        <w:t xml:space="preserve">Ontologia de les microtransaccions in-game com a model semàntic de valor, tipus i impacte econòmic en videojocs digitals.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FASE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3"/>
        </w:numPr>
        <w:rPr>
          <w:rFonts w:ascii="Lexend" w:cs="Lexend" w:eastAsia="Lexend" w:hAnsi="Lexend"/>
          <w:color w:val="41595d"/>
          <w:sz w:val="36"/>
          <w:szCs w:val="36"/>
        </w:rPr>
      </w:pPr>
      <w:bookmarkStart w:colFirst="0" w:colLast="0" w:name="_7srv9dijbhfd" w:id="2"/>
      <w:bookmarkEnd w:id="2"/>
      <w:r w:rsidDel="00000000" w:rsidR="00000000" w:rsidRPr="00000000">
        <w:rPr>
          <w:rtl w:val="0"/>
        </w:rPr>
        <w:t xml:space="preserve">   Objectiu central i pregunta de recerca</w:t>
      </w:r>
    </w:p>
    <w:p w:rsidR="00000000" w:rsidDel="00000000" w:rsidP="00000000" w:rsidRDefault="00000000" w:rsidRPr="00000000" w14:paraId="00000009">
      <w:pPr>
        <w:pStyle w:val="Heading3"/>
        <w:ind w:left="1260" w:right="2550" w:firstLine="0"/>
        <w:rPr/>
      </w:pPr>
      <w:bookmarkStart w:colFirst="0" w:colLast="0" w:name="_z1p9r0goh359" w:id="3"/>
      <w:bookmarkEnd w:id="3"/>
      <w:r w:rsidDel="00000000" w:rsidR="00000000" w:rsidRPr="00000000">
        <w:rPr>
          <w:rtl w:val="0"/>
        </w:rPr>
        <w:t xml:space="preserve">Definició inicial del projecte</w:t>
      </w:r>
    </w:p>
    <w:p w:rsidR="00000000" w:rsidDel="00000000" w:rsidP="00000000" w:rsidRDefault="00000000" w:rsidRPr="00000000" w14:paraId="0000000A">
      <w:pPr>
        <w:ind w:left="1260" w:right="1290" w:firstLine="0"/>
        <w:rPr/>
      </w:pPr>
      <w:r w:rsidDel="00000000" w:rsidR="00000000" w:rsidRPr="00000000">
        <w:rPr>
          <w:rtl w:val="0"/>
        </w:rPr>
        <w:t xml:space="preserve">Explorar el paper de les microtransaccions dins del mercat dels videojocs digitals, analitzant com influeixen en la percepció de valor, el comportament del jugador i l’evolució del model econòmic del sector.</w:t>
      </w:r>
    </w:p>
    <w:p w:rsidR="00000000" w:rsidDel="00000000" w:rsidP="00000000" w:rsidRDefault="00000000" w:rsidRPr="00000000" w14:paraId="0000000B">
      <w:pPr>
        <w:ind w:left="1260" w:right="1290" w:firstLine="0"/>
        <w:rPr/>
      </w:pPr>
      <w:r w:rsidDel="00000000" w:rsidR="00000000" w:rsidRPr="00000000">
        <w:rPr>
          <w:rtl w:val="0"/>
        </w:rPr>
        <w:t xml:space="preserve">L’objectiu és crear una ontologia que permeti representar i analitzar les relacions entre videojocs, tipus de microtransaccions, monedes virtuals, empreses desenvolupadores i patrons de consum.</w:t>
      </w:r>
    </w:p>
    <w:p w:rsidR="00000000" w:rsidDel="00000000" w:rsidP="00000000" w:rsidRDefault="00000000" w:rsidRPr="00000000" w14:paraId="0000000C">
      <w:pPr>
        <w:ind w:left="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2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720"/>
        <w:gridCol w:w="5760"/>
        <w:tblGridChange w:id="0">
          <w:tblGrid>
            <w:gridCol w:w="4320"/>
            <w:gridCol w:w="72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57500" cy="1600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Style w:val="Heading1"/>
              <w:numPr>
                <w:ilvl w:val="0"/>
                <w:numId w:val="2"/>
              </w:numPr>
              <w:ind w:left="720" w:right="0"/>
              <w:rPr>
                <w:rFonts w:ascii="Lexend" w:cs="Lexend" w:eastAsia="Lexend" w:hAnsi="Lexend"/>
                <w:color w:val="41595d"/>
                <w:sz w:val="36"/>
                <w:szCs w:val="36"/>
              </w:rPr>
            </w:pPr>
            <w:bookmarkStart w:colFirst="0" w:colLast="0" w:name="_2ir8yypjabhd" w:id="4"/>
            <w:bookmarkEnd w:id="4"/>
            <w:r w:rsidDel="00000000" w:rsidR="00000000" w:rsidRPr="00000000">
              <w:rPr>
                <w:rtl w:val="0"/>
              </w:rPr>
              <w:t xml:space="preserve">Abast i límits del domini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ind w:left="720" w:right="1170" w:firstLine="0"/>
              <w:rPr/>
            </w:pPr>
            <w:bookmarkStart w:colFirst="0" w:colLast="0" w:name="_o1hjonmz26gd" w:id="5"/>
            <w:bookmarkEnd w:id="5"/>
            <w:r w:rsidDel="00000000" w:rsidR="00000000" w:rsidRPr="00000000">
              <w:rPr>
                <w:rtl w:val="0"/>
              </w:rPr>
              <w:t xml:space="preserve">L’ontologia se centrarà en videojocs que incorporin algun tipus de microtransacció documentada.</w:t>
            </w:r>
          </w:p>
          <w:p w:rsidR="00000000" w:rsidDel="00000000" w:rsidP="00000000" w:rsidRDefault="00000000" w:rsidRPr="00000000" w14:paraId="00000012">
            <w:pPr>
              <w:pStyle w:val="Heading3"/>
              <w:ind w:left="720" w:right="1170" w:firstLine="0"/>
              <w:rPr/>
            </w:pPr>
            <w:bookmarkStart w:colFirst="0" w:colLast="0" w:name="_hqc34eux37ab" w:id="6"/>
            <w:bookmarkEnd w:id="6"/>
            <w:r w:rsidDel="00000000" w:rsidR="00000000" w:rsidRPr="00000000">
              <w:rPr>
                <w:rtl w:val="0"/>
              </w:rPr>
              <w:t xml:space="preserve">Els jocs que </w:t>
            </w:r>
            <w:r w:rsidDel="00000000" w:rsidR="00000000" w:rsidRPr="00000000">
              <w:rPr>
                <w:b w:val="1"/>
                <w:rtl w:val="0"/>
              </w:rPr>
              <w:t xml:space="preserve">no disposin de microtransaccions</w:t>
            </w:r>
            <w:r w:rsidDel="00000000" w:rsidR="00000000" w:rsidRPr="00000000">
              <w:rPr>
                <w:rtl w:val="0"/>
              </w:rPr>
              <w:t xml:space="preserve"> s’inclouran també, com a grup de control dins del domini, per facilitar la comparació entre models econòmics.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2"/>
              </w:numPr>
              <w:spacing w:after="80" w:lineRule="auto"/>
              <w:ind w:left="1080" w:hanging="360"/>
            </w:pPr>
            <w:r w:rsidDel="00000000" w:rsidR="00000000" w:rsidRPr="00000000">
              <w:rPr>
                <w:rtl w:val="0"/>
              </w:rPr>
              <w:t xml:space="preserve">Jocs digitals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2"/>
              </w:numPr>
              <w:spacing w:after="80" w:lineRule="auto"/>
              <w:ind w:left="1080" w:hanging="360"/>
            </w:pPr>
            <w:r w:rsidDel="00000000" w:rsidR="00000000" w:rsidRPr="00000000">
              <w:rPr>
                <w:rtl w:val="0"/>
              </w:rPr>
              <w:t xml:space="preserve">Jocs de desenvolupadors independents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2"/>
              </w:numPr>
              <w:spacing w:after="80" w:lineRule="auto"/>
              <w:ind w:left="1080" w:hanging="360"/>
            </w:pPr>
            <w:r w:rsidDel="00000000" w:rsidR="00000000" w:rsidRPr="00000000">
              <w:rPr>
                <w:rtl w:val="0"/>
              </w:rPr>
              <w:t xml:space="preserve">Jocs de plataformes obertes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"/>
              </w:numPr>
              <w:spacing w:after="80" w:lineRule="auto"/>
              <w:ind w:left="10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Jocs mòbils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2"/>
              </w:numPr>
              <w:spacing w:after="80" w:lineRule="auto"/>
              <w:ind w:left="10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Jocs sense microtransaccions ordinador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spacing w:after="80" w:lineRule="auto"/>
              <w:ind w:left="10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Jocs sense microtransaccions mòbils</w:t>
            </w:r>
          </w:p>
        </w:tc>
      </w:tr>
    </w:tbl>
    <w:p w:rsidR="00000000" w:rsidDel="00000000" w:rsidP="00000000" w:rsidRDefault="00000000" w:rsidRPr="00000000" w14:paraId="00000019">
      <w:pPr>
        <w:ind w:left="12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720"/>
        <w:gridCol w:w="4320"/>
        <w:tblGridChange w:id="0">
          <w:tblGrid>
            <w:gridCol w:w="5760"/>
            <w:gridCol w:w="7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numPr>
                <w:ilvl w:val="0"/>
                <w:numId w:val="1"/>
              </w:numPr>
              <w:ind w:left="720" w:right="0"/>
              <w:rPr>
                <w:rFonts w:ascii="Lexend" w:cs="Lexend" w:eastAsia="Lexend" w:hAnsi="Lexend"/>
                <w:color w:val="41595d"/>
                <w:sz w:val="36"/>
                <w:szCs w:val="36"/>
              </w:rPr>
            </w:pPr>
            <w:bookmarkStart w:colFirst="0" w:colLast="0" w:name="_t1it1c9nr59e" w:id="7"/>
            <w:bookmarkEnd w:id="7"/>
            <w:r w:rsidDel="00000000" w:rsidR="00000000" w:rsidRPr="00000000">
              <w:rPr>
                <w:rtl w:val="0"/>
              </w:rPr>
              <w:t xml:space="preserve">Fonts de dades previstes</w:t>
            </w:r>
          </w:p>
          <w:p w:rsidR="00000000" w:rsidDel="00000000" w:rsidP="00000000" w:rsidRDefault="00000000" w:rsidRPr="00000000" w14:paraId="0000001B">
            <w:pPr>
              <w:pStyle w:val="Heading3"/>
              <w:ind w:left="720" w:right="1170" w:firstLine="0"/>
              <w:rPr/>
            </w:pPr>
            <w:bookmarkStart w:colFirst="0" w:colLast="0" w:name="_iv8j7oo8g6k" w:id="8"/>
            <w:bookmarkEnd w:id="8"/>
            <w:r w:rsidDel="00000000" w:rsidR="00000000" w:rsidRPr="00000000">
              <w:rPr>
                <w:rtl w:val="0"/>
              </w:rPr>
              <w:t xml:space="preserve">conjunt de datasets oberts i verificats provinents de plataformes acadèmiques i repositoris de dades públiques</w:t>
            </w:r>
          </w:p>
          <w:p w:rsidR="00000000" w:rsidDel="00000000" w:rsidP="00000000" w:rsidRDefault="00000000" w:rsidRPr="00000000" w14:paraId="0000001C">
            <w:pPr>
              <w:spacing w:after="8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320.0" w:type="dxa"/>
              <w:jc w:val="left"/>
              <w:tblInd w:w="14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4"/>
              <w:gridCol w:w="864"/>
              <w:gridCol w:w="864"/>
              <w:gridCol w:w="864"/>
              <w:gridCol w:w="864"/>
              <w:tblGridChange w:id="0">
                <w:tblGrid>
                  <w:gridCol w:w="864"/>
                  <w:gridCol w:w="864"/>
                  <w:gridCol w:w="864"/>
                  <w:gridCol w:w="864"/>
                  <w:gridCol w:w="8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Tipus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Nom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Plataforma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Propòsit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URL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Catàlegs de jocs digitals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GOG Games Dataset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Kaggle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Definir les entitats Joc i Empresa, incloent dades de preu, valoracions, plataforma i data de llançament.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Microtransaccions reals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Mobile Game In-App Purchases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Kaggle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Modelar Microtransacció, Usuari, MonedaVirtual i ValorEconòmic. Inclou informació d’usuaris, imports i tipus de compra.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Economies virtuals estructurades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Mobile/PC/Social Games Virtual Goods &amp; Currencies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Figshare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Modelar Microtransacció, Usuari, MonedaVirtual i ValorEconòmic. Inclou informació d’usuaris, imports i tipus de compra.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Comportament dels jugadors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Online Gaming Insights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GitHub/Kaggle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Descriure patrons de despesa i ús per classe Usuari i Comportament.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Economia Freemium i màrqueting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Marketing Freemium Game Data – ad_spend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Kaggle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Modelar la dimensió publicitària i d’adquisició d’usuaris, vinculant Empresa, Campanya i Conversió.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after="8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3657600" cy="4557757"/>
                  <wp:effectExtent b="0" l="0" r="0" t="0"/>
                  <wp:docPr descr="Peach sphere coming out of a tube on a balancing see saw.&#10;" id="4" name="image4.jpg"/>
                  <a:graphic>
                    <a:graphicData uri="http://schemas.openxmlformats.org/drawingml/2006/picture">
                      <pic:pic>
                        <pic:nvPicPr>
                          <pic:cNvPr descr="Peach sphere coming out of a tube on a balancing see saw.&#10;" id="0" name="image4.jpg"/>
                          <pic:cNvPicPr preferRelativeResize="0"/>
                        </pic:nvPicPr>
                        <pic:blipFill>
                          <a:blip r:embed="rId8"/>
                          <a:srcRect b="0" l="27429" r="2742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57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12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720"/>
        <w:gridCol w:w="5760"/>
        <w:tblGridChange w:id="0">
          <w:tblGrid>
            <w:gridCol w:w="4320"/>
            <w:gridCol w:w="72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0" w:befor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288000" cy="10287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028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3657600" cy="4557757"/>
                  <wp:effectExtent b="0" l="0" r="0" t="0"/>
                  <wp:docPr descr="a white ball on a striped blue surface" id="1" name="image1.jpg"/>
                  <a:graphic>
                    <a:graphicData uri="http://schemas.openxmlformats.org/drawingml/2006/picture">
                      <pic:pic>
                        <pic:nvPicPr>
                          <pic:cNvPr descr="a white ball on a striped blue surface" id="0" name="image1.jpg"/>
                          <pic:cNvPicPr preferRelativeResize="0"/>
                        </pic:nvPicPr>
                        <pic:blipFill>
                          <a:blip r:embed="rId10"/>
                          <a:srcRect b="0" l="4815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57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Style w:val="Heading1"/>
              <w:numPr>
                <w:ilvl w:val="0"/>
                <w:numId w:val="4"/>
              </w:numPr>
              <w:ind w:left="720" w:right="0"/>
              <w:rPr>
                <w:rFonts w:ascii="Lexend" w:cs="Lexend" w:eastAsia="Lexend" w:hAnsi="Lexend"/>
                <w:color w:val="41595d"/>
                <w:sz w:val="36"/>
                <w:szCs w:val="36"/>
              </w:rPr>
            </w:pPr>
            <w:bookmarkStart w:colFirst="0" w:colLast="0" w:name="_mxgkz9ejg7b0" w:id="9"/>
            <w:bookmarkEnd w:id="9"/>
            <w:r w:rsidDel="00000000" w:rsidR="00000000" w:rsidRPr="00000000">
              <w:rPr>
                <w:rtl w:val="0"/>
              </w:rPr>
              <w:t xml:space="preserve">Estructura conceptual inicial (esbós de l’ontologia)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3"/>
              <w:ind w:left="720" w:right="1170" w:firstLine="0"/>
              <w:rPr/>
            </w:pPr>
            <w:bookmarkStart w:colFirst="0" w:colLast="0" w:name="_7tirv88x3a10" w:id="10"/>
            <w:bookmarkEnd w:id="10"/>
            <w:r w:rsidDel="00000000" w:rsidR="00000000" w:rsidRPr="00000000">
              <w:rPr>
                <w:rtl w:val="0"/>
              </w:rPr>
              <w:t xml:space="preserve">L’ontologia proposada pretén representar les relacions econòmiques, socials i de valor que es produeixen dins dels videojocs digitals mitjançant microtransaccions i economies virtuals.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 realitza → Microtransacció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Microtransacció utilitza → MonedaVirtual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Microtransacció adquireix → ObjecteVirtual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ObjecteVirtual pertany a → Joc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Joc és desenvolupat per → Empresa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Microtransacció té valor → ValorEconòmic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Campanya promou → Joc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4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Comportament descriu → Usuari</w:t>
            </w:r>
          </w:p>
          <w:p w:rsidR="00000000" w:rsidDel="00000000" w:rsidP="00000000" w:rsidRDefault="00000000" w:rsidRPr="00000000" w14:paraId="0000004B">
            <w:pPr>
              <w:spacing w:after="8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SemiBold">
    <w:embedRegular w:fontKey="{00000000-0000-0000-0000-000000000000}" r:id="rId1" w:subsetted="0"/>
    <w:embedBold w:fontKey="{00000000-0000-0000-0000-000000000000}" r:id="rId2" w:subsetted="0"/>
  </w:font>
  <w:font w:name="Lexend Light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Zero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Zero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Zero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Zero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03030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400" w:line="240" w:lineRule="auto"/>
      <w:ind w:right="3270"/>
    </w:pPr>
    <w:rPr>
      <w:rFonts w:ascii="Merriweather" w:cs="Merriweather" w:eastAsia="Merriweather" w:hAnsi="Merriweather"/>
      <w:color w:val="41595d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spacing w:after="400" w:before="400" w:line="240" w:lineRule="auto"/>
    </w:pPr>
    <w:rPr>
      <w:rFonts w:ascii="Merriweather" w:cs="Merriweather" w:eastAsia="Merriweather" w:hAnsi="Merriweather"/>
      <w:color w:val="41595d"/>
      <w:sz w:val="60"/>
      <w:szCs w:val="60"/>
    </w:rPr>
  </w:style>
  <w:style w:type="paragraph" w:styleId="Heading3">
    <w:name w:val="heading 3"/>
    <w:basedOn w:val="Normal"/>
    <w:next w:val="Normal"/>
    <w:pPr>
      <w:keepNext w:val="1"/>
      <w:keepLines w:val="1"/>
      <w:spacing w:after="300" w:lineRule="auto"/>
    </w:pPr>
    <w:rPr>
      <w:rFonts w:ascii="Lexend" w:cs="Lexend" w:eastAsia="Lexend" w:hAnsi="Lexend"/>
      <w:i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Merriweather" w:cs="Merriweather" w:eastAsia="Merriweather" w:hAnsi="Merriweather"/>
      <w:b w:val="1"/>
      <w:color w:val="41595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Lexend SemiBold" w:cs="Lexend SemiBold" w:eastAsia="Lexend SemiBold" w:hAnsi="Lexend SemiBold"/>
      <w:color w:val="41595d"/>
      <w:sz w:val="40"/>
      <w:szCs w:val="40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Lexend SemiBold" w:cs="Lexend SemiBold" w:eastAsia="Lexend SemiBold" w:hAnsi="Lexend SemiBold"/>
    </w:rPr>
  </w:style>
  <w:style w:type="paragraph" w:styleId="Title">
    <w:name w:val="Title"/>
    <w:basedOn w:val="Normal"/>
    <w:next w:val="Normal"/>
    <w:pPr>
      <w:keepNext w:val="1"/>
      <w:keepLines w:val="1"/>
      <w:spacing w:before="400" w:line="240" w:lineRule="auto"/>
      <w:jc w:val="center"/>
    </w:pPr>
    <w:rPr>
      <w:rFonts w:ascii="Merriweather" w:cs="Merriweather" w:eastAsia="Merriweather" w:hAnsi="Merriweather"/>
      <w:color w:val="41595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Rule="auto"/>
      <w:jc w:val="center"/>
    </w:pPr>
    <w:rPr>
      <w:color w:val="41595d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Light-regular.ttf"/><Relationship Id="rId4" Type="http://schemas.openxmlformats.org/officeDocument/2006/relationships/font" Target="fonts/LexendLight-bold.ttf"/><Relationship Id="rId10" Type="http://schemas.openxmlformats.org/officeDocument/2006/relationships/font" Target="fonts/Merriweather-boldItalic.ttf"/><Relationship Id="rId9" Type="http://schemas.openxmlformats.org/officeDocument/2006/relationships/font" Target="fonts/Merriweather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