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1A389" w14:textId="759C0A94" w:rsidR="00F4330D" w:rsidRPr="00DF716D" w:rsidRDefault="00F4330D" w:rsidP="00F4330D">
      <w:pPr>
        <w:pStyle w:val="Heading1"/>
      </w:pPr>
      <w:r>
        <w:t>Is it worth building the South Florida seawall?</w:t>
      </w:r>
    </w:p>
    <w:p w14:paraId="37940DD7" w14:textId="6DDE9ACC" w:rsidR="00F4330D" w:rsidRDefault="00F4330D" w:rsidP="005D2D05">
      <w:pPr>
        <w:tabs>
          <w:tab w:val="left" w:pos="7218"/>
        </w:tabs>
        <w:ind w:firstLine="0"/>
      </w:pPr>
      <w:r>
        <w:t>By Wataru Hoeltermann</w:t>
      </w:r>
      <w:r w:rsidR="005D2D05">
        <w:t>.</w:t>
      </w:r>
      <w:r>
        <w:t xml:space="preserve"> </w:t>
      </w:r>
      <w:r w:rsidR="005D2D05">
        <w:tab/>
      </w:r>
      <w:r>
        <w:t>November 17</w:t>
      </w:r>
      <w:proofErr w:type="gramStart"/>
      <w:r w:rsidRPr="00E341E9">
        <w:rPr>
          <w:vertAlign w:val="superscript"/>
        </w:rPr>
        <w:t>th</w:t>
      </w:r>
      <w:r>
        <w:t xml:space="preserve"> ,</w:t>
      </w:r>
      <w:proofErr w:type="gramEnd"/>
      <w:r>
        <w:t xml:space="preserve"> 2020</w:t>
      </w:r>
    </w:p>
    <w:p w14:paraId="5A0E0382" w14:textId="51863B57" w:rsidR="00BF34BB" w:rsidRDefault="00BF34BB" w:rsidP="00F4330D">
      <w:pPr>
        <w:pStyle w:val="Heading1"/>
      </w:pPr>
      <w:r>
        <w:t>Abstract</w:t>
      </w:r>
    </w:p>
    <w:p w14:paraId="63DC9CE0" w14:textId="5D96113D" w:rsidR="00F4330D" w:rsidRDefault="00F4330D" w:rsidP="00F4330D">
      <w:pPr>
        <w:ind w:firstLine="0"/>
      </w:pPr>
      <w:r>
        <w:tab/>
      </w:r>
      <w:r w:rsidR="00AC76A3" w:rsidRPr="00AC76A3">
        <w:t>The costs associated with sea level rise are immediately evident in coastal regions, where risks manifest through increasing property insurance premium rates. In response to extreme weather damage from hurricanes and typhoons, many coastal areas are considering seawall construction, although the effectiveness and cost justification of such projects remain in question. This analysis utilizes insurance premium data from Florida's Office of Insurance Regulation (2009-2019) and NOAA sea-level data to evaluate the economic impact of constructing a seawall in South Florida, questioning whether potential premium reductions justify the associated costs. While South Florida is contemplating a seawall project, there is uncertainty regarding its viability. A benefit-cost analysis comparing scenarios with and without the seawall will determine the maximum construction cost that can be justified. Despite being a public good, the seawall may pose negative social effects on coastal areas due to its potentially unattractive appearance.</w:t>
      </w:r>
    </w:p>
    <w:p w14:paraId="235DB9D0" w14:textId="77777777" w:rsidR="00A46934" w:rsidRDefault="00A46934" w:rsidP="00A46934">
      <w:pPr>
        <w:ind w:firstLine="0"/>
      </w:pPr>
    </w:p>
    <w:p w14:paraId="217B2860" w14:textId="1DD87A66" w:rsidR="00F4330D" w:rsidRDefault="00F4330D" w:rsidP="00A46934">
      <w:pPr>
        <w:ind w:firstLine="0"/>
      </w:pPr>
      <w:r>
        <w:t xml:space="preserve">JEL </w:t>
      </w:r>
      <w:r w:rsidR="00A46934" w:rsidRPr="00A46934">
        <w:t>D52 Incomplete Markets, D58 Computable and Other Applied General Equilibrium Models, D61 Cost-Benefit Analysis, G22 Insurance, H23 Environmental Taxes and Subsidies, H41 Public Goods, Q25 Water, Q51 Valuation of Environmental Effects, Q52 Distributional Effects, Q54 Climate, Q56 Environment and Development, R21 Infrastructure, R32 Other Spatial Production and Pricing Analysis, R38 Government Policy</w:t>
      </w:r>
      <w:r w:rsidR="002F121D">
        <w:t>.</w:t>
      </w:r>
    </w:p>
    <w:p w14:paraId="09A31B06" w14:textId="6B7E6586" w:rsidR="00F4330D" w:rsidRDefault="00F4330D" w:rsidP="00D7115A">
      <w:pPr>
        <w:ind w:firstLine="0"/>
        <w:rPr>
          <w:rFonts w:eastAsiaTheme="majorEastAsia" w:cstheme="majorBidi"/>
          <w:b/>
          <w:szCs w:val="32"/>
          <w:u w:val="single"/>
        </w:rPr>
      </w:pPr>
      <w:r>
        <w:br w:type="page"/>
      </w:r>
    </w:p>
    <w:p w14:paraId="7A8F7A66" w14:textId="67CD598E" w:rsidR="00BF34BB" w:rsidRDefault="00BF34BB" w:rsidP="00877306">
      <w:pPr>
        <w:pStyle w:val="Heading1"/>
      </w:pPr>
      <w:r>
        <w:lastRenderedPageBreak/>
        <w:t>Introduction</w:t>
      </w:r>
    </w:p>
    <w:p w14:paraId="09E7F4F6" w14:textId="1ECA75DC" w:rsidR="00A74555" w:rsidRDefault="00A74555" w:rsidP="00A74555">
      <w:r>
        <w:t>There are many papers that project the damages from sea level rise to be in the hundreds of billions for the next couple of decades to come. Given the high costs associated with not constructing a seawall, insurance regulation and policy adaptation have become critical. This cost is typically battled through seawall structures and draining systems to prevent flood damage. Other damages can be seen through increasing inclement weather that increases the standards to develop a structure near the coast, overall increasing development costs for coastal areas. Florida has been seen as a large example of devastating effects from increasing inclement conditions, with its increasing efforts towards development policy and insurance regulation to combat the increasing costs of sea level rise.</w:t>
      </w:r>
    </w:p>
    <w:p w14:paraId="67C8CB8C" w14:textId="128F6A12" w:rsidR="00A74555" w:rsidRDefault="00A74555" w:rsidP="00A74555">
      <w:r>
        <w:t>In Florida, many analysts propose seawall structures, pumping systems, and new sewer systems to overcome the flooding, storm surges, and other high tide-related issues from sea level rise. The population in coastal regions grows three times faster than non-coastal regions. Backing the physical infrastructure is the increase in insurance costs towards coastal areas to internalize the costs of extreme weather wind conditions. Despite these increasing costs to live by the coast in Florida, the Congressional Budget Office (CBO) reports that the population in coastal regions grows three times faster than non-coastal regions.</w:t>
      </w:r>
    </w:p>
    <w:p w14:paraId="5D9A729E" w14:textId="22E4F56E" w:rsidR="00D822F6" w:rsidRDefault="00A74555" w:rsidP="00A74555">
      <w:r>
        <w:t xml:space="preserve">However, the proposed seawall structures used in other coastal areas are not necessarily effective due to the porous limestone that underlies many buildings. Proposed seawall structures are not necessarily effective in fully mitigating flood risk due to South Florida's porous limestone foundation, potentially limiting any reduction in insurance premiums. Even if a large seawall were constructed around Florida, storm surge and flooding would still be prevalent, as water can travel through the limestone and be emitted from the ground. This report hypothesizes that constructing </w:t>
      </w:r>
      <w:r>
        <w:lastRenderedPageBreak/>
        <w:t>a seawall in South Florida will not reduce insurance premiums sufficiently to outweigh the total construction costs, resulting in a net negative social welfare impact.</w:t>
      </w:r>
    </w:p>
    <w:p w14:paraId="1355FCCE" w14:textId="6FD159C2" w:rsidR="00BF34BB" w:rsidRDefault="00BF34BB" w:rsidP="00877306">
      <w:pPr>
        <w:pStyle w:val="Heading1"/>
      </w:pPr>
      <w:r>
        <w:t>Literature Review</w:t>
      </w:r>
    </w:p>
    <w:p w14:paraId="6403A3EE" w14:textId="2390633F" w:rsidR="007F21F4" w:rsidRDefault="00877306" w:rsidP="00F4330D">
      <w:r>
        <w:t xml:space="preserve">In 2011, Japan had suffered </w:t>
      </w:r>
      <w:r w:rsidR="00FC7D5E">
        <w:t>$</w:t>
      </w:r>
      <w:r>
        <w:t xml:space="preserve">211 billion </w:t>
      </w:r>
      <w:r w:rsidR="00790244">
        <w:t>(</w:t>
      </w:r>
      <w:r w:rsidR="00375013">
        <w:t>2013 US</w:t>
      </w:r>
      <w:r w:rsidR="00790244">
        <w:t>)</w:t>
      </w:r>
      <w:r w:rsidR="00375013">
        <w:t xml:space="preserve"> </w:t>
      </w:r>
      <w:r>
        <w:t xml:space="preserve">of direct damage immediately from the Tohoku </w:t>
      </w:r>
      <w:r w:rsidR="00D822F6">
        <w:t>tsunami</w:t>
      </w:r>
      <w:r>
        <w:t xml:space="preserve"> and earthquake, marking it the costliest natural disaster on record. Beyond the direct damage, it also disrupted the economy with large losses in GDP, supply-chain disruptions, and even tourism due to the fear from radiation. (Kajitani</w:t>
      </w:r>
      <w:r w:rsidR="001A6EB5">
        <w:t xml:space="preserve"> 2013</w:t>
      </w:r>
      <w:r>
        <w:t>). The death toll from Tohoku was 19,729 (</w:t>
      </w:r>
      <w:r w:rsidR="001A6EB5">
        <w:t>Reconstruction Agency</w:t>
      </w:r>
      <w:r>
        <w:t xml:space="preserve">). </w:t>
      </w:r>
      <w:r w:rsidR="000420A5">
        <w:t>In response, Japan has upgraded their seawalls from being 4 meters high to 12.5 meters high for around 245 miles costing 12.74 billion</w:t>
      </w:r>
      <w:r w:rsidR="00375013">
        <w:t xml:space="preserve"> US dollars (</w:t>
      </w:r>
      <w:r w:rsidR="000420A5">
        <w:t xml:space="preserve">Frederic). </w:t>
      </w:r>
    </w:p>
    <w:p w14:paraId="58442F2F" w14:textId="3B6A56C2" w:rsidR="000420A5" w:rsidRDefault="00E063AB" w:rsidP="00F4330D">
      <w:r>
        <w:t>In 2005, New Orleans suffered $</w:t>
      </w:r>
      <w:r w:rsidR="00F72544">
        <w:t>40 billion</w:t>
      </w:r>
      <w:r>
        <w:t xml:space="preserve"> dollars of damage. The death toll from Hurricane Katrina was approximately 1500 (</w:t>
      </w:r>
      <w:r w:rsidR="001A6EB5">
        <w:t>Boyd 2006</w:t>
      </w:r>
      <w:r>
        <w:t>)</w:t>
      </w:r>
      <w:r w:rsidR="000420A5">
        <w:t>. In New Orleans, the seawall constructed was</w:t>
      </w:r>
      <w:r w:rsidR="00374C20">
        <w:t xml:space="preserve"> 8 meters high and</w:t>
      </w:r>
      <w:r w:rsidR="000420A5">
        <w:t xml:space="preserve"> 1.4 miles long </w:t>
      </w:r>
      <w:r w:rsidR="00374C20">
        <w:t xml:space="preserve">costing </w:t>
      </w:r>
      <w:r w:rsidR="006B63EC">
        <w:t>$</w:t>
      </w:r>
      <w:r w:rsidR="007F21F4">
        <w:t xml:space="preserve">14 billion </w:t>
      </w:r>
      <w:r w:rsidR="00374C20">
        <w:t>which included the</w:t>
      </w:r>
      <w:r w:rsidR="000420A5">
        <w:t xml:space="preserve"> construct</w:t>
      </w:r>
      <w:r w:rsidR="00374C20">
        <w:t>ion</w:t>
      </w:r>
      <w:r w:rsidR="000420A5">
        <w:t xml:space="preserve"> with </w:t>
      </w:r>
      <w:r w:rsidR="007F21F4">
        <w:t xml:space="preserve">levees to </w:t>
      </w:r>
      <w:r w:rsidR="006B63EC">
        <w:t>improve</w:t>
      </w:r>
      <w:r w:rsidR="007F21F4">
        <w:t xml:space="preserve"> the</w:t>
      </w:r>
      <w:r w:rsidR="00374C20">
        <w:t xml:space="preserve"> seawall’s</w:t>
      </w:r>
      <w:r w:rsidR="007F21F4">
        <w:t xml:space="preserve"> effectiveness</w:t>
      </w:r>
      <w:r w:rsidR="001A6EB5">
        <w:t xml:space="preserve"> (RAND)</w:t>
      </w:r>
      <w:r w:rsidR="007F21F4">
        <w:t xml:space="preserve">. </w:t>
      </w:r>
    </w:p>
    <w:p w14:paraId="5734D622" w14:textId="15DF1AB3" w:rsidR="002F71DE" w:rsidRDefault="00E22189" w:rsidP="0054484B">
      <w:r>
        <w:t xml:space="preserve">In </w:t>
      </w:r>
      <w:r w:rsidR="00074E94">
        <w:t>Florida</w:t>
      </w:r>
      <w:r>
        <w:t xml:space="preserve">, </w:t>
      </w:r>
      <w:r w:rsidR="00B3799F">
        <w:t>sea level rise is predicted to have an impact rising the mean sea level from 2000 to 2025 by 8.9 to 13.8 inches under business-as-usual practices towards the current effects</w:t>
      </w:r>
      <w:r w:rsidR="00E86711">
        <w:t xml:space="preserve"> (</w:t>
      </w:r>
      <w:r w:rsidR="00074E94">
        <w:t>Stanton and Ackerman</w:t>
      </w:r>
      <w:r w:rsidR="00E86711">
        <w:t>)</w:t>
      </w:r>
      <w:r w:rsidR="00B3799F">
        <w:t xml:space="preserve">. </w:t>
      </w:r>
      <w:r w:rsidR="00E86711">
        <w:t>However, predicting rapid stabilization towards immediate, large scale reduction in greenhouse gas emissions and good luck with global efforts the rate that global temperatures rise could remain relatively small. Under this rapid stabilization, we expect that sea level rise may only increase by 1.8 inches from 2000 to 2025 (</w:t>
      </w:r>
      <w:r w:rsidR="00074E94">
        <w:t>Stanton and Ackerman</w:t>
      </w:r>
      <w:r w:rsidR="005D2D05">
        <w:t xml:space="preserve"> 2007</w:t>
      </w:r>
      <w:r w:rsidR="00E86711">
        <w:t xml:space="preserve">). </w:t>
      </w:r>
    </w:p>
    <w:p w14:paraId="3AC23526" w14:textId="0A5E5A56" w:rsidR="00601157" w:rsidRDefault="005D2D05" w:rsidP="00F4330D">
      <w:r>
        <w:t>Building s</w:t>
      </w:r>
      <w:r w:rsidR="00E22189">
        <w:t>eawalls are estimated to cost</w:t>
      </w:r>
      <w:r w:rsidR="00B3799F">
        <w:t xml:space="preserve"> South Florida </w:t>
      </w:r>
      <w:r w:rsidR="00E22189">
        <w:t>$</w:t>
      </w:r>
      <w:r w:rsidR="00374C20">
        <w:t>2</w:t>
      </w:r>
      <w:r w:rsidR="00E22189">
        <w:t>.</w:t>
      </w:r>
      <w:r w:rsidR="00374C20">
        <w:t>05</w:t>
      </w:r>
      <w:r w:rsidR="00E22189">
        <w:t xml:space="preserve"> million to $</w:t>
      </w:r>
      <w:r w:rsidR="00374C20">
        <w:t>26</w:t>
      </w:r>
      <w:r w:rsidR="00E22189">
        <w:t>.</w:t>
      </w:r>
      <w:r w:rsidR="00374C20">
        <w:t>37</w:t>
      </w:r>
      <w:r w:rsidR="00E22189">
        <w:t xml:space="preserve"> million per mile in US dollars. (Yohe et al. 1999, </w:t>
      </w:r>
      <w:r w:rsidR="001A6EB5">
        <w:t>Hope</w:t>
      </w:r>
      <w:r w:rsidR="00E22189">
        <w:t xml:space="preserve"> </w:t>
      </w:r>
      <w:r w:rsidR="001A6EB5">
        <w:t>2008</w:t>
      </w:r>
      <w:r w:rsidR="00E22189">
        <w:t>, Kirshen et al. 2004)</w:t>
      </w:r>
      <w:r w:rsidR="00074E94">
        <w:t>.</w:t>
      </w:r>
      <w:r w:rsidR="00374C20">
        <w:t xml:space="preserve"> Constructing a seawall for South Florida would have to cover at least 4</w:t>
      </w:r>
      <w:r>
        <w:t>,</w:t>
      </w:r>
      <w:r w:rsidR="00374C20">
        <w:t xml:space="preserve">000 miles of shoreline, costing </w:t>
      </w:r>
      <w:r>
        <w:t>$</w:t>
      </w:r>
      <w:r w:rsidR="00374C20">
        <w:t xml:space="preserve">8.2 billion to </w:t>
      </w:r>
      <w:r>
        <w:t>$</w:t>
      </w:r>
      <w:r w:rsidR="00374C20">
        <w:t xml:space="preserve">105.48 billion. </w:t>
      </w:r>
      <w:r w:rsidR="00074E94">
        <w:t xml:space="preserve"> </w:t>
      </w:r>
      <w:r w:rsidR="008F6E53">
        <w:t xml:space="preserve">The Institute for Governance and Sustainable Development’s Center for Climate Integrity </w:t>
      </w:r>
      <w:r w:rsidR="008F6E53">
        <w:lastRenderedPageBreak/>
        <w:t>conducted a sea-level rise cost study proposing that Florida spend a conservative $76 billion on seawall expenses by 2040 (C</w:t>
      </w:r>
      <w:r w:rsidR="001A6EB5">
        <w:t>enter for Climate Integrity 2019</w:t>
      </w:r>
      <w:r w:rsidR="008F6E53">
        <w:t xml:space="preserve">). </w:t>
      </w:r>
    </w:p>
    <w:p w14:paraId="74D671BE" w14:textId="764216DA" w:rsidR="000C2D91" w:rsidRDefault="000C2D91" w:rsidP="000C2D91">
      <w:pPr>
        <w:keepNext/>
        <w:ind w:firstLine="0"/>
        <w:jc w:val="left"/>
      </w:pPr>
      <w:r>
        <w:rPr>
          <w:noProof/>
        </w:rPr>
        <w:drawing>
          <wp:inline distT="0" distB="0" distL="0" distR="0" wp14:anchorId="20A17D6B" wp14:editId="6073953E">
            <wp:extent cx="5943600" cy="2374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74900"/>
                    </a:xfrm>
                    <a:prstGeom prst="rect">
                      <a:avLst/>
                    </a:prstGeom>
                    <a:noFill/>
                    <a:ln>
                      <a:noFill/>
                    </a:ln>
                  </pic:spPr>
                </pic:pic>
              </a:graphicData>
            </a:graphic>
          </wp:inline>
        </w:drawing>
      </w:r>
    </w:p>
    <w:p w14:paraId="65BCCC0E" w14:textId="6DF4CE90" w:rsidR="000C2D91" w:rsidRDefault="000C2D91" w:rsidP="000C2D91">
      <w:pPr>
        <w:pStyle w:val="Caption"/>
        <w:jc w:val="left"/>
      </w:pPr>
      <w:r>
        <w:t xml:space="preserve">Figure </w:t>
      </w:r>
      <w:r>
        <w:fldChar w:fldCharType="begin"/>
      </w:r>
      <w:r>
        <w:instrText xml:space="preserve"> SEQ Figure \* ARABIC </w:instrText>
      </w:r>
      <w:r>
        <w:fldChar w:fldCharType="separate"/>
      </w:r>
      <w:r w:rsidR="002C3A30">
        <w:rPr>
          <w:noProof/>
        </w:rPr>
        <w:t>1</w:t>
      </w:r>
      <w:r>
        <w:rPr>
          <w:noProof/>
        </w:rPr>
        <w:fldChar w:fldCharType="end"/>
      </w:r>
    </w:p>
    <w:p w14:paraId="2AD66F41" w14:textId="3F5661F4" w:rsidR="00B3799F" w:rsidRDefault="00771394" w:rsidP="00E341E9">
      <w:r>
        <w:t>The Institute for Governance and Sustainable Development’s Center for Climate Integrity conducted a sea-level rise cost study proposing that Florida spend a conservative $76 billion on seawall expenses by 2040 (C</w:t>
      </w:r>
      <w:r w:rsidR="001A6EB5">
        <w:t xml:space="preserve">enter for </w:t>
      </w:r>
      <w:r>
        <w:t>C</w:t>
      </w:r>
      <w:r w:rsidR="001A6EB5">
        <w:t xml:space="preserve">limate </w:t>
      </w:r>
      <w:r>
        <w:t>I</w:t>
      </w:r>
      <w:r w:rsidR="001A6EB5">
        <w:t>ntegrity 2019</w:t>
      </w:r>
      <w:r>
        <w:t>)</w:t>
      </w:r>
      <w:r w:rsidR="008F6E53">
        <w:t>.</w:t>
      </w:r>
      <w:r>
        <w:t xml:space="preserve"> </w:t>
      </w:r>
      <w:r w:rsidR="00BF34BB">
        <w:t xml:space="preserve">One paragraph with negative effects, one paragraph with studies finding mixed effects, and one paragraph finding no differences. </w:t>
      </w:r>
      <w:r w:rsidR="008E297D">
        <w:t>We apply the damages associated with extreme weather events from sea level rise, the increasing sea level rise, and the cost from seawall to the South Florida case.</w:t>
      </w:r>
    </w:p>
    <w:p w14:paraId="67A19E8C" w14:textId="31ED4378" w:rsidR="00BF34BB" w:rsidRPr="00D23B21" w:rsidRDefault="00BF34BB" w:rsidP="00D23B21">
      <w:pPr>
        <w:pStyle w:val="Heading1"/>
      </w:pPr>
      <w:r w:rsidRPr="00D23B21">
        <w:t>Theory</w:t>
      </w:r>
    </w:p>
    <w:p w14:paraId="63276AC3" w14:textId="77777777" w:rsidR="00543413" w:rsidRDefault="00543413" w:rsidP="008E32B3">
      <w:pPr>
        <w:rPr>
          <w:rStyle w:val="Strong"/>
        </w:rPr>
      </w:pPr>
      <w:r>
        <w:t xml:space="preserve">Considering the construction of the seawall, we compare hypothetical scenarios with and without the seawall. </w:t>
      </w:r>
      <w:r w:rsidRPr="00543413">
        <w:rPr>
          <w:rStyle w:val="Strong"/>
          <w:b w:val="0"/>
          <w:bCs w:val="0"/>
        </w:rPr>
        <w:t>While constructing the seawall can prevent some potential damages caused by sea level rise, the reduction in payouts from insurance premiums may not be significant enough to lead to substantial decreases in insurance costs. The inherent question arises: is the cost of the seawall less than the benefits derived from insurance premium reductions?</w:t>
      </w:r>
      <w:r w:rsidRPr="00543413">
        <w:rPr>
          <w:b/>
          <w:bCs/>
        </w:rPr>
        <w:br/>
      </w:r>
      <w:r>
        <w:t xml:space="preserve">    We can consider the supply and demand for insurance premium rates. The supply curve </w:t>
      </w:r>
      <w:r>
        <w:lastRenderedPageBreak/>
        <w:t xml:space="preserve">represents the costs associated with risk and the administration of insurance policies, while the demand curve reflects the willingness to pay of residents and businesses. </w:t>
      </w:r>
      <w:r w:rsidRPr="00543413">
        <w:rPr>
          <w:rStyle w:val="Strong"/>
          <w:b w:val="0"/>
          <w:bCs w:val="0"/>
        </w:rPr>
        <w:t>The benefits of the seawall could act as a cost-saving input, shifting the supply curve down. However, given the factors affecting seawall effectiveness, the expected reduction in insurance premiums may be limited.</w:t>
      </w:r>
      <w:r>
        <w:br/>
        <w:t xml:space="preserve">    Since the seawall would be considered a public good, it would need to be funded through a surtax. An excise surtax could be directly applied to current insurance premiums, temporarily increasing rates until the funds are collected for the seawall. This would shift the cost of the supply curve up, increasing prices due to tax incidence. Consumers tend to be relatively inelastic to insurers (Saltzman 2017), leading to the expectation that the tax burden would primarily fall on consumers. With relatively inelastic demand and elastic supply, we anticipate that the change in quantity would be small. As we implement the surtax, the supply curve shifts upward by the surtax rate, generating government revenue from the tax rate and quantity equilibrium. </w:t>
      </w:r>
      <w:r w:rsidRPr="00543413">
        <w:rPr>
          <w:rStyle w:val="Strong"/>
          <w:b w:val="0"/>
          <w:bCs w:val="0"/>
        </w:rPr>
        <w:t>There will be a loss to consumer surplus and producer surplus, greater than the gains to government revenue, resulting in deadweight loss during the surtax period. We will compare the deadweight loss during the surtax against the social benefits from the seawall to evaluate the actual cost savings of the seawall investment.</w:t>
      </w:r>
    </w:p>
    <w:p w14:paraId="6225BA51" w14:textId="271786F1" w:rsidR="008E32B3" w:rsidRDefault="0044145F" w:rsidP="008E32B3">
      <w:r>
        <w:t>To compare the proposed seawall, we also construct a business-as-usual model to project how insurance premium rates may increase over time due to changes in sea level rise. We anticipate that sea level rise will accelerate, leading historical cost data to underrepresent the actual effects (Oppenheimer et al. 2019). When we compare the business-as-usual model of insurance premiums with the seawall proposal, the potential cost savings from the seawall may also be underestimated in our damage assessment</w:t>
      </w:r>
      <w:r w:rsidR="001A6EB5">
        <w:t>.</w:t>
      </w:r>
    </w:p>
    <w:p w14:paraId="59351C9C" w14:textId="432AE09A" w:rsidR="00BF34BB" w:rsidRDefault="00BF34BB" w:rsidP="00D23B21">
      <w:pPr>
        <w:pStyle w:val="Heading1"/>
      </w:pPr>
      <w:r>
        <w:lastRenderedPageBreak/>
        <w:t>Data</w:t>
      </w:r>
    </w:p>
    <w:p w14:paraId="6B9B3EFB" w14:textId="12559E13" w:rsidR="00A43DC9" w:rsidRDefault="006463DD" w:rsidP="00D822F6">
      <w:r>
        <w:t xml:space="preserve">The Florida Office of Insurance Regulation (OIR) compiles a list of reports on personal and commercial policy data from the Quarterly and Supplemental Reporting System (QUASR.) Their panel data </w:t>
      </w:r>
      <w:r w:rsidR="007037FA">
        <w:t>consists</w:t>
      </w:r>
      <w:r>
        <w:t xml:space="preserve"> of summary insurance premiums for each county and policy type between </w:t>
      </w:r>
      <w:r w:rsidR="007037FA">
        <w:t xml:space="preserve">March </w:t>
      </w:r>
      <w:r>
        <w:t xml:space="preserve">2009 </w:t>
      </w:r>
      <w:r w:rsidR="007037FA">
        <w:t xml:space="preserve">to December </w:t>
      </w:r>
      <w:r>
        <w:t xml:space="preserve">2019. In 2009 and 2010, their quarterly reports did not differentiate between wind coverage and lacked fire/dwelling policies for mobile homeowners. </w:t>
      </w:r>
    </w:p>
    <w:p w14:paraId="3F6BC0C9" w14:textId="5DFB1E16" w:rsidR="00C25DDC" w:rsidRDefault="00C25DDC" w:rsidP="0054484B">
      <w:r>
        <w:t xml:space="preserve">The QUASR dataset had aggregate quarterly reports that was separated into 23 different types of policies. The policies were categorized by structural and coverage differences. It differentiated whether a commercial building was a condominium, apartment, homeowner association, or condominium association. For residential buildings, this included differences for agricultural lots, mobile homes, condominium unit, </w:t>
      </w:r>
      <w:r w:rsidR="00412D23">
        <w:t>homeowner,</w:t>
      </w:r>
      <w:r>
        <w:t xml:space="preserve"> or a tenant. Each policy was further differentiated with the type of coverage, such as covering for fire, wind, water damage (structural, not weather related), and flooding.</w:t>
      </w:r>
    </w:p>
    <w:p w14:paraId="213749D1" w14:textId="5C1A827D" w:rsidR="00C25DDC" w:rsidRDefault="006463DD" w:rsidP="0054484B">
      <w:r>
        <w:t xml:space="preserve">We looked at the variables for the premium amount, quantity of active policies, policies that were cancelled and policies that were nonrenewed. Each observation was sorted to a quarter of the year, </w:t>
      </w:r>
      <w:r w:rsidR="009E09C8">
        <w:t>county,</w:t>
      </w:r>
      <w:r>
        <w:t xml:space="preserve"> and the policy type. This paper narrows the research to South Florida, focusing on the 24 counties descr</w:t>
      </w:r>
      <w:r w:rsidR="00C25DDC">
        <w:t>ibed to be part of it (Gibson 2014, Cutway 2014.) The quarterly reports were individually downloaded from the website and appended using Stata v16.</w:t>
      </w:r>
    </w:p>
    <w:p w14:paraId="6003C030" w14:textId="0AF0DC5D" w:rsidR="00DD2B75" w:rsidRDefault="00601157" w:rsidP="00DD2B75">
      <w:r>
        <w:t>The</w:t>
      </w:r>
      <w:r w:rsidR="009B057D">
        <w:t xml:space="preserve"> sample size was 22,368 and contained all positive values. Many counties did not have a certain type of policy, such as Monroe county famous for Key West did not have residential farmland, and many counties lacked mobile homeowner insurance or certain commercial insurance policies. </w:t>
      </w:r>
    </w:p>
    <w:p w14:paraId="6B3A2E06" w14:textId="50FB04B1" w:rsidR="00601157" w:rsidRDefault="00601157" w:rsidP="00601157">
      <w:r>
        <w:t>For increasing sea levels, we used the dataset provided by NOAA’s Center for Operational Oceanographic Products and Services (CO-OPS).</w:t>
      </w:r>
      <w:r w:rsidR="00B23AA6">
        <w:t xml:space="preserve"> CO-OPS had provided monthly mean sea level </w:t>
      </w:r>
      <w:r w:rsidR="00B23AA6">
        <w:lastRenderedPageBreak/>
        <w:t xml:space="preserve">differences after controlling for average seasonal cycles from January 1913 to August 2020. </w:t>
      </w:r>
      <w:r w:rsidR="001C71F8">
        <w:t xml:space="preserve">Predicted with the variation of the tides, </w:t>
      </w:r>
    </w:p>
    <w:p w14:paraId="281BC31F" w14:textId="03740F32" w:rsidR="00B23AA6" w:rsidRDefault="00B23AA6" w:rsidP="00601157"/>
    <w:p w14:paraId="311650F9" w14:textId="01E812A7" w:rsidR="001C71F8" w:rsidRDefault="001C71F8" w:rsidP="00601157"/>
    <w:p w14:paraId="572A3CE3" w14:textId="65C5218A" w:rsidR="004768CF" w:rsidRDefault="004768CF" w:rsidP="00D23B21">
      <w:pPr>
        <w:pStyle w:val="Heading1"/>
      </w:pPr>
      <w:r w:rsidRPr="00375013">
        <w:t>Econometric Specification</w:t>
      </w:r>
    </w:p>
    <w:p w14:paraId="68FE4107" w14:textId="4E23280B" w:rsidR="004B15D7" w:rsidRPr="004B15D7" w:rsidRDefault="004B15D7" w:rsidP="004B15D7">
      <w:r>
        <w:t>We start by modeling the impact of social benefits from constructing the seawall:</w:t>
      </w:r>
    </w:p>
    <w:p w14:paraId="27AD3F8F" w14:textId="555151B3" w:rsidR="009E09C8" w:rsidRPr="00D47594" w:rsidRDefault="00000000" w:rsidP="00D47594">
      <w:pPr>
        <w:ind w:firstLine="0"/>
      </w:pPr>
      <m:oMathPara>
        <m:oMathParaPr>
          <m:jc m:val="center"/>
        </m:oMathParaPr>
        <m:oMath>
          <m:sSub>
            <m:sSubPr>
              <m:ctrlPr>
                <w:rPr>
                  <w:rFonts w:ascii="Cambria Math" w:hAnsi="Cambria Math"/>
                  <w:i/>
                </w:rPr>
              </m:ctrlPr>
            </m:sSub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PREMIUM</m:t>
                      </m:r>
                    </m:e>
                  </m:d>
                </m:e>
              </m:func>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SEAWAL</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SEALEVE</m:t>
          </m:r>
          <m:sSub>
            <m:sSubPr>
              <m:ctrlPr>
                <w:rPr>
                  <w:rFonts w:ascii="Cambria Math" w:hAnsi="Cambria Math"/>
                  <w:i/>
                </w:rPr>
              </m:ctrlPr>
            </m:sSubPr>
            <m:e>
              <m:r>
                <w:rPr>
                  <w:rFonts w:ascii="Cambria Math" w:hAnsi="Cambria Math"/>
                </w:rPr>
                <m:t>L</m:t>
              </m:r>
            </m:e>
            <m:sub>
              <m:r>
                <w:rPr>
                  <w:rFonts w:ascii="Cambria Math" w:hAnsi="Cambria Math"/>
                </w:rPr>
                <m:t>it</m:t>
              </m:r>
            </m:sub>
          </m:sSub>
          <m:r>
            <m:rPr>
              <m:sty m:val="p"/>
            </m:rP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WIN</m:t>
          </m:r>
          <m:sSub>
            <m:sSubPr>
              <m:ctrlPr>
                <w:rPr>
                  <w:rFonts w:ascii="Cambria Math" w:hAnsi="Cambria Math"/>
                  <w:i/>
                </w:rPr>
              </m:ctrlPr>
            </m:sSubPr>
            <m:e>
              <m:r>
                <w:rPr>
                  <w:rFonts w:ascii="Cambria Math" w:hAnsi="Cambria Math"/>
                </w:rPr>
                <m:t>DCOVERAGE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 FIRECOVERAG</m:t>
          </m:r>
          <m:sSub>
            <m:sSubPr>
              <m:ctrlPr>
                <w:rPr>
                  <w:rFonts w:ascii="Cambria Math" w:hAnsi="Cambria Math"/>
                  <w:i/>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it</m:t>
              </m:r>
            </m:sub>
          </m:sSub>
          <m:r>
            <w:rPr>
              <w:rFonts w:ascii="Cambria Math" w:hAnsi="Cambria Math"/>
            </w:rPr>
            <m:t xml:space="preserve"> </m:t>
          </m:r>
        </m:oMath>
      </m:oMathPara>
    </w:p>
    <w:p w14:paraId="0AE1C748" w14:textId="77777777" w:rsidR="0052091A" w:rsidRDefault="00D47594" w:rsidP="0054484B">
      <w:r>
        <w:t>Our dependent variable</w:t>
      </w:r>
      <w:r w:rsidR="0013273E">
        <w:t xml:space="preserve">, </w:t>
      </w:r>
      <m:oMath>
        <m:sSub>
          <m:sSubPr>
            <m:ctrlPr>
              <w:rPr>
                <w:rFonts w:ascii="Cambria Math" w:hAnsi="Cambria Math"/>
                <w:i/>
              </w:rPr>
            </m:ctrlPr>
          </m:sSub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PREMIUM</m:t>
                    </m:r>
                  </m:e>
                </m:d>
              </m:e>
            </m:func>
          </m:e>
          <m:sub>
            <m:r>
              <w:rPr>
                <w:rFonts w:ascii="Cambria Math" w:hAnsi="Cambria Math"/>
              </w:rPr>
              <m:t>it</m:t>
            </m:r>
          </m:sub>
        </m:sSub>
      </m:oMath>
      <w:r>
        <w:t xml:space="preserve"> </w:t>
      </w:r>
      <w:r w:rsidR="005C462D" w:rsidRPr="005C462D">
        <w:t>represents the percent change in consumer spending on total premium rates.</w:t>
      </w:r>
      <w:r>
        <w:t xml:space="preserve"> </w:t>
      </w:r>
      <w:r w:rsidR="005C462D">
        <w:t>Here,</w:t>
      </w:r>
      <w:r w:rsidR="004B15D7">
        <w:t xml:space="preserve"> </w:t>
      </w:r>
      <w:r w:rsidR="004B15D7">
        <w:rPr>
          <w:i/>
          <w:iCs/>
        </w:rPr>
        <w:t xml:space="preserve">i </w:t>
      </w:r>
      <w:r w:rsidR="005C462D">
        <w:t>denotes</w:t>
      </w:r>
      <w:r w:rsidR="004B15D7">
        <w:t xml:space="preserve"> the county, </w:t>
      </w:r>
      <w:r w:rsidR="004B15D7" w:rsidRPr="00D47594">
        <w:rPr>
          <w:i/>
          <w:iCs/>
        </w:rPr>
        <w:t>t</w:t>
      </w:r>
      <w:r w:rsidR="004B15D7">
        <w:t xml:space="preserve"> </w:t>
      </w:r>
      <w:r w:rsidR="005C462D">
        <w:t>represents each three-month interval</w:t>
      </w:r>
      <w:r w:rsidR="004B15D7">
        <w:t xml:space="preserve">, and </w:t>
      </w:r>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0</m:t>
            </m:r>
          </m:sub>
        </m:sSub>
      </m:oMath>
      <w:r w:rsidR="004B15D7">
        <w:t xml:space="preserve"> is the intercept. </w:t>
      </w:r>
      <w:r w:rsidR="005C462D">
        <w:t>The specifications</w:t>
      </w:r>
      <w:r w:rsidR="004B15D7">
        <w:t xml:space="preserve"> include </w:t>
      </w:r>
      <m:oMath>
        <m:r>
          <w:rPr>
            <w:rFonts w:ascii="Cambria Math" w:hAnsi="Cambria Math"/>
          </w:rPr>
          <m:t>SEAWAL</m:t>
        </m:r>
        <m:sSub>
          <m:sSubPr>
            <m:ctrlPr>
              <w:rPr>
                <w:rFonts w:ascii="Cambria Math" w:hAnsi="Cambria Math"/>
                <w:i/>
              </w:rPr>
            </m:ctrlPr>
          </m:sSubPr>
          <m:e>
            <m:r>
              <w:rPr>
                <w:rFonts w:ascii="Cambria Math" w:hAnsi="Cambria Math"/>
              </w:rPr>
              <m:t>L</m:t>
            </m:r>
          </m:e>
          <m:sub>
            <m:r>
              <w:rPr>
                <w:rFonts w:ascii="Cambria Math" w:hAnsi="Cambria Math"/>
              </w:rPr>
              <m:t>it</m:t>
            </m:r>
          </m:sub>
        </m:sSub>
      </m:oMath>
      <w:r w:rsidR="004B15D7">
        <w:t xml:space="preserve">, </w:t>
      </w:r>
      <w:r w:rsidR="00EB7379" w:rsidRPr="00EB7379">
        <w:t>a dummy variable indicating seawall construction (1 if constructed, 0 otherwise);</w:t>
      </w:r>
      <w:r w:rsidR="00EB7379">
        <w:t xml:space="preserve"> </w:t>
      </w:r>
      <m:oMath>
        <m:r>
          <w:rPr>
            <w:rFonts w:ascii="Cambria Math" w:hAnsi="Cambria Math"/>
          </w:rPr>
          <m:t>SEALEVE</m:t>
        </m:r>
        <m:sSub>
          <m:sSubPr>
            <m:ctrlPr>
              <w:rPr>
                <w:rFonts w:ascii="Cambria Math" w:hAnsi="Cambria Math"/>
                <w:i/>
              </w:rPr>
            </m:ctrlPr>
          </m:sSubPr>
          <m:e>
            <m:r>
              <w:rPr>
                <w:rFonts w:ascii="Cambria Math" w:hAnsi="Cambria Math"/>
              </w:rPr>
              <m:t>L</m:t>
            </m:r>
          </m:e>
          <m:sub>
            <m:r>
              <w:rPr>
                <w:rFonts w:ascii="Cambria Math" w:hAnsi="Cambria Math"/>
              </w:rPr>
              <m:t>it</m:t>
            </m:r>
          </m:sub>
        </m:sSub>
      </m:oMath>
      <w:r w:rsidR="00D72424">
        <w:t xml:space="preserve">, </w:t>
      </w:r>
      <w:r w:rsidR="0052091A" w:rsidRPr="0052091A">
        <w:t xml:space="preserve">which captures the annual change in relative sea level in millimeters; </w:t>
      </w:r>
      <m:oMath>
        <m:r>
          <w:rPr>
            <w:rFonts w:ascii="Cambria Math" w:hAnsi="Cambria Math"/>
          </w:rPr>
          <m:t>WINDCOVERAG</m:t>
        </m:r>
        <m:sSub>
          <m:sSubPr>
            <m:ctrlPr>
              <w:rPr>
                <w:rFonts w:ascii="Cambria Math" w:hAnsi="Cambria Math"/>
                <w:i/>
              </w:rPr>
            </m:ctrlPr>
          </m:sSubPr>
          <m:e>
            <m:r>
              <w:rPr>
                <w:rFonts w:ascii="Cambria Math" w:hAnsi="Cambria Math"/>
              </w:rPr>
              <m:t>E</m:t>
            </m:r>
          </m:e>
          <m:sub>
            <m:r>
              <w:rPr>
                <w:rFonts w:ascii="Cambria Math" w:hAnsi="Cambria Math"/>
              </w:rPr>
              <m:t>it</m:t>
            </m:r>
          </m:sub>
        </m:sSub>
      </m:oMath>
      <w:r w:rsidR="00D72424">
        <w:t xml:space="preserve"> and </w:t>
      </w:r>
      <m:oMath>
        <m:r>
          <w:rPr>
            <w:rFonts w:ascii="Cambria Math" w:hAnsi="Cambria Math"/>
          </w:rPr>
          <m:t>FIRECOVERAG</m:t>
        </m:r>
        <m:sSub>
          <m:sSubPr>
            <m:ctrlPr>
              <w:rPr>
                <w:rFonts w:ascii="Cambria Math" w:hAnsi="Cambria Math"/>
                <w:i/>
              </w:rPr>
            </m:ctrlPr>
          </m:sSubPr>
          <m:e>
            <m:r>
              <w:rPr>
                <w:rFonts w:ascii="Cambria Math" w:hAnsi="Cambria Math"/>
              </w:rPr>
              <m:t>E</m:t>
            </m:r>
          </m:e>
          <m:sub>
            <m:r>
              <w:rPr>
                <w:rFonts w:ascii="Cambria Math" w:hAnsi="Cambria Math"/>
              </w:rPr>
              <m:t>it</m:t>
            </m:r>
          </m:sub>
        </m:sSub>
        <m:r>
          <w:rPr>
            <w:rFonts w:ascii="Cambria Math" w:hAnsi="Cambria Math"/>
          </w:rPr>
          <m:t xml:space="preserve"> </m:t>
        </m:r>
      </m:oMath>
      <w:r w:rsidR="00D72424">
        <w:t xml:space="preserve"> </w:t>
      </w:r>
      <w:r w:rsidR="0052091A" w:rsidRPr="0052091A">
        <w:t>also dummy variables that indicate whether the policy includes insurance against wind and fire damage, respectively.</w:t>
      </w:r>
    </w:p>
    <w:p w14:paraId="3A2D9AF1" w14:textId="41C1FCC9" w:rsidR="004B15D7" w:rsidRDefault="00D72424" w:rsidP="0054484B">
      <w:r>
        <w:t xml:space="preserve">We expect that our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 xml:space="preserve"> </w:t>
      </w:r>
      <w:r w:rsidR="005A3B62" w:rsidRPr="005A3B62">
        <w:t>to have a negative effect, indicating a reduction in total insurance premium costs when the seawall is constructed.</w:t>
      </w:r>
      <w:r w:rsidR="00D47594">
        <w:t xml:space="preserve"> </w:t>
      </w:r>
      <w:r w:rsidR="005A3B62" w:rsidRPr="005A3B62">
        <w:t>Conversely, we anticipate that</w:t>
      </w:r>
      <w:r w:rsidR="005A3B62">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 </m:t>
        </m:r>
        <m:r>
          <m:rPr>
            <m:nor/>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oMath>
      <w:r w:rsidR="00D47594">
        <w:t xml:space="preserve"> </w:t>
      </w:r>
      <w:r w:rsidR="005A3B62" w:rsidRPr="005A3B62">
        <w:t>will be positive, reflecting an increase in insurance premiums as sea levels rise or when additional coverage is included.</w:t>
      </w:r>
    </w:p>
    <w:p w14:paraId="1D186066" w14:textId="77777777" w:rsidR="000C6293" w:rsidRDefault="00A0731E" w:rsidP="0054484B">
      <w:r>
        <w:t>To assess the economic viability of the seawall construction, we introduce the concept of Net Present Value (NPV):</w:t>
      </w:r>
    </w:p>
    <w:p w14:paraId="1554E0F3" w14:textId="20E8617D" w:rsidR="000C6293" w:rsidRDefault="000C6293" w:rsidP="0054484B">
      <m:oMathPara>
        <m:oMath>
          <m:r>
            <w:rPr>
              <w:rFonts w:ascii="Cambria Math" w:hAnsi="Cambria Math"/>
            </w:rPr>
            <m:t>NPV=</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den>
              </m:f>
            </m:e>
          </m:nary>
        </m:oMath>
      </m:oMathPara>
    </w:p>
    <w:p w14:paraId="5EB6556F" w14:textId="46AAF318" w:rsidR="008B7F9E" w:rsidRDefault="008B7F9E" w:rsidP="0054484B">
      <w:r>
        <w:lastRenderedPageBreak/>
        <w:t xml:space="preserve">Where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Pr>
          <w:rStyle w:val="vlist-s"/>
        </w:rPr>
        <w:t>​</w:t>
      </w:r>
      <w:r>
        <w:t xml:space="preserve"> represents expected savings in insurance premiums at time </w:t>
      </w:r>
      <w:r w:rsidRPr="008B7F9E">
        <w:rPr>
          <w:rStyle w:val="katex-mathml"/>
          <w:rFonts w:eastAsiaTheme="majorEastAsia"/>
          <w:i/>
          <w:iCs/>
        </w:rPr>
        <w:t>t</w:t>
      </w:r>
      <w:r>
        <w: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Pr>
          <w:rStyle w:val="vlist-s"/>
        </w:rPr>
        <w:t>​</w:t>
      </w:r>
      <w:r>
        <w:t xml:space="preserve"> represents the construction and maintenance costs at time </w:t>
      </w:r>
      <w:r>
        <w:rPr>
          <w:rStyle w:val="katex-mathml"/>
          <w:rFonts w:eastAsiaTheme="majorEastAsia"/>
        </w:rPr>
        <w:t>tt</w:t>
      </w:r>
      <w:r>
        <w:rPr>
          <w:rStyle w:val="mord"/>
        </w:rPr>
        <w:t>t</w:t>
      </w:r>
      <w:r>
        <w:t xml:space="preserve">, </w:t>
      </w:r>
      <w:r>
        <w:rPr>
          <w:rStyle w:val="katex-mathml"/>
          <w:rFonts w:eastAsiaTheme="majorEastAsia"/>
        </w:rPr>
        <w:t>rr</w:t>
      </w:r>
      <w:r>
        <w:rPr>
          <w:rStyle w:val="mord"/>
        </w:rPr>
        <w:t>r</w:t>
      </w:r>
      <w:r>
        <w:t xml:space="preserve"> is the discount rate, and </w:t>
      </w:r>
      <w:r>
        <w:rPr>
          <w:rStyle w:val="katex-mathml"/>
          <w:rFonts w:eastAsiaTheme="majorEastAsia"/>
        </w:rPr>
        <w:t>nn</w:t>
      </w:r>
      <w:r>
        <w:rPr>
          <w:rStyle w:val="mord"/>
        </w:rPr>
        <w:t>n</w:t>
      </w:r>
      <w:r>
        <w:t xml:space="preserve"> is the number of years considered.</w:t>
      </w:r>
    </w:p>
    <w:p w14:paraId="73105DB4" w14:textId="1003C683" w:rsidR="003D14B2" w:rsidRDefault="003D14B2" w:rsidP="0054484B">
      <w:r>
        <w:t>Furthermore, we define the minimum premium reduction required to justify the seawall as:</w:t>
      </w:r>
    </w:p>
    <w:p w14:paraId="6FEF62AC" w14:textId="0D97C498" w:rsidR="003D14B2" w:rsidRDefault="003D14B2" w:rsidP="0054484B">
      <m:oMathPara>
        <m:oMath>
          <m:r>
            <w:rPr>
              <w:rFonts w:ascii="Cambria Math" w:hAnsi="Cambria Math"/>
            </w:rPr>
            <m:t>Minimum Premium Reduction=</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seawall</m:t>
                  </m:r>
                </m:sub>
              </m:sSub>
            </m:num>
            <m:den>
              <m:sSub>
                <m:sSubPr>
                  <m:ctrlPr>
                    <w:rPr>
                      <w:rFonts w:ascii="Cambria Math" w:hAnsi="Cambria Math"/>
                      <w:i/>
                    </w:rPr>
                  </m:ctrlPr>
                </m:sSubPr>
                <m:e>
                  <m:r>
                    <w:rPr>
                      <w:rFonts w:ascii="Cambria Math" w:hAnsi="Cambria Math"/>
                    </w:rPr>
                    <m:t>N</m:t>
                  </m:r>
                </m:e>
                <m:sub>
                  <m:r>
                    <w:rPr>
                      <w:rFonts w:ascii="Cambria Math" w:hAnsi="Cambria Math"/>
                    </w:rPr>
                    <m:t>policies</m:t>
                  </m:r>
                </m:sub>
              </m:sSub>
            </m:den>
          </m:f>
        </m:oMath>
      </m:oMathPara>
    </w:p>
    <w:p w14:paraId="2BAEFB78" w14:textId="1EE8A95F" w:rsidR="00D72424" w:rsidRDefault="00D72424" w:rsidP="0054484B">
      <w:r>
        <w:t xml:space="preserve">Our hypothesis of constructing the seawall holds if </w:t>
      </w:r>
      <w:r w:rsidR="00D47594">
        <w:t>|</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47594">
        <w:t>|</w:t>
      </w:r>
      <w:r>
        <w:t xml:space="preserve"> </w:t>
      </w:r>
      <w:r w:rsidR="00D47594">
        <w:t>&gt;</w:t>
      </w:r>
      <w:r>
        <w:t xml:space="preserve"> </w:t>
      </w:r>
      <w:r w:rsidR="00D47594">
        <w:t>|</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D47594">
        <w:t xml:space="preserve">|, with the difference between absolute values of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47594">
        <w:t xml:space="preserve"> </w:t>
      </w:r>
      <w:r w:rsidR="00670FCD">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670FCD">
        <w:t xml:space="preserve"> indicating the net social welfare effect on insurance premium rates from building the seawall. </w:t>
      </w:r>
      <w:r w:rsidR="00D47594">
        <w:t xml:space="preserve"> </w:t>
      </w:r>
    </w:p>
    <w:p w14:paraId="1E0BE6D7" w14:textId="743CDAC5" w:rsidR="004768CF" w:rsidRPr="00375013" w:rsidRDefault="004768CF" w:rsidP="00D23B21">
      <w:pPr>
        <w:pStyle w:val="Heading1"/>
      </w:pPr>
      <w:r w:rsidRPr="00375013">
        <w:t>Summary and Conclusion</w:t>
      </w:r>
    </w:p>
    <w:p w14:paraId="68879ABC" w14:textId="2C33AE04" w:rsidR="00055C84" w:rsidRDefault="00670FCD" w:rsidP="0054484B">
      <w:r>
        <w:t xml:space="preserve">The </w:t>
      </w:r>
      <w:proofErr w:type="gramStart"/>
      <w:r>
        <w:t>benefits</w:t>
      </w:r>
      <w:proofErr w:type="gramEnd"/>
      <w:r>
        <w:t xml:space="preserve"> from constructing the seawall seems to be primarily reliant on the evaluation of the health benefits that it creates from resiliency. As this study focuses on the economic benefits, we can propose economic alternatives to building the seawall such as mov</w:t>
      </w:r>
      <w:r w:rsidR="00055C84">
        <w:t>ing the population to non-coastal areas. A similar example could be seen in an industry where technology is outdated, and laborers are re-allocated to a different industry with government intervention of retraining programs (Hamilton Project, 2010). This may call for a separate study to see the costs of displaced populations to include as a risk factor in a final proposal for the construction of the seawall.</w:t>
      </w:r>
    </w:p>
    <w:p w14:paraId="19C7AD0A" w14:textId="1AB231AF" w:rsidR="006463DD" w:rsidRDefault="00670FCD" w:rsidP="00E341E9">
      <w:r>
        <w:t xml:space="preserve"> </w:t>
      </w:r>
      <w:r w:rsidR="00055C84">
        <w:t>A drawback of analyzing the benefits of the seawall as a public good, is that it also poses a negative effect of being unattractive and possibly reducing the value of coastal properties and businesses.</w:t>
      </w:r>
      <w:r w:rsidR="003F7BDE">
        <w:t xml:space="preserve"> After the construction of the Ofunato seawall in 2011 in response to the Tohoku </w:t>
      </w:r>
      <w:r w:rsidR="00D822F6">
        <w:t>tsunami</w:t>
      </w:r>
      <w:r w:rsidR="003F7BDE">
        <w:t>, many residents viewed it as a blight and possibly deterrence for properties too close to the seawall (Jacobs</w:t>
      </w:r>
      <w:r w:rsidR="001A6EB5">
        <w:t xml:space="preserve"> 2018</w:t>
      </w:r>
      <w:r w:rsidR="003F7BDE">
        <w:t>,</w:t>
      </w:r>
      <w:r w:rsidR="001A6EB5">
        <w:t xml:space="preserve"> and</w:t>
      </w:r>
      <w:r w:rsidR="003F7BDE">
        <w:t xml:space="preserve"> Hardy</w:t>
      </w:r>
      <w:r w:rsidR="001A6EB5">
        <w:t xml:space="preserve"> 2019</w:t>
      </w:r>
      <w:r w:rsidR="003F7BDE">
        <w:t>).</w:t>
      </w:r>
      <w:r w:rsidR="00055C84">
        <w:t xml:space="preserve"> Other studies evaluating the benefits of an artificial </w:t>
      </w:r>
      <w:r w:rsidR="00055C84">
        <w:lastRenderedPageBreak/>
        <w:t xml:space="preserve">coral reef system </w:t>
      </w:r>
      <w:r w:rsidR="003F7BDE">
        <w:t>show that they simultaneously provide large socio-economic benefits (</w:t>
      </w:r>
      <w:r w:rsidR="001A6EB5">
        <w:t>Adams 2011</w:t>
      </w:r>
      <w:r w:rsidR="003F7BDE">
        <w:t xml:space="preserve">) as well as sea level rise resiliency (NCCARF 2012.) </w:t>
      </w:r>
    </w:p>
    <w:p w14:paraId="47E11553" w14:textId="77777777" w:rsidR="00E341E9" w:rsidRDefault="00E341E9">
      <w:pPr>
        <w:spacing w:after="160" w:line="259" w:lineRule="auto"/>
        <w:ind w:firstLine="0"/>
        <w:jc w:val="left"/>
        <w:rPr>
          <w:rFonts w:eastAsiaTheme="majorEastAsia" w:cstheme="majorBidi"/>
          <w:b/>
          <w:szCs w:val="32"/>
          <w:u w:val="single"/>
        </w:rPr>
      </w:pPr>
      <w:r>
        <w:br w:type="page"/>
      </w:r>
    </w:p>
    <w:p w14:paraId="64A96F22" w14:textId="05143707" w:rsidR="004768CF" w:rsidRDefault="004768CF" w:rsidP="00D23B21">
      <w:pPr>
        <w:pStyle w:val="Heading1"/>
      </w:pPr>
      <w:r>
        <w:lastRenderedPageBreak/>
        <w:t>References</w:t>
      </w:r>
    </w:p>
    <w:p w14:paraId="06F5F544" w14:textId="1AA75C83" w:rsidR="001A6EB5" w:rsidRDefault="001A6EB5" w:rsidP="001A6EB5">
      <w:pPr>
        <w:pStyle w:val="References"/>
      </w:pPr>
      <w:r>
        <w:t xml:space="preserve">CBO. “Potential Increases in Hurricane Damage in the United States: Implications for the Federal Budget. Congressional Budget Office. Retrieved November 17, 2020. </w:t>
      </w:r>
      <w:hyperlink r:id="rId7" w:history="1">
        <w:r w:rsidRPr="001027CF">
          <w:rPr>
            <w:rStyle w:val="Hyperlink"/>
          </w:rPr>
          <w:t>https://www.cbo.gov/sites/default/files114th-congress-2015-2016/reports/51518-hurrciane-damage-onecol.pdf</w:t>
        </w:r>
      </w:hyperlink>
    </w:p>
    <w:p w14:paraId="0F729824" w14:textId="4E02DADC" w:rsidR="006F166D" w:rsidRPr="006F166D" w:rsidRDefault="00A10BF4" w:rsidP="001A6EB5">
      <w:pPr>
        <w:pStyle w:val="References"/>
      </w:pPr>
      <w:r>
        <w:t>“</w:t>
      </w:r>
      <w:r w:rsidR="006F166D" w:rsidRPr="006F166D">
        <w:t>Facts + Statistics: Hurricanes.</w:t>
      </w:r>
      <w:r>
        <w:t>”</w:t>
      </w:r>
      <w:r w:rsidR="006F166D" w:rsidRPr="006F166D">
        <w:t xml:space="preserve"> Insurance Information Institute. Accessed November 17, 2020. https://www.iii.org/customprint/fact-statistic/facts-statistics-hurricanes. </w:t>
      </w:r>
    </w:p>
    <w:p w14:paraId="7DC76E58" w14:textId="35EF0869" w:rsidR="003F7BDE" w:rsidRDefault="006F166D" w:rsidP="001A6EB5">
      <w:pPr>
        <w:pStyle w:val="References"/>
      </w:pPr>
      <w:r w:rsidRPr="006F166D">
        <w:t xml:space="preserve">Adams, C., B. </w:t>
      </w:r>
      <w:proofErr w:type="gramStart"/>
      <w:r w:rsidRPr="006F166D">
        <w:t>Lindberg</w:t>
      </w:r>
      <w:proofErr w:type="gramEnd"/>
      <w:r w:rsidRPr="006F166D">
        <w:t xml:space="preserve"> and J. Stevely. </w:t>
      </w:r>
      <w:r w:rsidR="00A10BF4">
        <w:t>“</w:t>
      </w:r>
      <w:r w:rsidRPr="006F166D">
        <w:t>The Economic Benefits Associated with Florida's Artificial Reefs</w:t>
      </w:r>
      <w:r w:rsidR="00857123">
        <w:t>.</w:t>
      </w:r>
      <w:r w:rsidR="00A10BF4">
        <w:t>”</w:t>
      </w:r>
      <w:r w:rsidR="00857123">
        <w:t xml:space="preserve"> Institute of Food and Agricultural Sciences.</w:t>
      </w:r>
      <w:r w:rsidRPr="006F166D">
        <w:t xml:space="preserve"> (2011).</w:t>
      </w:r>
      <w:r w:rsidR="003F7BDE">
        <w:t xml:space="preserve"> </w:t>
      </w:r>
    </w:p>
    <w:p w14:paraId="0B05ADB3" w14:textId="47436F68" w:rsidR="00857123" w:rsidRPr="00857123" w:rsidRDefault="00857123" w:rsidP="001A6EB5">
      <w:pPr>
        <w:pStyle w:val="References"/>
      </w:pPr>
      <w:r w:rsidRPr="00857123">
        <w:t xml:space="preserve">Hardy, Michael. “Ominous Views of Japan's New Concrete Seawalls,” April 26, 2019. </w:t>
      </w:r>
    </w:p>
    <w:p w14:paraId="6C8BCEC9" w14:textId="4F9C55DB" w:rsidR="00055C84" w:rsidRDefault="00857123" w:rsidP="001A6EB5">
      <w:pPr>
        <w:pStyle w:val="References"/>
      </w:pPr>
      <w:r>
        <w:t>Jacobs, Sarah. “</w:t>
      </w:r>
      <w:r w:rsidRPr="00857123">
        <w:t>Japan spent $12 billion on seawalls after the devastating 2011 tsunami — and now locals are feeling like prisoners</w:t>
      </w:r>
      <w:r>
        <w:t>,” March 12, 2018.</w:t>
      </w:r>
    </w:p>
    <w:p w14:paraId="65235F19" w14:textId="5B685409" w:rsidR="00857123" w:rsidRDefault="00857123" w:rsidP="001A6EB5">
      <w:pPr>
        <w:pStyle w:val="References"/>
      </w:pPr>
      <w:r w:rsidRPr="00857123">
        <w:t xml:space="preserve">LaLonde, Robert J, and Daniel G Sullivan. </w:t>
      </w:r>
      <w:r w:rsidR="00A10BF4">
        <w:t>“</w:t>
      </w:r>
      <w:r w:rsidRPr="00857123">
        <w:t>Retraining Displaced Workers.</w:t>
      </w:r>
      <w:r w:rsidR="00A10BF4">
        <w:t>”</w:t>
      </w:r>
      <w:r w:rsidRPr="00857123">
        <w:t xml:space="preserve"> The Hamilton Project, October 8, 2020. </w:t>
      </w:r>
      <w:hyperlink r:id="rId8" w:history="1">
        <w:r w:rsidRPr="00857123">
          <w:rPr>
            <w:rStyle w:val="Hyperlink"/>
          </w:rPr>
          <w:t>https://www.hamiltonproject.org/papers/retraining_displaced_workers</w:t>
        </w:r>
      </w:hyperlink>
      <w:r w:rsidRPr="00857123">
        <w:t xml:space="preserve">. </w:t>
      </w:r>
    </w:p>
    <w:p w14:paraId="77F2BAA3" w14:textId="77777777" w:rsidR="00956240" w:rsidRDefault="00956240" w:rsidP="001A6EB5">
      <w:pPr>
        <w:pStyle w:val="References"/>
      </w:pPr>
      <w:r w:rsidRPr="00956240">
        <w:t>Stanton, E. A., &amp; Ackerman, F. (2007). Florida and Climate Change: The Costs of Inaction. In Florida and Climate Change: The Costs of Inaction. Global Development and Environment Institute, Tufts University.</w:t>
      </w:r>
    </w:p>
    <w:p w14:paraId="51A89F9A" w14:textId="5AC2A2F7" w:rsidR="00877306" w:rsidRDefault="007A157B" w:rsidP="001A6EB5">
      <w:pPr>
        <w:pStyle w:val="References"/>
      </w:pPr>
      <w:r>
        <w:t xml:space="preserve">Saltzman, E. </w:t>
      </w:r>
      <w:r w:rsidR="00A10BF4">
        <w:t>“</w:t>
      </w:r>
      <w:r>
        <w:t>Demand for Health Insurance: Evidence from the California and Washington ACA Marketplaces.</w:t>
      </w:r>
      <w:r w:rsidR="00A10BF4">
        <w:t>”</w:t>
      </w:r>
      <w:r>
        <w:t xml:space="preserve"> Wharton Health Care Management</w:t>
      </w:r>
      <w:r w:rsidR="00857123">
        <w:t>. (2017).</w:t>
      </w:r>
      <w:r w:rsidR="00A10BF4">
        <w:t xml:space="preserve"> </w:t>
      </w:r>
      <w:hyperlink r:id="rId9" w:history="1">
        <w:r w:rsidR="00A10BF4" w:rsidRPr="001027CF">
          <w:rPr>
            <w:rStyle w:val="Hyperlink"/>
          </w:rPr>
          <w:t>http://repository.upenn.edu/hcmg_papers/11</w:t>
        </w:r>
      </w:hyperlink>
    </w:p>
    <w:p w14:paraId="4A69BBD2" w14:textId="4FEC08E5" w:rsidR="00857123" w:rsidRDefault="00857123" w:rsidP="001A6EB5">
      <w:pPr>
        <w:pStyle w:val="References"/>
      </w:pPr>
      <w:r w:rsidRPr="00857123">
        <w:t>Yoshio</w:t>
      </w:r>
      <w:r w:rsidR="000C2D91" w:rsidRPr="000C2D91">
        <w:t xml:space="preserve"> </w:t>
      </w:r>
      <w:r w:rsidR="000C2D91" w:rsidRPr="00857123">
        <w:t>Kajitani,</w:t>
      </w:r>
      <w:r w:rsidRPr="00857123">
        <w:t xml:space="preserve"> Stephanie E. Chang, and Hirokazu Tatano. “Economic Impacts of the 2011 Tohoku-Oki Earthquake and Tsunami.” SAGE Journals. Earthquake Spectra, March 1, 2013. https://journals.sagepub.com/doi/abs/10.1193/1.4000108. </w:t>
      </w:r>
    </w:p>
    <w:p w14:paraId="0BC0C5B9" w14:textId="77777777" w:rsidR="00A10BF4" w:rsidRPr="00A10BF4" w:rsidRDefault="00A10BF4" w:rsidP="001A6EB5">
      <w:pPr>
        <w:pStyle w:val="References"/>
      </w:pPr>
      <w:r w:rsidRPr="00A10BF4">
        <w:t xml:space="preserve">Great East Japan Earthquake. Reconstruction Agency. Accessed November 17, 2020. https://www.reconstruction.go.jp/english/topics/GEJE/. </w:t>
      </w:r>
    </w:p>
    <w:p w14:paraId="704D905D" w14:textId="23DFB284" w:rsidR="00E063AB" w:rsidRDefault="00E063AB" w:rsidP="001A6EB5">
      <w:pPr>
        <w:pStyle w:val="References"/>
      </w:pPr>
      <w:r>
        <w:t xml:space="preserve">Ezra Boyd.  </w:t>
      </w:r>
      <w:r w:rsidR="00A10BF4">
        <w:t>“P</w:t>
      </w:r>
      <w:r w:rsidRPr="00E063AB">
        <w:t xml:space="preserve">relimary </w:t>
      </w:r>
      <w:r w:rsidR="00A10BF4">
        <w:t>S</w:t>
      </w:r>
      <w:r w:rsidRPr="00E063AB">
        <w:t xml:space="preserve">ummary </w:t>
      </w:r>
      <w:r w:rsidR="00A10BF4">
        <w:t>R</w:t>
      </w:r>
      <w:r w:rsidRPr="00E063AB">
        <w:t xml:space="preserve">eport of </w:t>
      </w:r>
      <w:r w:rsidR="00A10BF4">
        <w:t>H</w:t>
      </w:r>
      <w:r w:rsidRPr="00E063AB">
        <w:t xml:space="preserve">urricane </w:t>
      </w:r>
      <w:r w:rsidR="00A10BF4">
        <w:t>K</w:t>
      </w:r>
      <w:r w:rsidRPr="00E063AB">
        <w:t xml:space="preserve">atrina </w:t>
      </w:r>
      <w:r w:rsidR="00A10BF4">
        <w:t>D</w:t>
      </w:r>
      <w:r w:rsidRPr="00E063AB">
        <w:t xml:space="preserve">eceased </w:t>
      </w:r>
      <w:r w:rsidR="00A10BF4">
        <w:t>V</w:t>
      </w:r>
      <w:r w:rsidRPr="00E063AB">
        <w:t xml:space="preserve">ictim </w:t>
      </w:r>
      <w:r w:rsidR="00A10BF4">
        <w:t>R</w:t>
      </w:r>
      <w:r w:rsidRPr="00E063AB">
        <w:t xml:space="preserve">ecovery </w:t>
      </w:r>
      <w:r w:rsidR="00A10BF4">
        <w:t>L</w:t>
      </w:r>
      <w:r w:rsidRPr="00E063AB">
        <w:t xml:space="preserve">ocations in </w:t>
      </w:r>
      <w:r>
        <w:t>Louisiana.</w:t>
      </w:r>
      <w:r w:rsidR="00A10BF4">
        <w:t>”</w:t>
      </w:r>
      <w:r>
        <w:t xml:space="preserve"> </w:t>
      </w:r>
      <w:r w:rsidR="00A10BF4">
        <w:t xml:space="preserve">LSU Hurricane Public Health Center. (2006). </w:t>
      </w:r>
      <w:hyperlink r:id="rId10" w:history="1">
        <w:r w:rsidR="00A10BF4" w:rsidRPr="001027CF">
          <w:rPr>
            <w:rStyle w:val="Hyperlink"/>
          </w:rPr>
          <w:t>https://proceedings.esri.com/library/userconf/heal6th06/docs/summary_report.pdf</w:t>
        </w:r>
      </w:hyperlink>
    </w:p>
    <w:p w14:paraId="195DE7FE" w14:textId="77777777" w:rsidR="00A10BF4" w:rsidRPr="00A10BF4" w:rsidRDefault="00A10BF4" w:rsidP="001A6EB5">
      <w:pPr>
        <w:pStyle w:val="References"/>
      </w:pPr>
      <w:r w:rsidRPr="00A10BF4">
        <w:t xml:space="preserve">Siegel, Frederic R. “Adaptations of Coastal Cities to Global Warming, Sea Level Rise, Climate Change and Endemic Hazards.” Springer. Springer International Publishing. Accessed November 17, 2020. https://www.springer.com/gp/book/9783030226688. </w:t>
      </w:r>
    </w:p>
    <w:p w14:paraId="6A54E29F" w14:textId="4EA1D0FE" w:rsidR="007C2472" w:rsidRDefault="000C2D91" w:rsidP="001A6EB5">
      <w:pPr>
        <w:pStyle w:val="References"/>
      </w:pPr>
      <w:r>
        <w:t xml:space="preserve">Gary </w:t>
      </w:r>
      <w:r w:rsidR="00E22189">
        <w:t xml:space="preserve">Yohe, </w:t>
      </w:r>
      <w:r>
        <w:t>James</w:t>
      </w:r>
      <w:r w:rsidR="00E22189">
        <w:t xml:space="preserve"> Neumann</w:t>
      </w:r>
      <w:r>
        <w:t xml:space="preserve">, and </w:t>
      </w:r>
      <w:r w:rsidR="00E22189">
        <w:t>P</w:t>
      </w:r>
      <w:r>
        <w:t>atrick</w:t>
      </w:r>
      <w:r w:rsidR="00E22189">
        <w:t xml:space="preserve"> Marshall. </w:t>
      </w:r>
      <w:r w:rsidR="00A10BF4">
        <w:t>“</w:t>
      </w:r>
      <w:r w:rsidR="00E22189">
        <w:t>The economic damage induced by sea level rise in the United States. The Impact of Climate Change on the United States Economy.</w:t>
      </w:r>
      <w:r w:rsidR="00A10BF4">
        <w:t>”</w:t>
      </w:r>
      <w:r w:rsidR="00E22189">
        <w:t xml:space="preserve"> Cambridge, Cambridge University Press: 178–208.</w:t>
      </w:r>
      <w:r w:rsidR="00A10BF4">
        <w:t xml:space="preserve"> (1999).</w:t>
      </w:r>
    </w:p>
    <w:p w14:paraId="31064CBC" w14:textId="6B7269B4" w:rsidR="00B3799F" w:rsidRDefault="00A10BF4" w:rsidP="001A6EB5">
      <w:pPr>
        <w:pStyle w:val="References"/>
      </w:pPr>
      <w:r>
        <w:lastRenderedPageBreak/>
        <w:t xml:space="preserve">Hope, Chris. </w:t>
      </w:r>
      <w:r w:rsidR="000C2D91">
        <w:t>“Climate change and the US economy: The costs of inaction.” Tufts University. May 2008.</w:t>
      </w:r>
    </w:p>
    <w:p w14:paraId="4272C2D7" w14:textId="2D35ED4F" w:rsidR="00E86711" w:rsidRDefault="00B3799F" w:rsidP="001A6EB5">
      <w:pPr>
        <w:pStyle w:val="References"/>
      </w:pPr>
      <w:r>
        <w:t>Kirshen, P., M. Ruth, W. Anderson and T. R. Lakshmanan (2004). CLIMB Final Report: Infrastructure Systems, Services and Climate Change: Integrated Impacts and Response Strategies for the Boston Metropolitan Area. Boston, MA, Tufts University, University of Maryland, Boston University, and the Metropolitan Area Planning Council: 165.</w:t>
      </w:r>
    </w:p>
    <w:p w14:paraId="55890C20" w14:textId="01A00D1F" w:rsidR="000C2D91" w:rsidRPr="000C2D91" w:rsidRDefault="00001195" w:rsidP="001A6EB5">
      <w:pPr>
        <w:pStyle w:val="References"/>
      </w:pPr>
      <w:r w:rsidRPr="00001195">
        <w:t>National Oceanographic and Atmospheric Administration</w:t>
      </w:r>
      <w:r w:rsidR="000220B7">
        <w:t xml:space="preserve"> (NOAA)</w:t>
      </w:r>
      <w:r w:rsidR="000C2D91">
        <w:t xml:space="preserve">. </w:t>
      </w:r>
      <w:r w:rsidR="000C2D91" w:rsidRPr="000C2D91">
        <w:t>“Sea Level Trends.” Tides &amp; Currents</w:t>
      </w:r>
      <w:r w:rsidR="000C2D91">
        <w:t>, National Oceanographic and Atmospheric Administration</w:t>
      </w:r>
      <w:r w:rsidR="000C2D91" w:rsidRPr="000C2D91">
        <w:t xml:space="preserve">. Accessed November 17, 2020. https://tidesandcurrents.noaa.gov/sltrends/sltrends_station.shtml?id=8722670. </w:t>
      </w:r>
    </w:p>
    <w:p w14:paraId="08DDC8F1" w14:textId="03E1695E" w:rsidR="00601157" w:rsidRDefault="000C2D91" w:rsidP="001A6EB5">
      <w:pPr>
        <w:pStyle w:val="References"/>
      </w:pPr>
      <w:r>
        <w:t xml:space="preserve">CO-OP. “Global and Regional Sea Level Rise Scenarios for the United States.” Center for Operational Oceanographic Products and Services. January 2017. </w:t>
      </w:r>
      <w:hyperlink r:id="rId11" w:history="1">
        <w:r w:rsidRPr="001027CF">
          <w:rPr>
            <w:rStyle w:val="Hyperlink"/>
          </w:rPr>
          <w:t>https://tidesandcurrents.noaa.gov/publications/techrpt83_Global_and_Regional_SLR_Scenarios_for_the_US_final.pdf</w:t>
        </w:r>
      </w:hyperlink>
    </w:p>
    <w:p w14:paraId="4B26D999" w14:textId="75B4D0A8" w:rsidR="00771394" w:rsidRDefault="00001195" w:rsidP="001A6EB5">
      <w:pPr>
        <w:pStyle w:val="References"/>
      </w:pPr>
      <w:r w:rsidRPr="00001195">
        <w:t>Center for Climate Integrity</w:t>
      </w:r>
      <w:r w:rsidR="000220B7">
        <w:t xml:space="preserve"> (CCI)</w:t>
      </w:r>
      <w:r w:rsidR="000C2D91">
        <w:t>. “High Tide Tax. The Price to Protect Coastal Communities from Rising Seas.” The Center for Climate Integrity Resilient Analytics. June 2019.</w:t>
      </w:r>
      <w:r w:rsidR="00771394">
        <w:t xml:space="preserve"> </w:t>
      </w:r>
      <w:hyperlink r:id="rId12" w:history="1">
        <w:r w:rsidR="00771394" w:rsidRPr="00481121">
          <w:rPr>
            <w:rStyle w:val="Hyperlink"/>
          </w:rPr>
          <w:t>https://www.climatecosts2040.org/files/ClimateCosts2040_Report-v4.pdf</w:t>
        </w:r>
      </w:hyperlink>
    </w:p>
    <w:p w14:paraId="165A2161" w14:textId="680E09C8" w:rsidR="008E32B3" w:rsidRDefault="008E32B3" w:rsidP="001A6EB5">
      <w:pPr>
        <w:pStyle w:val="References"/>
      </w:pPr>
      <w:r w:rsidRPr="008E32B3">
        <w:t xml:space="preserve">Oppenheimer, M., B.C. </w:t>
      </w:r>
      <w:proofErr w:type="gramStart"/>
      <w:r w:rsidRPr="008E32B3">
        <w:t>Glavovic ,</w:t>
      </w:r>
      <w:proofErr w:type="gramEnd"/>
      <w:r w:rsidRPr="008E32B3">
        <w:t xml:space="preserve"> J. Hinkel, R. van de Wal, A.K. Magnan, A. Abd-Elgawad, R. Cai, M. Cifuentes-Jara, R.M. DeConto, T. Ghosh, J. Hay, F. Isla, B. Marzeion, B. Meyssignac, and Z. Sebesvari, 2019: Sea Level Rise and Implications for Low-Lying Islands, Coasts and Communities. In: IPCC Special Report on the Ocean and Cryosphere in a Changing Climate [H.-O. Pörtner, D.C. Roberts, V. Masson-Delmotte, P. Zhai, M. Tignor, E. Poloczanska, K. Mintenbeck, A. Alegría, M. Nicolai, A. Okem, J. Petzold, B. Rama, N.M. Weyer (eds.)]. In press.</w:t>
      </w:r>
    </w:p>
    <w:sectPr w:rsidR="008E32B3" w:rsidSect="00876AA7">
      <w:headerReference w:type="default" r:id="rId13"/>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DD111" w14:textId="77777777" w:rsidR="00AA4DAA" w:rsidRDefault="00AA4DAA">
      <w:pPr>
        <w:spacing w:line="240" w:lineRule="auto"/>
      </w:pPr>
      <w:r>
        <w:separator/>
      </w:r>
    </w:p>
  </w:endnote>
  <w:endnote w:type="continuationSeparator" w:id="0">
    <w:p w14:paraId="7148256F" w14:textId="77777777" w:rsidR="00AA4DAA" w:rsidRDefault="00AA4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5BC5E" w14:textId="77777777" w:rsidR="00AA4DAA" w:rsidRDefault="00AA4DAA">
      <w:pPr>
        <w:spacing w:line="240" w:lineRule="auto"/>
      </w:pPr>
      <w:r>
        <w:separator/>
      </w:r>
    </w:p>
  </w:footnote>
  <w:footnote w:type="continuationSeparator" w:id="0">
    <w:p w14:paraId="1C79BCA2" w14:textId="77777777" w:rsidR="00AA4DAA" w:rsidRDefault="00AA4D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4463276"/>
      <w:docPartObj>
        <w:docPartGallery w:val="Page Numbers (Top of Page)"/>
        <w:docPartUnique/>
      </w:docPartObj>
    </w:sdtPr>
    <w:sdtEndPr>
      <w:rPr>
        <w:noProof/>
      </w:rPr>
    </w:sdtEndPr>
    <w:sdtContent>
      <w:p w14:paraId="21F53E26" w14:textId="77777777" w:rsidR="00876AA7" w:rsidRDefault="004A657E">
        <w:pPr>
          <w:pStyle w:val="Header"/>
          <w:jc w:val="right"/>
        </w:pPr>
        <w:r>
          <w:t xml:space="preserve">Hoeltermann </w:t>
        </w:r>
        <w:r>
          <w:fldChar w:fldCharType="begin"/>
        </w:r>
        <w:r>
          <w:instrText xml:space="preserve"> PAGE   \* MERGEFORMAT </w:instrText>
        </w:r>
        <w:r>
          <w:fldChar w:fldCharType="separate"/>
        </w:r>
        <w:r>
          <w:rPr>
            <w:noProof/>
          </w:rPr>
          <w:t>2</w:t>
        </w:r>
        <w:r>
          <w:fldChar w:fldCharType="end"/>
        </w:r>
      </w:p>
    </w:sdtContent>
  </w:sdt>
  <w:p w14:paraId="585DF35F" w14:textId="77777777" w:rsidR="00876AA7" w:rsidRDefault="00876A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72"/>
    <w:rsid w:val="00001195"/>
    <w:rsid w:val="0000315D"/>
    <w:rsid w:val="000033FD"/>
    <w:rsid w:val="0000652A"/>
    <w:rsid w:val="000220B7"/>
    <w:rsid w:val="000420A5"/>
    <w:rsid w:val="00055C84"/>
    <w:rsid w:val="00074E94"/>
    <w:rsid w:val="000C0CE7"/>
    <w:rsid w:val="000C2D91"/>
    <w:rsid w:val="000C6293"/>
    <w:rsid w:val="000F6205"/>
    <w:rsid w:val="00122CA2"/>
    <w:rsid w:val="0012712F"/>
    <w:rsid w:val="0013273E"/>
    <w:rsid w:val="00135CE3"/>
    <w:rsid w:val="00145DB6"/>
    <w:rsid w:val="001500F3"/>
    <w:rsid w:val="00177FAF"/>
    <w:rsid w:val="001959E6"/>
    <w:rsid w:val="001A25C7"/>
    <w:rsid w:val="001A6EB5"/>
    <w:rsid w:val="001B606B"/>
    <w:rsid w:val="001C71F8"/>
    <w:rsid w:val="001D5F04"/>
    <w:rsid w:val="001F152E"/>
    <w:rsid w:val="00257FB0"/>
    <w:rsid w:val="002C3A30"/>
    <w:rsid w:val="002F121D"/>
    <w:rsid w:val="002F71DE"/>
    <w:rsid w:val="003008F7"/>
    <w:rsid w:val="00301E8E"/>
    <w:rsid w:val="003655E6"/>
    <w:rsid w:val="00374C20"/>
    <w:rsid w:val="00375013"/>
    <w:rsid w:val="003D14B2"/>
    <w:rsid w:val="003F7BDE"/>
    <w:rsid w:val="00412D23"/>
    <w:rsid w:val="00423EA3"/>
    <w:rsid w:val="0044145F"/>
    <w:rsid w:val="004768CF"/>
    <w:rsid w:val="004A657E"/>
    <w:rsid w:val="004B15D7"/>
    <w:rsid w:val="00501D0F"/>
    <w:rsid w:val="0052091A"/>
    <w:rsid w:val="00543413"/>
    <w:rsid w:val="0054484B"/>
    <w:rsid w:val="00546EBA"/>
    <w:rsid w:val="00587A03"/>
    <w:rsid w:val="005A3B62"/>
    <w:rsid w:val="005C462D"/>
    <w:rsid w:val="005D2D05"/>
    <w:rsid w:val="00601157"/>
    <w:rsid w:val="006463DD"/>
    <w:rsid w:val="0065684A"/>
    <w:rsid w:val="00667AD9"/>
    <w:rsid w:val="00670FCD"/>
    <w:rsid w:val="006B63EC"/>
    <w:rsid w:val="006C1AD5"/>
    <w:rsid w:val="006D2747"/>
    <w:rsid w:val="006D33DE"/>
    <w:rsid w:val="006F166D"/>
    <w:rsid w:val="007037FA"/>
    <w:rsid w:val="00717B9A"/>
    <w:rsid w:val="00732DF9"/>
    <w:rsid w:val="00735F3F"/>
    <w:rsid w:val="00767754"/>
    <w:rsid w:val="00771394"/>
    <w:rsid w:val="00772AE4"/>
    <w:rsid w:val="00783E68"/>
    <w:rsid w:val="00790244"/>
    <w:rsid w:val="007A157B"/>
    <w:rsid w:val="007C2472"/>
    <w:rsid w:val="007D0016"/>
    <w:rsid w:val="007F21F4"/>
    <w:rsid w:val="00806A10"/>
    <w:rsid w:val="00857123"/>
    <w:rsid w:val="008624E2"/>
    <w:rsid w:val="00876AA7"/>
    <w:rsid w:val="00877306"/>
    <w:rsid w:val="00883CDF"/>
    <w:rsid w:val="008B7F9E"/>
    <w:rsid w:val="008E0DB0"/>
    <w:rsid w:val="008E297D"/>
    <w:rsid w:val="008E32B3"/>
    <w:rsid w:val="008F6E53"/>
    <w:rsid w:val="009019CA"/>
    <w:rsid w:val="009300E5"/>
    <w:rsid w:val="00956240"/>
    <w:rsid w:val="009A11DB"/>
    <w:rsid w:val="009B057D"/>
    <w:rsid w:val="009E09C8"/>
    <w:rsid w:val="00A0731E"/>
    <w:rsid w:val="00A10BF4"/>
    <w:rsid w:val="00A43DC9"/>
    <w:rsid w:val="00A46934"/>
    <w:rsid w:val="00A74555"/>
    <w:rsid w:val="00AA4DAA"/>
    <w:rsid w:val="00AC76A3"/>
    <w:rsid w:val="00B15675"/>
    <w:rsid w:val="00B23AA6"/>
    <w:rsid w:val="00B32CA4"/>
    <w:rsid w:val="00B3799F"/>
    <w:rsid w:val="00B477D0"/>
    <w:rsid w:val="00B83A83"/>
    <w:rsid w:val="00BC314E"/>
    <w:rsid w:val="00BD1441"/>
    <w:rsid w:val="00BE34D3"/>
    <w:rsid w:val="00BF34BB"/>
    <w:rsid w:val="00C25DDC"/>
    <w:rsid w:val="00C46264"/>
    <w:rsid w:val="00CB67C4"/>
    <w:rsid w:val="00CB7237"/>
    <w:rsid w:val="00D23B21"/>
    <w:rsid w:val="00D47594"/>
    <w:rsid w:val="00D7115A"/>
    <w:rsid w:val="00D72424"/>
    <w:rsid w:val="00D80D3A"/>
    <w:rsid w:val="00D822F6"/>
    <w:rsid w:val="00D94B5A"/>
    <w:rsid w:val="00DC77D8"/>
    <w:rsid w:val="00DD2679"/>
    <w:rsid w:val="00DD2B75"/>
    <w:rsid w:val="00DF29B1"/>
    <w:rsid w:val="00DF3CD6"/>
    <w:rsid w:val="00DF716D"/>
    <w:rsid w:val="00E063AB"/>
    <w:rsid w:val="00E22189"/>
    <w:rsid w:val="00E31FD7"/>
    <w:rsid w:val="00E341E9"/>
    <w:rsid w:val="00E86711"/>
    <w:rsid w:val="00E9471E"/>
    <w:rsid w:val="00E95E37"/>
    <w:rsid w:val="00EB7379"/>
    <w:rsid w:val="00ED22B4"/>
    <w:rsid w:val="00F361D5"/>
    <w:rsid w:val="00F378D9"/>
    <w:rsid w:val="00F4330D"/>
    <w:rsid w:val="00F47217"/>
    <w:rsid w:val="00F56BD5"/>
    <w:rsid w:val="00F72544"/>
    <w:rsid w:val="00F9053E"/>
    <w:rsid w:val="00FB76CB"/>
    <w:rsid w:val="00FC7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3D36"/>
  <w15:chartTrackingRefBased/>
  <w15:docId w15:val="{06F9077F-62BE-404E-80E7-F50250E8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90244"/>
    <w:pPr>
      <w:spacing w:after="0" w:line="48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77306"/>
    <w:pPr>
      <w:keepNext/>
      <w:keepLines/>
      <w:spacing w:before="240" w:after="240" w:line="240" w:lineRule="auto"/>
      <w:ind w:firstLine="0"/>
      <w:outlineLvl w:val="0"/>
    </w:pPr>
    <w:rPr>
      <w:rFonts w:eastAsiaTheme="majorEastAsia" w:cstheme="majorBidi"/>
      <w:b/>
      <w:szCs w:val="32"/>
      <w:u w:val="single"/>
    </w:rPr>
  </w:style>
  <w:style w:type="paragraph" w:styleId="Heading2">
    <w:name w:val="heading 2"/>
    <w:basedOn w:val="Normal"/>
    <w:next w:val="Normal"/>
    <w:link w:val="Heading2Char"/>
    <w:uiPriority w:val="9"/>
    <w:semiHidden/>
    <w:unhideWhenUsed/>
    <w:qFormat/>
    <w:rsid w:val="000420A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2472"/>
    <w:pPr>
      <w:keepNext/>
      <w:keepLines/>
      <w:spacing w:after="120" w:line="240" w:lineRule="auto"/>
      <w:ind w:firstLine="0"/>
      <w:jc w:val="center"/>
    </w:pPr>
    <w:rPr>
      <w:szCs w:val="72"/>
    </w:rPr>
  </w:style>
  <w:style w:type="character" w:customStyle="1" w:styleId="TitleChar">
    <w:name w:val="Title Char"/>
    <w:basedOn w:val="DefaultParagraphFont"/>
    <w:link w:val="Title"/>
    <w:uiPriority w:val="10"/>
    <w:rsid w:val="007C2472"/>
    <w:rPr>
      <w:rFonts w:ascii="Times New Roman" w:eastAsia="Times New Roman" w:hAnsi="Times New Roman" w:cs="Times New Roman"/>
      <w:sz w:val="24"/>
      <w:szCs w:val="72"/>
    </w:rPr>
  </w:style>
  <w:style w:type="character" w:customStyle="1" w:styleId="Heading1Char">
    <w:name w:val="Heading 1 Char"/>
    <w:basedOn w:val="DefaultParagraphFont"/>
    <w:link w:val="Heading1"/>
    <w:uiPriority w:val="9"/>
    <w:rsid w:val="00877306"/>
    <w:rPr>
      <w:rFonts w:ascii="Times New Roman" w:eastAsiaTheme="majorEastAsia" w:hAnsi="Times New Roman" w:cstheme="majorBidi"/>
      <w:b/>
      <w:sz w:val="24"/>
      <w:szCs w:val="32"/>
      <w:u w:val="single"/>
    </w:rPr>
  </w:style>
  <w:style w:type="paragraph" w:customStyle="1" w:styleId="References">
    <w:name w:val="References"/>
    <w:basedOn w:val="Normal"/>
    <w:qFormat/>
    <w:rsid w:val="001A6EB5"/>
    <w:pPr>
      <w:spacing w:before="120" w:line="240" w:lineRule="auto"/>
      <w:ind w:left="720" w:hanging="720"/>
      <w:jc w:val="left"/>
    </w:pPr>
    <w:rPr>
      <w:rFonts w:ascii="Bahnschrift" w:hAnsi="Bahnschrift"/>
      <w:bCs/>
    </w:rPr>
  </w:style>
  <w:style w:type="character" w:styleId="Hyperlink">
    <w:name w:val="Hyperlink"/>
    <w:basedOn w:val="DefaultParagraphFont"/>
    <w:uiPriority w:val="99"/>
    <w:unhideWhenUsed/>
    <w:rsid w:val="007C2472"/>
    <w:rPr>
      <w:color w:val="0563C1" w:themeColor="hyperlink"/>
      <w:u w:val="single"/>
    </w:rPr>
  </w:style>
  <w:style w:type="paragraph" w:styleId="Header">
    <w:name w:val="header"/>
    <w:basedOn w:val="Normal"/>
    <w:link w:val="HeaderChar"/>
    <w:uiPriority w:val="99"/>
    <w:unhideWhenUsed/>
    <w:rsid w:val="007C2472"/>
    <w:pPr>
      <w:tabs>
        <w:tab w:val="center" w:pos="4680"/>
        <w:tab w:val="right" w:pos="9360"/>
      </w:tabs>
      <w:spacing w:line="240" w:lineRule="auto"/>
    </w:pPr>
  </w:style>
  <w:style w:type="character" w:customStyle="1" w:styleId="HeaderChar">
    <w:name w:val="Header Char"/>
    <w:basedOn w:val="DefaultParagraphFont"/>
    <w:link w:val="Header"/>
    <w:uiPriority w:val="99"/>
    <w:rsid w:val="007C247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31FD7"/>
    <w:rPr>
      <w:sz w:val="16"/>
      <w:szCs w:val="16"/>
    </w:rPr>
  </w:style>
  <w:style w:type="paragraph" w:styleId="CommentText">
    <w:name w:val="annotation text"/>
    <w:basedOn w:val="Normal"/>
    <w:link w:val="CommentTextChar"/>
    <w:uiPriority w:val="99"/>
    <w:semiHidden/>
    <w:unhideWhenUsed/>
    <w:rsid w:val="00E31FD7"/>
    <w:pPr>
      <w:spacing w:line="240" w:lineRule="auto"/>
    </w:pPr>
    <w:rPr>
      <w:sz w:val="20"/>
      <w:szCs w:val="20"/>
    </w:rPr>
  </w:style>
  <w:style w:type="character" w:customStyle="1" w:styleId="CommentTextChar">
    <w:name w:val="Comment Text Char"/>
    <w:basedOn w:val="DefaultParagraphFont"/>
    <w:link w:val="CommentText"/>
    <w:uiPriority w:val="99"/>
    <w:semiHidden/>
    <w:rsid w:val="00E31F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31FD7"/>
    <w:rPr>
      <w:b/>
      <w:bCs/>
    </w:rPr>
  </w:style>
  <w:style w:type="character" w:customStyle="1" w:styleId="CommentSubjectChar">
    <w:name w:val="Comment Subject Char"/>
    <w:basedOn w:val="CommentTextChar"/>
    <w:link w:val="CommentSubject"/>
    <w:uiPriority w:val="99"/>
    <w:semiHidden/>
    <w:rsid w:val="00E31FD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31F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FD7"/>
    <w:rPr>
      <w:rFonts w:ascii="Segoe UI" w:eastAsia="Times New Roman" w:hAnsi="Segoe UI" w:cs="Segoe UI"/>
      <w:sz w:val="18"/>
      <w:szCs w:val="18"/>
    </w:rPr>
  </w:style>
  <w:style w:type="paragraph" w:styleId="NormalWeb">
    <w:name w:val="Normal (Web)"/>
    <w:basedOn w:val="Normal"/>
    <w:uiPriority w:val="99"/>
    <w:semiHidden/>
    <w:unhideWhenUsed/>
    <w:rsid w:val="00E31FD7"/>
    <w:pPr>
      <w:spacing w:before="100" w:beforeAutospacing="1" w:after="100" w:afterAutospacing="1" w:line="240" w:lineRule="auto"/>
      <w:ind w:firstLine="0"/>
    </w:pPr>
  </w:style>
  <w:style w:type="character" w:styleId="UnresolvedMention">
    <w:name w:val="Unresolved Mention"/>
    <w:basedOn w:val="DefaultParagraphFont"/>
    <w:uiPriority w:val="99"/>
    <w:semiHidden/>
    <w:unhideWhenUsed/>
    <w:rsid w:val="001B606B"/>
    <w:rPr>
      <w:color w:val="605E5C"/>
      <w:shd w:val="clear" w:color="auto" w:fill="E1DFDD"/>
    </w:rPr>
  </w:style>
  <w:style w:type="character" w:customStyle="1" w:styleId="Heading2Char">
    <w:name w:val="Heading 2 Char"/>
    <w:basedOn w:val="DefaultParagraphFont"/>
    <w:link w:val="Heading2"/>
    <w:uiPriority w:val="9"/>
    <w:semiHidden/>
    <w:rsid w:val="000420A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2F71DE"/>
    <w:rPr>
      <w:color w:val="954F72" w:themeColor="followedHyperlink"/>
      <w:u w:val="single"/>
    </w:rPr>
  </w:style>
  <w:style w:type="character" w:styleId="PlaceholderText">
    <w:name w:val="Placeholder Text"/>
    <w:basedOn w:val="DefaultParagraphFont"/>
    <w:uiPriority w:val="99"/>
    <w:semiHidden/>
    <w:rsid w:val="001F152E"/>
    <w:rPr>
      <w:color w:val="808080"/>
    </w:rPr>
  </w:style>
  <w:style w:type="paragraph" w:styleId="Caption">
    <w:name w:val="caption"/>
    <w:basedOn w:val="Normal"/>
    <w:next w:val="Normal"/>
    <w:uiPriority w:val="35"/>
    <w:unhideWhenUsed/>
    <w:qFormat/>
    <w:rsid w:val="000C2D91"/>
    <w:pPr>
      <w:spacing w:after="200" w:line="240" w:lineRule="auto"/>
    </w:pPr>
    <w:rPr>
      <w:i/>
      <w:iCs/>
      <w:color w:val="44546A" w:themeColor="text2"/>
      <w:sz w:val="18"/>
      <w:szCs w:val="18"/>
    </w:rPr>
  </w:style>
  <w:style w:type="character" w:styleId="Strong">
    <w:name w:val="Strong"/>
    <w:basedOn w:val="DefaultParagraphFont"/>
    <w:uiPriority w:val="22"/>
    <w:qFormat/>
    <w:rsid w:val="00ED22B4"/>
    <w:rPr>
      <w:b/>
      <w:bCs/>
    </w:rPr>
  </w:style>
  <w:style w:type="character" w:customStyle="1" w:styleId="katex-mathml">
    <w:name w:val="katex-mathml"/>
    <w:basedOn w:val="DefaultParagraphFont"/>
    <w:rsid w:val="008B7F9E"/>
  </w:style>
  <w:style w:type="character" w:customStyle="1" w:styleId="mord">
    <w:name w:val="mord"/>
    <w:basedOn w:val="DefaultParagraphFont"/>
    <w:rsid w:val="008B7F9E"/>
  </w:style>
  <w:style w:type="character" w:customStyle="1" w:styleId="vlist-s">
    <w:name w:val="vlist-s"/>
    <w:basedOn w:val="DefaultParagraphFont"/>
    <w:rsid w:val="008B7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1770">
      <w:bodyDiv w:val="1"/>
      <w:marLeft w:val="0"/>
      <w:marRight w:val="0"/>
      <w:marTop w:val="0"/>
      <w:marBottom w:val="0"/>
      <w:divBdr>
        <w:top w:val="none" w:sz="0" w:space="0" w:color="auto"/>
        <w:left w:val="none" w:sz="0" w:space="0" w:color="auto"/>
        <w:bottom w:val="none" w:sz="0" w:space="0" w:color="auto"/>
        <w:right w:val="none" w:sz="0" w:space="0" w:color="auto"/>
      </w:divBdr>
    </w:div>
    <w:div w:id="64449523">
      <w:bodyDiv w:val="1"/>
      <w:marLeft w:val="0"/>
      <w:marRight w:val="0"/>
      <w:marTop w:val="0"/>
      <w:marBottom w:val="0"/>
      <w:divBdr>
        <w:top w:val="none" w:sz="0" w:space="0" w:color="auto"/>
        <w:left w:val="none" w:sz="0" w:space="0" w:color="auto"/>
        <w:bottom w:val="none" w:sz="0" w:space="0" w:color="auto"/>
        <w:right w:val="none" w:sz="0" w:space="0" w:color="auto"/>
      </w:divBdr>
    </w:div>
    <w:div w:id="373233206">
      <w:bodyDiv w:val="1"/>
      <w:marLeft w:val="0"/>
      <w:marRight w:val="0"/>
      <w:marTop w:val="0"/>
      <w:marBottom w:val="0"/>
      <w:divBdr>
        <w:top w:val="none" w:sz="0" w:space="0" w:color="auto"/>
        <w:left w:val="none" w:sz="0" w:space="0" w:color="auto"/>
        <w:bottom w:val="none" w:sz="0" w:space="0" w:color="auto"/>
        <w:right w:val="none" w:sz="0" w:space="0" w:color="auto"/>
      </w:divBdr>
    </w:div>
    <w:div w:id="460421197">
      <w:bodyDiv w:val="1"/>
      <w:marLeft w:val="0"/>
      <w:marRight w:val="0"/>
      <w:marTop w:val="0"/>
      <w:marBottom w:val="0"/>
      <w:divBdr>
        <w:top w:val="none" w:sz="0" w:space="0" w:color="auto"/>
        <w:left w:val="none" w:sz="0" w:space="0" w:color="auto"/>
        <w:bottom w:val="none" w:sz="0" w:space="0" w:color="auto"/>
        <w:right w:val="none" w:sz="0" w:space="0" w:color="auto"/>
      </w:divBdr>
    </w:div>
    <w:div w:id="676424385">
      <w:bodyDiv w:val="1"/>
      <w:marLeft w:val="0"/>
      <w:marRight w:val="0"/>
      <w:marTop w:val="0"/>
      <w:marBottom w:val="0"/>
      <w:divBdr>
        <w:top w:val="none" w:sz="0" w:space="0" w:color="auto"/>
        <w:left w:val="none" w:sz="0" w:space="0" w:color="auto"/>
        <w:bottom w:val="none" w:sz="0" w:space="0" w:color="auto"/>
        <w:right w:val="none" w:sz="0" w:space="0" w:color="auto"/>
      </w:divBdr>
    </w:div>
    <w:div w:id="710693300">
      <w:bodyDiv w:val="1"/>
      <w:marLeft w:val="0"/>
      <w:marRight w:val="0"/>
      <w:marTop w:val="0"/>
      <w:marBottom w:val="0"/>
      <w:divBdr>
        <w:top w:val="none" w:sz="0" w:space="0" w:color="auto"/>
        <w:left w:val="none" w:sz="0" w:space="0" w:color="auto"/>
        <w:bottom w:val="none" w:sz="0" w:space="0" w:color="auto"/>
        <w:right w:val="none" w:sz="0" w:space="0" w:color="auto"/>
      </w:divBdr>
    </w:div>
    <w:div w:id="1112557290">
      <w:bodyDiv w:val="1"/>
      <w:marLeft w:val="0"/>
      <w:marRight w:val="0"/>
      <w:marTop w:val="0"/>
      <w:marBottom w:val="0"/>
      <w:divBdr>
        <w:top w:val="none" w:sz="0" w:space="0" w:color="auto"/>
        <w:left w:val="none" w:sz="0" w:space="0" w:color="auto"/>
        <w:bottom w:val="none" w:sz="0" w:space="0" w:color="auto"/>
        <w:right w:val="none" w:sz="0" w:space="0" w:color="auto"/>
      </w:divBdr>
    </w:div>
    <w:div w:id="1124688690">
      <w:bodyDiv w:val="1"/>
      <w:marLeft w:val="0"/>
      <w:marRight w:val="0"/>
      <w:marTop w:val="0"/>
      <w:marBottom w:val="0"/>
      <w:divBdr>
        <w:top w:val="none" w:sz="0" w:space="0" w:color="auto"/>
        <w:left w:val="none" w:sz="0" w:space="0" w:color="auto"/>
        <w:bottom w:val="none" w:sz="0" w:space="0" w:color="auto"/>
        <w:right w:val="none" w:sz="0" w:space="0" w:color="auto"/>
      </w:divBdr>
    </w:div>
    <w:div w:id="1156606822">
      <w:bodyDiv w:val="1"/>
      <w:marLeft w:val="0"/>
      <w:marRight w:val="0"/>
      <w:marTop w:val="0"/>
      <w:marBottom w:val="0"/>
      <w:divBdr>
        <w:top w:val="none" w:sz="0" w:space="0" w:color="auto"/>
        <w:left w:val="none" w:sz="0" w:space="0" w:color="auto"/>
        <w:bottom w:val="none" w:sz="0" w:space="0" w:color="auto"/>
        <w:right w:val="none" w:sz="0" w:space="0" w:color="auto"/>
      </w:divBdr>
    </w:div>
    <w:div w:id="1263993537">
      <w:bodyDiv w:val="1"/>
      <w:marLeft w:val="0"/>
      <w:marRight w:val="0"/>
      <w:marTop w:val="0"/>
      <w:marBottom w:val="0"/>
      <w:divBdr>
        <w:top w:val="none" w:sz="0" w:space="0" w:color="auto"/>
        <w:left w:val="none" w:sz="0" w:space="0" w:color="auto"/>
        <w:bottom w:val="none" w:sz="0" w:space="0" w:color="auto"/>
        <w:right w:val="none" w:sz="0" w:space="0" w:color="auto"/>
      </w:divBdr>
    </w:div>
    <w:div w:id="1307973475">
      <w:bodyDiv w:val="1"/>
      <w:marLeft w:val="0"/>
      <w:marRight w:val="0"/>
      <w:marTop w:val="0"/>
      <w:marBottom w:val="0"/>
      <w:divBdr>
        <w:top w:val="none" w:sz="0" w:space="0" w:color="auto"/>
        <w:left w:val="none" w:sz="0" w:space="0" w:color="auto"/>
        <w:bottom w:val="none" w:sz="0" w:space="0" w:color="auto"/>
        <w:right w:val="none" w:sz="0" w:space="0" w:color="auto"/>
      </w:divBdr>
    </w:div>
    <w:div w:id="1417822898">
      <w:bodyDiv w:val="1"/>
      <w:marLeft w:val="0"/>
      <w:marRight w:val="0"/>
      <w:marTop w:val="0"/>
      <w:marBottom w:val="0"/>
      <w:divBdr>
        <w:top w:val="none" w:sz="0" w:space="0" w:color="auto"/>
        <w:left w:val="none" w:sz="0" w:space="0" w:color="auto"/>
        <w:bottom w:val="none" w:sz="0" w:space="0" w:color="auto"/>
        <w:right w:val="none" w:sz="0" w:space="0" w:color="auto"/>
      </w:divBdr>
    </w:div>
    <w:div w:id="1446147439">
      <w:bodyDiv w:val="1"/>
      <w:marLeft w:val="0"/>
      <w:marRight w:val="0"/>
      <w:marTop w:val="0"/>
      <w:marBottom w:val="0"/>
      <w:divBdr>
        <w:top w:val="none" w:sz="0" w:space="0" w:color="auto"/>
        <w:left w:val="none" w:sz="0" w:space="0" w:color="auto"/>
        <w:bottom w:val="none" w:sz="0" w:space="0" w:color="auto"/>
        <w:right w:val="none" w:sz="0" w:space="0" w:color="auto"/>
      </w:divBdr>
    </w:div>
    <w:div w:id="1487627313">
      <w:bodyDiv w:val="1"/>
      <w:marLeft w:val="0"/>
      <w:marRight w:val="0"/>
      <w:marTop w:val="0"/>
      <w:marBottom w:val="0"/>
      <w:divBdr>
        <w:top w:val="none" w:sz="0" w:space="0" w:color="auto"/>
        <w:left w:val="none" w:sz="0" w:space="0" w:color="auto"/>
        <w:bottom w:val="none" w:sz="0" w:space="0" w:color="auto"/>
        <w:right w:val="none" w:sz="0" w:space="0" w:color="auto"/>
      </w:divBdr>
    </w:div>
    <w:div w:id="1497263131">
      <w:bodyDiv w:val="1"/>
      <w:marLeft w:val="0"/>
      <w:marRight w:val="0"/>
      <w:marTop w:val="0"/>
      <w:marBottom w:val="0"/>
      <w:divBdr>
        <w:top w:val="none" w:sz="0" w:space="0" w:color="auto"/>
        <w:left w:val="none" w:sz="0" w:space="0" w:color="auto"/>
        <w:bottom w:val="none" w:sz="0" w:space="0" w:color="auto"/>
        <w:right w:val="none" w:sz="0" w:space="0" w:color="auto"/>
      </w:divBdr>
    </w:div>
    <w:div w:id="1557424582">
      <w:bodyDiv w:val="1"/>
      <w:marLeft w:val="0"/>
      <w:marRight w:val="0"/>
      <w:marTop w:val="0"/>
      <w:marBottom w:val="0"/>
      <w:divBdr>
        <w:top w:val="none" w:sz="0" w:space="0" w:color="auto"/>
        <w:left w:val="none" w:sz="0" w:space="0" w:color="auto"/>
        <w:bottom w:val="none" w:sz="0" w:space="0" w:color="auto"/>
        <w:right w:val="none" w:sz="0" w:space="0" w:color="auto"/>
      </w:divBdr>
    </w:div>
    <w:div w:id="1681274028">
      <w:bodyDiv w:val="1"/>
      <w:marLeft w:val="0"/>
      <w:marRight w:val="0"/>
      <w:marTop w:val="0"/>
      <w:marBottom w:val="0"/>
      <w:divBdr>
        <w:top w:val="none" w:sz="0" w:space="0" w:color="auto"/>
        <w:left w:val="none" w:sz="0" w:space="0" w:color="auto"/>
        <w:bottom w:val="none" w:sz="0" w:space="0" w:color="auto"/>
        <w:right w:val="none" w:sz="0" w:space="0" w:color="auto"/>
      </w:divBdr>
    </w:div>
    <w:div w:id="1839348175">
      <w:bodyDiv w:val="1"/>
      <w:marLeft w:val="0"/>
      <w:marRight w:val="0"/>
      <w:marTop w:val="0"/>
      <w:marBottom w:val="0"/>
      <w:divBdr>
        <w:top w:val="none" w:sz="0" w:space="0" w:color="auto"/>
        <w:left w:val="none" w:sz="0" w:space="0" w:color="auto"/>
        <w:bottom w:val="none" w:sz="0" w:space="0" w:color="auto"/>
        <w:right w:val="none" w:sz="0" w:space="0" w:color="auto"/>
      </w:divBdr>
    </w:div>
    <w:div w:id="1875196210">
      <w:bodyDiv w:val="1"/>
      <w:marLeft w:val="0"/>
      <w:marRight w:val="0"/>
      <w:marTop w:val="0"/>
      <w:marBottom w:val="0"/>
      <w:divBdr>
        <w:top w:val="none" w:sz="0" w:space="0" w:color="auto"/>
        <w:left w:val="none" w:sz="0" w:space="0" w:color="auto"/>
        <w:bottom w:val="none" w:sz="0" w:space="0" w:color="auto"/>
        <w:right w:val="none" w:sz="0" w:space="0" w:color="auto"/>
      </w:divBdr>
    </w:div>
    <w:div w:id="1918828697">
      <w:bodyDiv w:val="1"/>
      <w:marLeft w:val="0"/>
      <w:marRight w:val="0"/>
      <w:marTop w:val="0"/>
      <w:marBottom w:val="0"/>
      <w:divBdr>
        <w:top w:val="none" w:sz="0" w:space="0" w:color="auto"/>
        <w:left w:val="none" w:sz="0" w:space="0" w:color="auto"/>
        <w:bottom w:val="none" w:sz="0" w:space="0" w:color="auto"/>
        <w:right w:val="none" w:sz="0" w:space="0" w:color="auto"/>
      </w:divBdr>
    </w:div>
    <w:div w:id="1969122219">
      <w:bodyDiv w:val="1"/>
      <w:marLeft w:val="0"/>
      <w:marRight w:val="0"/>
      <w:marTop w:val="0"/>
      <w:marBottom w:val="0"/>
      <w:divBdr>
        <w:top w:val="none" w:sz="0" w:space="0" w:color="auto"/>
        <w:left w:val="none" w:sz="0" w:space="0" w:color="auto"/>
        <w:bottom w:val="none" w:sz="0" w:space="0" w:color="auto"/>
        <w:right w:val="none" w:sz="0" w:space="0" w:color="auto"/>
      </w:divBdr>
    </w:div>
    <w:div w:id="204593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iltonproject.org/papers/retraining_displaced_workers"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cbo.gov/sites/default/files114th-congress-2015-2016/reports/51518-hurrciane-damage-onecol.pdf" TargetMode="External"/><Relationship Id="rId12" Type="http://schemas.openxmlformats.org/officeDocument/2006/relationships/hyperlink" Target="https://www.climatecosts2040.org/files/ClimateCosts2040_Report-v4.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tidesandcurrents.noaa.gov/publications/techrpt83_Global_and_Regional_SLR_Scenarios_for_the_US_final.pdf"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proceedings.esri.com/library/userconf/heal6th06/docs/summary_report.pdf" TargetMode="External"/><Relationship Id="rId4" Type="http://schemas.openxmlformats.org/officeDocument/2006/relationships/footnotes" Target="footnotes.xml"/><Relationship Id="rId9" Type="http://schemas.openxmlformats.org/officeDocument/2006/relationships/hyperlink" Target="http://repository.upenn.edu/hcmg_papers/1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11</Pages>
  <Words>2863</Words>
  <Characters>16324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Wataru Hoeltermann</dc:creator>
  <cp:keywords/>
  <dc:description/>
  <cp:lastModifiedBy>Wataru John Hoeltermann</cp:lastModifiedBy>
  <cp:revision>46</cp:revision>
  <cp:lastPrinted>2024-10-03T20:05:00Z</cp:lastPrinted>
  <dcterms:created xsi:type="dcterms:W3CDTF">2024-10-03T20:06:00Z</dcterms:created>
  <dcterms:modified xsi:type="dcterms:W3CDTF">2024-10-05T18:48:00Z</dcterms:modified>
</cp:coreProperties>
</file>