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F771" w14:textId="7B2B3BD3" w:rsidR="00F11F75" w:rsidRDefault="00F11F75" w:rsidP="00F11F75">
      <w:pPr>
        <w:shd w:val="clear" w:color="auto" w:fill="FFFFFF" w:themeFill="background1"/>
        <w:spacing w:before="210" w:after="270" w:line="300" w:lineRule="auto"/>
        <w:rPr>
          <w:rFonts w:eastAsia="Times New Roman" w:cs="Times New Roman"/>
          <w:color w:val="1A1C1E"/>
        </w:rPr>
      </w:pPr>
      <w:r w:rsidRPr="256AA730">
        <w:rPr>
          <w:rFonts w:eastAsia="Times New Roman" w:cs="Times New Roman"/>
          <w:b/>
          <w:bCs/>
          <w:color w:val="1A1C1E"/>
        </w:rPr>
        <w:t>Project Name:</w:t>
      </w:r>
      <w:r w:rsidRPr="256AA730">
        <w:rPr>
          <w:rFonts w:eastAsia="Times New Roman" w:cs="Times New Roman"/>
          <w:color w:val="1A1C1E"/>
        </w:rPr>
        <w:t xml:space="preserve"> Team Project </w:t>
      </w:r>
      <w:r w:rsidR="009A1587">
        <w:rPr>
          <w:rFonts w:eastAsiaTheme="minorEastAsia" w:cs="Times New Roman" w:hint="eastAsia"/>
          <w:color w:val="1A1C1E"/>
        </w:rPr>
        <w:t>2</w:t>
      </w:r>
      <w:r w:rsidR="00B50446">
        <w:rPr>
          <w:rFonts w:eastAsiaTheme="minorEastAsia" w:cs="Times New Roman" w:hint="eastAsia"/>
          <w:color w:val="1A1C1E"/>
        </w:rPr>
        <w:t xml:space="preserve"> in</w:t>
      </w:r>
      <w:r w:rsidRPr="256AA730">
        <w:rPr>
          <w:rFonts w:eastAsia="Times New Roman" w:cs="Times New Roman"/>
          <w:color w:val="1A1C1E"/>
        </w:rPr>
        <w:t xml:space="preserve"> CS 53744 Machine Learning Project</w:t>
      </w:r>
    </w:p>
    <w:p w14:paraId="04FE64E0" w14:textId="53210317" w:rsidR="00F11F75" w:rsidRDefault="00F11F75" w:rsidP="00F11F75">
      <w:pPr>
        <w:shd w:val="clear" w:color="auto" w:fill="FFFFFF" w:themeFill="background1"/>
        <w:spacing w:before="210" w:after="270" w:line="300" w:lineRule="auto"/>
        <w:rPr>
          <w:rFonts w:eastAsia="Times New Roman" w:cs="Times New Roman"/>
          <w:color w:val="1A1C1E"/>
        </w:rPr>
      </w:pPr>
      <w:r w:rsidRPr="256AA730">
        <w:rPr>
          <w:rFonts w:eastAsia="Times New Roman" w:cs="Times New Roman"/>
          <w:b/>
          <w:bCs/>
          <w:color w:val="1A1C1E"/>
        </w:rPr>
        <w:t>Task:</w:t>
      </w:r>
      <w:r w:rsidRPr="256AA730">
        <w:rPr>
          <w:rFonts w:eastAsia="Times New Roman" w:cs="Times New Roman"/>
          <w:color w:val="1A1C1E"/>
        </w:rPr>
        <w:t xml:space="preserve"> </w:t>
      </w:r>
      <w:r w:rsidR="009A1587" w:rsidRPr="009A1587">
        <w:rPr>
          <w:rFonts w:eastAsia="Times New Roman" w:cs="Times New Roman"/>
          <w:color w:val="1A1C1E"/>
        </w:rPr>
        <w:t>Predicting Human Preferences for LLM Response Enhancement</w:t>
      </w:r>
    </w:p>
    <w:p w14:paraId="2E70890B" w14:textId="77777777" w:rsidR="00F11F75" w:rsidRDefault="00F11F75" w:rsidP="00F11F75">
      <w:pPr>
        <w:shd w:val="clear" w:color="auto" w:fill="FFFFFF" w:themeFill="background1"/>
        <w:spacing w:before="210" w:after="270" w:line="300" w:lineRule="auto"/>
        <w:rPr>
          <w:rFonts w:eastAsia="Times New Roman" w:cs="Times New Roman"/>
          <w:b/>
          <w:bCs/>
          <w:color w:val="1A1C1E"/>
        </w:rPr>
      </w:pPr>
      <w:r w:rsidRPr="256AA730">
        <w:rPr>
          <w:rFonts w:eastAsia="Times New Roman" w:cs="Times New Roman"/>
          <w:b/>
          <w:bCs/>
          <w:color w:val="1A1C1E"/>
        </w:rPr>
        <w:t>TEAM 8:</w:t>
      </w:r>
    </w:p>
    <w:p w14:paraId="2E463028" w14:textId="77777777" w:rsidR="00F11F75" w:rsidRDefault="00F11F75" w:rsidP="00F11F75">
      <w:pPr>
        <w:pStyle w:val="a9"/>
        <w:numPr>
          <w:ilvl w:val="0"/>
          <w:numId w:val="2"/>
        </w:numPr>
        <w:shd w:val="clear" w:color="auto" w:fill="FFFFFF" w:themeFill="background1"/>
        <w:spacing w:after="45" w:line="300" w:lineRule="auto"/>
        <w:contextualSpacing w:val="0"/>
        <w:rPr>
          <w:rFonts w:eastAsia="Times New Roman" w:cs="Times New Roman"/>
          <w:color w:val="1A1C1E"/>
        </w:rPr>
      </w:pPr>
      <w:r w:rsidRPr="256AA730">
        <w:rPr>
          <w:rFonts w:eastAsia="Times New Roman" w:cs="Times New Roman"/>
          <w:color w:val="1A1C1E"/>
        </w:rPr>
        <w:t>XU LINRUI, 50251600</w:t>
      </w:r>
    </w:p>
    <w:p w14:paraId="55B23B1B" w14:textId="77777777" w:rsidR="00F11F75" w:rsidRDefault="00F11F75" w:rsidP="00F11F75">
      <w:pPr>
        <w:pStyle w:val="a9"/>
        <w:numPr>
          <w:ilvl w:val="0"/>
          <w:numId w:val="2"/>
        </w:numPr>
        <w:shd w:val="clear" w:color="auto" w:fill="FFFFFF" w:themeFill="background1"/>
        <w:spacing w:after="45" w:line="300" w:lineRule="auto"/>
        <w:contextualSpacing w:val="0"/>
        <w:rPr>
          <w:rFonts w:eastAsia="Times New Roman" w:cs="Times New Roman"/>
          <w:color w:val="1A1C1E"/>
        </w:rPr>
      </w:pPr>
      <w:r w:rsidRPr="256AA730">
        <w:rPr>
          <w:rFonts w:eastAsia="Times New Roman" w:cs="Times New Roman"/>
          <w:color w:val="1A1C1E"/>
        </w:rPr>
        <w:t>HUANG FANRU, 20214788</w:t>
      </w:r>
    </w:p>
    <w:p w14:paraId="31926D13" w14:textId="77777777" w:rsidR="00F11F75" w:rsidRDefault="00F11F75" w:rsidP="00F11F75">
      <w:pPr>
        <w:pStyle w:val="a9"/>
        <w:numPr>
          <w:ilvl w:val="0"/>
          <w:numId w:val="2"/>
        </w:numPr>
        <w:shd w:val="clear" w:color="auto" w:fill="FFFFFF" w:themeFill="background1"/>
        <w:spacing w:after="45" w:line="300" w:lineRule="auto"/>
        <w:contextualSpacing w:val="0"/>
        <w:rPr>
          <w:rFonts w:eastAsia="Times New Roman" w:cs="Times New Roman"/>
          <w:color w:val="1A1C1E"/>
        </w:rPr>
      </w:pPr>
      <w:r w:rsidRPr="256AA730">
        <w:rPr>
          <w:rFonts w:eastAsia="Times New Roman" w:cs="Times New Roman"/>
          <w:color w:val="1A1C1E"/>
        </w:rPr>
        <w:t>FANG JINGYI, 20223178</w:t>
      </w:r>
    </w:p>
    <w:p w14:paraId="596F4BD1" w14:textId="77777777" w:rsidR="00F11F75" w:rsidRDefault="00F11F75" w:rsidP="00F11F75">
      <w:pPr>
        <w:pStyle w:val="a9"/>
        <w:numPr>
          <w:ilvl w:val="0"/>
          <w:numId w:val="2"/>
        </w:numPr>
        <w:shd w:val="clear" w:color="auto" w:fill="FFFFFF" w:themeFill="background1"/>
        <w:spacing w:after="45" w:line="300" w:lineRule="auto"/>
        <w:contextualSpacing w:val="0"/>
        <w:rPr>
          <w:rFonts w:eastAsia="Times New Roman" w:cs="Times New Roman"/>
          <w:color w:val="1A1C1E"/>
        </w:rPr>
      </w:pPr>
      <w:r w:rsidRPr="256AA730">
        <w:rPr>
          <w:rFonts w:eastAsia="Times New Roman" w:cs="Times New Roman"/>
          <w:color w:val="1A1C1E"/>
        </w:rPr>
        <w:t>FEI XIZE, 20212288</w:t>
      </w:r>
    </w:p>
    <w:p w14:paraId="2C050E5D" w14:textId="77777777" w:rsidR="00F066E2" w:rsidRDefault="00F066E2"/>
    <w:p w14:paraId="3E4F97B1" w14:textId="6484C074" w:rsidR="009A1587" w:rsidRPr="00696132" w:rsidRDefault="00405812" w:rsidP="00696132">
      <w:pPr>
        <w:pStyle w:val="a9"/>
        <w:numPr>
          <w:ilvl w:val="0"/>
          <w:numId w:val="3"/>
        </w:numPr>
        <w:rPr>
          <w:b/>
          <w:bCs/>
        </w:rPr>
      </w:pPr>
      <w:r>
        <w:rPr>
          <w:rFonts w:hint="eastAsia"/>
          <w:b/>
          <w:bCs/>
        </w:rPr>
        <w:t>Overview</w:t>
      </w:r>
    </w:p>
    <w:p w14:paraId="5FBC028C" w14:textId="4DB8E6DD" w:rsidR="000F01BC" w:rsidRDefault="009A1587" w:rsidP="009A1587">
      <w:pPr>
        <w:rPr>
          <w:sz w:val="22"/>
          <w:szCs w:val="21"/>
        </w:rPr>
      </w:pPr>
      <w:r w:rsidRPr="009A1587">
        <w:rPr>
          <w:sz w:val="22"/>
          <w:szCs w:val="21"/>
        </w:rPr>
        <w:t>This project addresses the challenging task of predicting human preferences between Large Language Model (LLM) responses, a crucial problem in AI alignment and model evaluation. The competition dataset from Kaggle contains</w:t>
      </w:r>
      <w:r w:rsidR="00887963">
        <w:rPr>
          <w:rFonts w:hint="eastAsia"/>
          <w:sz w:val="22"/>
          <w:szCs w:val="21"/>
        </w:rPr>
        <w:t xml:space="preserve"> </w:t>
      </w:r>
      <w:r w:rsidRPr="009A1587">
        <w:rPr>
          <w:sz w:val="22"/>
          <w:szCs w:val="21"/>
        </w:rPr>
        <w:t>5</w:t>
      </w:r>
      <w:r w:rsidR="00887963">
        <w:rPr>
          <w:rFonts w:hint="eastAsia"/>
          <w:sz w:val="22"/>
          <w:szCs w:val="21"/>
        </w:rPr>
        <w:t>7</w:t>
      </w:r>
      <w:r w:rsidRPr="009A1587">
        <w:rPr>
          <w:sz w:val="22"/>
          <w:szCs w:val="21"/>
        </w:rPr>
        <w:t>,</w:t>
      </w:r>
      <w:r w:rsidR="00887963">
        <w:rPr>
          <w:rFonts w:hint="eastAsia"/>
          <w:sz w:val="22"/>
          <w:szCs w:val="21"/>
        </w:rPr>
        <w:t>485</w:t>
      </w:r>
      <w:r w:rsidRPr="009A1587">
        <w:rPr>
          <w:sz w:val="22"/>
          <w:szCs w:val="21"/>
        </w:rPr>
        <w:t xml:space="preserve"> training samples and </w:t>
      </w:r>
      <w:r w:rsidR="005B3E78">
        <w:rPr>
          <w:sz w:val="22"/>
          <w:szCs w:val="21"/>
        </w:rPr>
        <w:t>approximately</w:t>
      </w:r>
      <w:r w:rsidR="005B3E78">
        <w:rPr>
          <w:rFonts w:hint="eastAsia"/>
          <w:sz w:val="22"/>
          <w:szCs w:val="21"/>
        </w:rPr>
        <w:t xml:space="preserve"> </w:t>
      </w:r>
      <w:r w:rsidRPr="009A1587">
        <w:rPr>
          <w:sz w:val="22"/>
          <w:szCs w:val="21"/>
        </w:rPr>
        <w:t>25,000 test samples, where each instance presents a prompt alongside two alternative responses (A and B) from different models, with human annotations indicating the preferred response or a tie.</w:t>
      </w:r>
    </w:p>
    <w:p w14:paraId="3147AC1D" w14:textId="15730CB7" w:rsidR="009A1587" w:rsidRDefault="009A1587" w:rsidP="009A1587">
      <w:pPr>
        <w:rPr>
          <w:rFonts w:hint="eastAsia"/>
          <w:sz w:val="22"/>
          <w:szCs w:val="21"/>
        </w:rPr>
      </w:pPr>
      <w:r w:rsidRPr="009A1587">
        <w:rPr>
          <w:sz w:val="22"/>
          <w:szCs w:val="21"/>
        </w:rPr>
        <w:t xml:space="preserve">Our approach follows a progressive methodology, beginning with simple baseline models and advancing through increasingly sophisticated techniques including sentence embeddings, </w:t>
      </w:r>
      <w:r w:rsidR="005B3E78" w:rsidRPr="009A1587">
        <w:rPr>
          <w:sz w:val="22"/>
          <w:szCs w:val="21"/>
        </w:rPr>
        <w:t>feature engineering</w:t>
      </w:r>
      <w:r w:rsidR="005B3E78">
        <w:rPr>
          <w:rFonts w:hint="eastAsia"/>
          <w:sz w:val="22"/>
          <w:szCs w:val="21"/>
        </w:rPr>
        <w:t xml:space="preserve">, </w:t>
      </w:r>
      <w:r w:rsidRPr="009A1587">
        <w:rPr>
          <w:sz w:val="22"/>
          <w:szCs w:val="21"/>
        </w:rPr>
        <w:t>ensemble methods, and parameter-efficient fine-tuning</w:t>
      </w:r>
      <w:r w:rsidR="005B3E78">
        <w:rPr>
          <w:rFonts w:hint="eastAsia"/>
          <w:sz w:val="22"/>
          <w:szCs w:val="21"/>
        </w:rPr>
        <w:t xml:space="preserve">, </w:t>
      </w:r>
      <w:r w:rsidR="000F01BC" w:rsidRPr="000F01BC">
        <w:rPr>
          <w:rFonts w:hint="eastAsia"/>
          <w:b/>
          <w:bCs/>
          <w:sz w:val="22"/>
          <w:szCs w:val="21"/>
        </w:rPr>
        <w:t xml:space="preserve">finally </w:t>
      </w:r>
      <w:r w:rsidR="005B3E78" w:rsidRPr="000F01BC">
        <w:rPr>
          <w:rFonts w:hint="eastAsia"/>
          <w:b/>
          <w:bCs/>
          <w:sz w:val="22"/>
          <w:szCs w:val="21"/>
        </w:rPr>
        <w:t>ac</w:t>
      </w:r>
      <w:r w:rsidR="000F01BC" w:rsidRPr="000F01BC">
        <w:rPr>
          <w:rFonts w:hint="eastAsia"/>
          <w:b/>
          <w:bCs/>
          <w:sz w:val="22"/>
          <w:szCs w:val="21"/>
        </w:rPr>
        <w:t xml:space="preserve">hieving </w:t>
      </w:r>
      <w:r w:rsidR="000C129C">
        <w:rPr>
          <w:rFonts w:hint="eastAsia"/>
          <w:b/>
          <w:bCs/>
          <w:sz w:val="22"/>
          <w:szCs w:val="21"/>
        </w:rPr>
        <w:t>1.0262</w:t>
      </w:r>
      <w:r w:rsidR="0088009F">
        <w:rPr>
          <w:rFonts w:hint="eastAsia"/>
          <w:b/>
          <w:bCs/>
          <w:sz w:val="22"/>
          <w:szCs w:val="21"/>
        </w:rPr>
        <w:t>1</w:t>
      </w:r>
      <w:r w:rsidR="000F01BC" w:rsidRPr="000F01BC">
        <w:rPr>
          <w:rFonts w:hint="eastAsia"/>
          <w:b/>
          <w:bCs/>
          <w:sz w:val="22"/>
          <w:szCs w:val="21"/>
        </w:rPr>
        <w:t xml:space="preserve"> at the </w:t>
      </w:r>
      <w:r w:rsidR="000F01BC" w:rsidRPr="000F01BC">
        <w:rPr>
          <w:b/>
          <w:bCs/>
          <w:sz w:val="22"/>
          <w:szCs w:val="21"/>
        </w:rPr>
        <w:t>leaderboard</w:t>
      </w:r>
      <w:r w:rsidR="000F01BC" w:rsidRPr="000F01BC">
        <w:rPr>
          <w:rFonts w:hint="eastAsia"/>
          <w:b/>
          <w:bCs/>
          <w:sz w:val="22"/>
          <w:szCs w:val="21"/>
        </w:rPr>
        <w:t xml:space="preserve"> in </w:t>
      </w:r>
      <w:r w:rsidR="000F01BC" w:rsidRPr="000F01BC">
        <w:rPr>
          <w:b/>
          <w:bCs/>
          <w:sz w:val="22"/>
          <w:szCs w:val="21"/>
        </w:rPr>
        <w:t>Kaggle</w:t>
      </w:r>
      <w:r w:rsidR="00D9799E">
        <w:rPr>
          <w:rFonts w:hint="eastAsia"/>
          <w:b/>
          <w:bCs/>
          <w:sz w:val="22"/>
          <w:szCs w:val="21"/>
        </w:rPr>
        <w:t xml:space="preserve"> as shown in FIGURE 1</w:t>
      </w:r>
      <w:r w:rsidRPr="009A1587">
        <w:rPr>
          <w:sz w:val="22"/>
          <w:szCs w:val="21"/>
        </w:rPr>
        <w:t>.</w:t>
      </w:r>
      <w:r w:rsidR="00D26B28">
        <w:rPr>
          <w:rFonts w:hint="eastAsia"/>
          <w:sz w:val="22"/>
          <w:szCs w:val="21"/>
        </w:rPr>
        <w:t xml:space="preserve"> </w:t>
      </w:r>
      <w:r w:rsidR="000F01BC">
        <w:rPr>
          <w:rFonts w:hint="eastAsia"/>
          <w:sz w:val="22"/>
          <w:szCs w:val="21"/>
        </w:rPr>
        <w:t xml:space="preserve">We have created a </w:t>
      </w:r>
      <w:r w:rsidR="000F01BC">
        <w:rPr>
          <w:sz w:val="22"/>
          <w:szCs w:val="21"/>
        </w:rPr>
        <w:t>GitHub</w:t>
      </w:r>
      <w:r w:rsidR="000F01BC">
        <w:rPr>
          <w:rFonts w:hint="eastAsia"/>
          <w:sz w:val="22"/>
          <w:szCs w:val="21"/>
        </w:rPr>
        <w:t xml:space="preserve"> Repositories at </w:t>
      </w:r>
      <w:hyperlink r:id="rId8" w:history="1">
        <w:r w:rsidR="000F01BC" w:rsidRPr="000F01BC">
          <w:rPr>
            <w:rStyle w:val="ae"/>
            <w:sz w:val="22"/>
            <w:szCs w:val="21"/>
          </w:rPr>
          <w:t>Reducto7/MLP_proj2</w:t>
        </w:r>
      </w:hyperlink>
      <w:r w:rsidR="000F01BC" w:rsidRPr="000F01BC">
        <w:rPr>
          <w:rFonts w:hint="eastAsia"/>
          <w:sz w:val="22"/>
          <w:szCs w:val="21"/>
        </w:rPr>
        <w:t xml:space="preserve"> </w:t>
      </w:r>
      <w:r w:rsidR="000F01BC">
        <w:rPr>
          <w:rFonts w:hint="eastAsia"/>
          <w:sz w:val="22"/>
          <w:szCs w:val="21"/>
        </w:rPr>
        <w:t xml:space="preserve">to index all </w:t>
      </w:r>
      <w:r w:rsidR="000F01BC">
        <w:rPr>
          <w:sz w:val="22"/>
          <w:szCs w:val="21"/>
        </w:rPr>
        <w:t>materials</w:t>
      </w:r>
      <w:r w:rsidR="000F01BC">
        <w:rPr>
          <w:rFonts w:hint="eastAsia"/>
          <w:sz w:val="22"/>
          <w:szCs w:val="21"/>
        </w:rPr>
        <w:t xml:space="preserve"> for </w:t>
      </w:r>
      <w:r w:rsidR="000F01BC">
        <w:rPr>
          <w:sz w:val="22"/>
          <w:szCs w:val="21"/>
        </w:rPr>
        <w:t>convenient</w:t>
      </w:r>
      <w:r w:rsidR="000F01BC">
        <w:rPr>
          <w:rFonts w:hint="eastAsia"/>
          <w:sz w:val="22"/>
          <w:szCs w:val="21"/>
        </w:rPr>
        <w:t xml:space="preserve"> reproduction at any time.</w:t>
      </w:r>
    </w:p>
    <w:p w14:paraId="2D4AE163" w14:textId="01A2ABE7" w:rsidR="00D9799E" w:rsidRDefault="00E130C1" w:rsidP="00D9799E">
      <w:pPr>
        <w:jc w:val="center"/>
        <w:rPr>
          <w:sz w:val="22"/>
          <w:szCs w:val="21"/>
        </w:rPr>
      </w:pPr>
      <w:r w:rsidRPr="00E130C1">
        <w:rPr>
          <w:noProof/>
          <w:sz w:val="22"/>
          <w:szCs w:val="21"/>
        </w:rPr>
        <w:drawing>
          <wp:inline distT="0" distB="0" distL="0" distR="0" wp14:anchorId="54BD5C56" wp14:editId="5CF2831D">
            <wp:extent cx="5278120" cy="1644015"/>
            <wp:effectExtent l="0" t="0" r="0" b="0"/>
            <wp:docPr id="1398482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8120" cy="1644015"/>
                    </a:xfrm>
                    <a:prstGeom prst="rect">
                      <a:avLst/>
                    </a:prstGeom>
                    <a:noFill/>
                    <a:ln>
                      <a:noFill/>
                    </a:ln>
                  </pic:spPr>
                </pic:pic>
              </a:graphicData>
            </a:graphic>
          </wp:inline>
        </w:drawing>
      </w:r>
    </w:p>
    <w:p w14:paraId="475B29AA" w14:textId="62F6CB8B" w:rsidR="00D9799E" w:rsidRPr="009A1587" w:rsidRDefault="00D9799E" w:rsidP="00C20DFE">
      <w:pPr>
        <w:jc w:val="center"/>
        <w:rPr>
          <w:rFonts w:hint="eastAsia"/>
          <w:sz w:val="22"/>
          <w:szCs w:val="21"/>
        </w:rPr>
      </w:pPr>
      <w:r>
        <w:rPr>
          <w:rFonts w:hint="eastAsia"/>
          <w:b/>
          <w:bCs/>
          <w:sz w:val="22"/>
          <w:szCs w:val="21"/>
        </w:rPr>
        <w:t xml:space="preserve">FIGURE 1 </w:t>
      </w:r>
      <w:r w:rsidR="009E6A2E">
        <w:rPr>
          <w:rFonts w:hint="eastAsia"/>
          <w:b/>
          <w:bCs/>
          <w:sz w:val="22"/>
          <w:szCs w:val="21"/>
        </w:rPr>
        <w:t xml:space="preserve">A </w:t>
      </w:r>
      <w:r>
        <w:rPr>
          <w:rFonts w:hint="eastAsia"/>
          <w:b/>
          <w:bCs/>
          <w:sz w:val="22"/>
          <w:szCs w:val="21"/>
        </w:rPr>
        <w:t>Shortcut to Our Leaderboard</w:t>
      </w:r>
      <w:r w:rsidR="00793177">
        <w:rPr>
          <w:rFonts w:hint="eastAsia"/>
          <w:b/>
          <w:bCs/>
          <w:sz w:val="22"/>
          <w:szCs w:val="21"/>
        </w:rPr>
        <w:t xml:space="preserve"> Score</w:t>
      </w:r>
    </w:p>
    <w:p w14:paraId="2750F47F" w14:textId="0E4BFFD2" w:rsidR="009A1587" w:rsidRPr="00696132" w:rsidRDefault="009A1587" w:rsidP="00696132">
      <w:pPr>
        <w:pStyle w:val="a9"/>
        <w:numPr>
          <w:ilvl w:val="0"/>
          <w:numId w:val="3"/>
        </w:numPr>
        <w:rPr>
          <w:b/>
          <w:bCs/>
        </w:rPr>
      </w:pPr>
      <w:r w:rsidRPr="00696132">
        <w:rPr>
          <w:b/>
          <w:bCs/>
        </w:rPr>
        <w:t>Methodology</w:t>
      </w:r>
    </w:p>
    <w:p w14:paraId="67C0689A" w14:textId="03046498" w:rsidR="009A1587" w:rsidRPr="009A1587" w:rsidRDefault="00696132" w:rsidP="009A1587">
      <w:pPr>
        <w:rPr>
          <w:b/>
          <w:bCs/>
          <w:sz w:val="22"/>
          <w:szCs w:val="21"/>
        </w:rPr>
      </w:pPr>
      <w:r w:rsidRPr="003A74B8">
        <w:rPr>
          <w:rFonts w:hint="eastAsia"/>
          <w:b/>
          <w:bCs/>
          <w:sz w:val="22"/>
          <w:szCs w:val="21"/>
        </w:rPr>
        <w:t xml:space="preserve">2.1 </w:t>
      </w:r>
      <w:r w:rsidR="009A1587" w:rsidRPr="009A1587">
        <w:rPr>
          <w:b/>
          <w:bCs/>
          <w:sz w:val="22"/>
          <w:szCs w:val="21"/>
        </w:rPr>
        <w:t>Baseline Implementation</w:t>
      </w:r>
    </w:p>
    <w:p w14:paraId="5B79CC30" w14:textId="0E3EBB82" w:rsidR="009A1587" w:rsidRPr="009A1587" w:rsidRDefault="009A1587" w:rsidP="009A1587">
      <w:pPr>
        <w:rPr>
          <w:sz w:val="22"/>
          <w:szCs w:val="21"/>
        </w:rPr>
      </w:pPr>
      <w:r w:rsidRPr="009A1587">
        <w:rPr>
          <w:sz w:val="22"/>
          <w:szCs w:val="21"/>
        </w:rPr>
        <w:t>We established two foundational baselines to benchmark our progress. The first baseline employed traditional NLP features including response lengths, lexical diversity metrics, and bag-of-words representations using unigrams and bigrams. These features were combined with Logistic Regression</w:t>
      </w:r>
      <w:r w:rsidR="000F01BC">
        <w:rPr>
          <w:rFonts w:hint="eastAsia"/>
          <w:sz w:val="22"/>
          <w:szCs w:val="21"/>
        </w:rPr>
        <w:t xml:space="preserve"> (LR)</w:t>
      </w:r>
      <w:r w:rsidRPr="009A1587">
        <w:rPr>
          <w:sz w:val="22"/>
          <w:szCs w:val="21"/>
        </w:rPr>
        <w:t xml:space="preserve">, achieving a validation log loss of </w:t>
      </w:r>
      <w:r w:rsidR="000F01BC" w:rsidRPr="000F01BC">
        <w:rPr>
          <w:b/>
          <w:bCs/>
          <w:sz w:val="22"/>
          <w:szCs w:val="21"/>
        </w:rPr>
        <w:t>1.28668</w:t>
      </w:r>
      <w:r w:rsidRPr="009A1587">
        <w:rPr>
          <w:sz w:val="22"/>
          <w:szCs w:val="21"/>
        </w:rPr>
        <w:t>. The second baseline utilized sentence embeddings from MiniLM-L6-v2, a lightweight transformer model that provides rich semantic representations without requiring fine-tuning. This embedding-</w:t>
      </w:r>
      <w:r w:rsidRPr="009A1587">
        <w:rPr>
          <w:sz w:val="22"/>
          <w:szCs w:val="21"/>
        </w:rPr>
        <w:lastRenderedPageBreak/>
        <w:t>based approach significantly improved performance</w:t>
      </w:r>
      <w:r w:rsidR="000F01BC">
        <w:rPr>
          <w:rFonts w:hint="eastAsia"/>
          <w:sz w:val="22"/>
          <w:szCs w:val="21"/>
        </w:rPr>
        <w:t xml:space="preserve"> to </w:t>
      </w:r>
      <w:r w:rsidR="000F01BC" w:rsidRPr="000F01BC">
        <w:rPr>
          <w:b/>
          <w:bCs/>
          <w:sz w:val="22"/>
          <w:szCs w:val="21"/>
        </w:rPr>
        <w:t>1.08496</w:t>
      </w:r>
      <w:r w:rsidRPr="009A1587">
        <w:rPr>
          <w:sz w:val="22"/>
          <w:szCs w:val="21"/>
        </w:rPr>
        <w:t>, demonstrating the value of semantic understanding in preference prediction.</w:t>
      </w:r>
    </w:p>
    <w:p w14:paraId="6A9B2B05" w14:textId="3E177C92" w:rsidR="009A1587" w:rsidRPr="009A1587" w:rsidRDefault="000F01BC" w:rsidP="009A1587">
      <w:pPr>
        <w:rPr>
          <w:b/>
          <w:bCs/>
          <w:sz w:val="22"/>
          <w:szCs w:val="21"/>
        </w:rPr>
      </w:pPr>
      <w:r>
        <w:rPr>
          <w:rFonts w:hint="eastAsia"/>
          <w:b/>
          <w:bCs/>
          <w:sz w:val="22"/>
          <w:szCs w:val="21"/>
        </w:rPr>
        <w:t xml:space="preserve">2.2 </w:t>
      </w:r>
      <w:r w:rsidR="009A1587" w:rsidRPr="009A1587">
        <w:rPr>
          <w:b/>
          <w:bCs/>
          <w:sz w:val="22"/>
          <w:szCs w:val="21"/>
        </w:rPr>
        <w:t>Feature Engineering and Advanced Modeling</w:t>
      </w:r>
    </w:p>
    <w:p w14:paraId="20360C76" w14:textId="0B5A3F21" w:rsidR="00A40B4B" w:rsidRDefault="009A1587" w:rsidP="009A1587">
      <w:pPr>
        <w:rPr>
          <w:sz w:val="22"/>
          <w:szCs w:val="21"/>
        </w:rPr>
      </w:pPr>
      <w:r w:rsidRPr="009A1587">
        <w:rPr>
          <w:sz w:val="22"/>
          <w:szCs w:val="21"/>
        </w:rPr>
        <w:t xml:space="preserve">Building upon the baselines, we developed comprehensive feature sets including </w:t>
      </w:r>
      <w:r w:rsidRPr="00A40B4B">
        <w:rPr>
          <w:b/>
          <w:bCs/>
          <w:sz w:val="22"/>
          <w:szCs w:val="21"/>
        </w:rPr>
        <w:t>length differentials,</w:t>
      </w:r>
      <w:r w:rsidR="00DC47CA" w:rsidRPr="00DC47CA">
        <w:rPr>
          <w:b/>
          <w:bCs/>
          <w:sz w:val="22"/>
          <w:szCs w:val="21"/>
        </w:rPr>
        <w:t xml:space="preserve"> </w:t>
      </w:r>
      <w:r w:rsidR="00DC47CA">
        <w:rPr>
          <w:rFonts w:hint="eastAsia"/>
          <w:b/>
          <w:bCs/>
          <w:sz w:val="22"/>
          <w:szCs w:val="21"/>
        </w:rPr>
        <w:t>l</w:t>
      </w:r>
      <w:r w:rsidR="00DC47CA" w:rsidRPr="00A40B4B">
        <w:rPr>
          <w:b/>
          <w:bCs/>
          <w:sz w:val="22"/>
          <w:szCs w:val="21"/>
        </w:rPr>
        <w:t xml:space="preserve">ength </w:t>
      </w:r>
      <w:r w:rsidR="00DC47CA">
        <w:rPr>
          <w:rFonts w:hint="eastAsia"/>
          <w:b/>
          <w:bCs/>
          <w:sz w:val="22"/>
          <w:szCs w:val="21"/>
        </w:rPr>
        <w:t>ratio,</w:t>
      </w:r>
      <w:r w:rsidRPr="00A40B4B">
        <w:rPr>
          <w:b/>
          <w:bCs/>
          <w:sz w:val="22"/>
          <w:szCs w:val="21"/>
        </w:rPr>
        <w:t xml:space="preserve"> lexical diversity ratios, and cosine similarity</w:t>
      </w:r>
      <w:r w:rsidR="00A40B4B">
        <w:rPr>
          <w:rFonts w:hint="eastAsia"/>
          <w:b/>
          <w:bCs/>
          <w:sz w:val="22"/>
          <w:szCs w:val="21"/>
        </w:rPr>
        <w:t xml:space="preserve"> (added after error analysis)</w:t>
      </w:r>
      <w:r w:rsidRPr="009A1587">
        <w:rPr>
          <w:sz w:val="22"/>
          <w:szCs w:val="21"/>
        </w:rPr>
        <w:t xml:space="preserve"> between response embeddings. These bias-aware features helped capture potential evaluation artifacts such as verbosity preference and position bias.</w:t>
      </w:r>
    </w:p>
    <w:p w14:paraId="5DCE59FF" w14:textId="2A64904B" w:rsidR="009A1587" w:rsidRPr="009A1587" w:rsidRDefault="009A1587" w:rsidP="009A1587">
      <w:pPr>
        <w:rPr>
          <w:sz w:val="22"/>
          <w:szCs w:val="21"/>
        </w:rPr>
      </w:pPr>
      <w:r w:rsidRPr="009A1587">
        <w:rPr>
          <w:sz w:val="22"/>
          <w:szCs w:val="21"/>
        </w:rPr>
        <w:t>Our main modeling pipeline incorporated multiple complementary approaches:</w:t>
      </w:r>
      <w:r w:rsidR="00A40B4B">
        <w:rPr>
          <w:rFonts w:hint="eastAsia"/>
          <w:sz w:val="22"/>
          <w:szCs w:val="21"/>
        </w:rPr>
        <w:t xml:space="preserve"> T</w:t>
      </w:r>
      <w:r w:rsidRPr="009A1587">
        <w:rPr>
          <w:sz w:val="22"/>
          <w:szCs w:val="21"/>
        </w:rPr>
        <w:t xml:space="preserve">he embedding </w:t>
      </w:r>
      <w:r w:rsidRPr="00A40B4B">
        <w:rPr>
          <w:b/>
          <w:bCs/>
          <w:sz w:val="22"/>
          <w:szCs w:val="21"/>
        </w:rPr>
        <w:t>ensemble combined MiniLM and E5 sentence transformers with LightGBM classifiers</w:t>
      </w:r>
      <w:r w:rsidRPr="009A1587">
        <w:rPr>
          <w:sz w:val="22"/>
          <w:szCs w:val="21"/>
        </w:rPr>
        <w:t xml:space="preserve">, leveraging the strengths of different representation spaces. For the fine-tuning component, we employed </w:t>
      </w:r>
      <w:r w:rsidRPr="00A40B4B">
        <w:rPr>
          <w:b/>
          <w:bCs/>
          <w:sz w:val="22"/>
          <w:szCs w:val="21"/>
        </w:rPr>
        <w:t xml:space="preserve">DeBERTa-v3-small with </w:t>
      </w:r>
      <w:r w:rsidR="00A40B4B" w:rsidRPr="00A40B4B">
        <w:rPr>
          <w:b/>
          <w:bCs/>
          <w:sz w:val="22"/>
          <w:szCs w:val="21"/>
        </w:rPr>
        <w:t>Low-Rank Adaptation</w:t>
      </w:r>
      <w:r w:rsidRPr="009A1587">
        <w:rPr>
          <w:sz w:val="22"/>
          <w:szCs w:val="21"/>
        </w:rPr>
        <w:t xml:space="preserve"> (</w:t>
      </w:r>
      <w:r w:rsidR="00A40B4B">
        <w:rPr>
          <w:rFonts w:hint="eastAsia"/>
          <w:sz w:val="22"/>
          <w:szCs w:val="21"/>
        </w:rPr>
        <w:t>LoRA</w:t>
      </w:r>
      <w:r w:rsidRPr="009A1587">
        <w:rPr>
          <w:sz w:val="22"/>
          <w:szCs w:val="21"/>
        </w:rPr>
        <w:t>), enabling efficient adaptation to the specific preference prediction task while maintaining computational efficiency.</w:t>
      </w:r>
    </w:p>
    <w:p w14:paraId="505F7D27" w14:textId="3B8C0291" w:rsidR="009A1587" w:rsidRPr="009A1587" w:rsidRDefault="00696132" w:rsidP="009A1587">
      <w:pPr>
        <w:rPr>
          <w:b/>
          <w:bCs/>
          <w:sz w:val="22"/>
          <w:szCs w:val="21"/>
        </w:rPr>
      </w:pPr>
      <w:r w:rsidRPr="003A74B8">
        <w:rPr>
          <w:rFonts w:hint="eastAsia"/>
          <w:b/>
          <w:bCs/>
          <w:sz w:val="22"/>
          <w:szCs w:val="21"/>
        </w:rPr>
        <w:t>2.</w:t>
      </w:r>
      <w:r w:rsidR="000F01BC">
        <w:rPr>
          <w:rFonts w:hint="eastAsia"/>
          <w:b/>
          <w:bCs/>
          <w:sz w:val="22"/>
          <w:szCs w:val="21"/>
        </w:rPr>
        <w:t>3</w:t>
      </w:r>
      <w:r w:rsidRPr="003A74B8">
        <w:rPr>
          <w:rFonts w:hint="eastAsia"/>
          <w:b/>
          <w:bCs/>
          <w:sz w:val="22"/>
          <w:szCs w:val="21"/>
        </w:rPr>
        <w:t xml:space="preserve"> </w:t>
      </w:r>
      <w:r w:rsidR="009A1587" w:rsidRPr="009A1587">
        <w:rPr>
          <w:b/>
          <w:bCs/>
          <w:sz w:val="22"/>
          <w:szCs w:val="21"/>
        </w:rPr>
        <w:t>Error Analysis and Bias Mitigation</w:t>
      </w:r>
    </w:p>
    <w:p w14:paraId="6088B0D1" w14:textId="385AFEDE" w:rsidR="00766C40" w:rsidRPr="00766C40" w:rsidRDefault="00766C40" w:rsidP="00766C40">
      <w:pPr>
        <w:rPr>
          <w:sz w:val="22"/>
          <w:szCs w:val="21"/>
        </w:rPr>
      </w:pPr>
      <w:r w:rsidRPr="00766C40">
        <w:rPr>
          <w:sz w:val="22"/>
          <w:szCs w:val="21"/>
        </w:rPr>
        <w:t xml:space="preserve">This section conducts comprehensive error analysis to evaluate performance differences and systematic error patterns across models. It involves quantitative assessment using log loss as the core metric, supplemented by qualitative diagnosis through confusion matrices and error pattern analysis. By comparing diverse approaches—including baseline models (MiniLM+LR), ensemble methods (MiniLM+E5 Ensemble), and optimized models (Bias-aware LGBM, DeBERTa+LoRA)—it reveals the impact of </w:t>
      </w:r>
      <w:r w:rsidRPr="00766C40">
        <w:rPr>
          <w:b/>
          <w:bCs/>
          <w:sz w:val="22"/>
          <w:szCs w:val="21"/>
        </w:rPr>
        <w:t>bias handling and model fusion on performance</w:t>
      </w:r>
      <w:r w:rsidRPr="00766C40">
        <w:rPr>
          <w:sz w:val="22"/>
          <w:szCs w:val="21"/>
        </w:rPr>
        <w:t>, thereby providing insights for model selection and optimization.</w:t>
      </w:r>
    </w:p>
    <w:p w14:paraId="36D61B31" w14:textId="6FA1CA02" w:rsidR="000F01BC" w:rsidRDefault="00923F29" w:rsidP="009A1587">
      <w:pPr>
        <w:rPr>
          <w:b/>
          <w:bCs/>
          <w:sz w:val="22"/>
          <w:szCs w:val="21"/>
        </w:rPr>
      </w:pPr>
      <w:r>
        <w:rPr>
          <w:noProof/>
        </w:rPr>
        <w:drawing>
          <wp:anchor distT="0" distB="0" distL="114300" distR="114300" simplePos="0" relativeHeight="251657216" behindDoc="0" locked="0" layoutInCell="1" allowOverlap="1" wp14:anchorId="53FC8D95" wp14:editId="5830BD93">
            <wp:simplePos x="0" y="0"/>
            <wp:positionH relativeFrom="column">
              <wp:posOffset>-791912</wp:posOffset>
            </wp:positionH>
            <wp:positionV relativeFrom="paragraph">
              <wp:posOffset>262255</wp:posOffset>
            </wp:positionV>
            <wp:extent cx="6993890" cy="1126490"/>
            <wp:effectExtent l="0" t="0" r="0" b="0"/>
            <wp:wrapTopAndBottom/>
            <wp:docPr id="1880627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27723" name=""/>
                    <pic:cNvPicPr/>
                  </pic:nvPicPr>
                  <pic:blipFill>
                    <a:blip r:embed="rId10">
                      <a:extLst>
                        <a:ext uri="{28A0092B-C50C-407E-A947-70E740481C1C}">
                          <a14:useLocalDpi xmlns:a14="http://schemas.microsoft.com/office/drawing/2010/main" val="0"/>
                        </a:ext>
                      </a:extLst>
                    </a:blip>
                    <a:stretch>
                      <a:fillRect/>
                    </a:stretch>
                  </pic:blipFill>
                  <pic:spPr>
                    <a:xfrm>
                      <a:off x="0" y="0"/>
                      <a:ext cx="6993890" cy="1126490"/>
                    </a:xfrm>
                    <a:prstGeom prst="rect">
                      <a:avLst/>
                    </a:prstGeom>
                  </pic:spPr>
                </pic:pic>
              </a:graphicData>
            </a:graphic>
            <wp14:sizeRelH relativeFrom="margin">
              <wp14:pctWidth>0</wp14:pctWidth>
            </wp14:sizeRelH>
            <wp14:sizeRelV relativeFrom="margin">
              <wp14:pctHeight>0</wp14:pctHeight>
            </wp14:sizeRelV>
          </wp:anchor>
        </w:drawing>
      </w:r>
      <w:r w:rsidR="000F01BC" w:rsidRPr="007B5E2A">
        <w:rPr>
          <w:rFonts w:hint="eastAsia"/>
          <w:b/>
          <w:bCs/>
          <w:sz w:val="22"/>
          <w:szCs w:val="21"/>
        </w:rPr>
        <w:t>2.4 Final Model</w:t>
      </w:r>
    </w:p>
    <w:p w14:paraId="448296EC" w14:textId="5DA71E6E" w:rsidR="00720B5D" w:rsidRDefault="00720B5D" w:rsidP="00720B5D">
      <w:pPr>
        <w:jc w:val="center"/>
        <w:rPr>
          <w:rFonts w:hint="eastAsia"/>
          <w:sz w:val="22"/>
          <w:szCs w:val="21"/>
        </w:rPr>
      </w:pPr>
      <w:r>
        <w:rPr>
          <w:rFonts w:hint="eastAsia"/>
          <w:b/>
          <w:bCs/>
          <w:sz w:val="22"/>
          <w:szCs w:val="21"/>
        </w:rPr>
        <w:t xml:space="preserve">FIGURE </w:t>
      </w:r>
      <w:r>
        <w:rPr>
          <w:rFonts w:hint="eastAsia"/>
          <w:b/>
          <w:bCs/>
          <w:sz w:val="22"/>
          <w:szCs w:val="21"/>
        </w:rPr>
        <w:t>2</w:t>
      </w:r>
      <w:r>
        <w:rPr>
          <w:rFonts w:hint="eastAsia"/>
          <w:b/>
          <w:bCs/>
          <w:sz w:val="22"/>
          <w:szCs w:val="21"/>
        </w:rPr>
        <w:t xml:space="preserve"> </w:t>
      </w:r>
      <w:r>
        <w:rPr>
          <w:rFonts w:hint="eastAsia"/>
          <w:b/>
          <w:bCs/>
          <w:sz w:val="22"/>
          <w:szCs w:val="21"/>
        </w:rPr>
        <w:t>Final Model Structure</w:t>
      </w:r>
      <w:r w:rsidR="00112494">
        <w:rPr>
          <w:rFonts w:hint="eastAsia"/>
          <w:b/>
          <w:bCs/>
          <w:sz w:val="22"/>
          <w:szCs w:val="21"/>
        </w:rPr>
        <w:t xml:space="preserve"> Design</w:t>
      </w:r>
    </w:p>
    <w:p w14:paraId="0E1C43AB" w14:textId="79BB90B5" w:rsidR="00696132" w:rsidRDefault="00720B5D" w:rsidP="009A1587">
      <w:pPr>
        <w:rPr>
          <w:sz w:val="22"/>
          <w:szCs w:val="21"/>
        </w:rPr>
      </w:pPr>
      <w:r w:rsidRPr="00720B5D">
        <w:rPr>
          <w:sz w:val="22"/>
          <w:szCs w:val="21"/>
        </w:rPr>
        <w:t>As shown in F</w:t>
      </w:r>
      <w:r>
        <w:rPr>
          <w:rFonts w:hint="eastAsia"/>
          <w:sz w:val="22"/>
          <w:szCs w:val="21"/>
        </w:rPr>
        <w:t>IGURE</w:t>
      </w:r>
      <w:r w:rsidRPr="00720B5D">
        <w:rPr>
          <w:sz w:val="22"/>
          <w:szCs w:val="21"/>
        </w:rPr>
        <w:t xml:space="preserve"> 2, our final model architecture integrates the optimized components from our methodology: we employ </w:t>
      </w:r>
      <w:r w:rsidRPr="00720B5D">
        <w:rPr>
          <w:b/>
          <w:bCs/>
          <w:sz w:val="22"/>
          <w:szCs w:val="21"/>
        </w:rPr>
        <w:t>LoRA</w:t>
      </w:r>
      <w:r w:rsidRPr="00720B5D">
        <w:rPr>
          <w:sz w:val="22"/>
          <w:szCs w:val="21"/>
        </w:rPr>
        <w:t xml:space="preserve"> fine-tuning of DeBERTa-v3-small to generate task-specific document embeddings, apply </w:t>
      </w:r>
      <w:r w:rsidRPr="00720B5D">
        <w:rPr>
          <w:b/>
          <w:bCs/>
          <w:sz w:val="22"/>
          <w:szCs w:val="21"/>
        </w:rPr>
        <w:t>PCA</w:t>
      </w:r>
      <w:r w:rsidRPr="00720B5D">
        <w:rPr>
          <w:sz w:val="22"/>
          <w:szCs w:val="21"/>
        </w:rPr>
        <w:t xml:space="preserve"> to reduce these embeddings to 384 dimensions for consistency, and then concatenate them with handcrafted bias-aware features (length differentials, lexical diversity ratios, and cosine similarity). This </w:t>
      </w:r>
      <w:r w:rsidRPr="00720B5D">
        <w:rPr>
          <w:b/>
          <w:bCs/>
          <w:sz w:val="22"/>
          <w:szCs w:val="21"/>
        </w:rPr>
        <w:t>enriched feature set</w:t>
      </w:r>
      <w:r w:rsidRPr="00720B5D">
        <w:rPr>
          <w:sz w:val="22"/>
          <w:szCs w:val="21"/>
        </w:rPr>
        <w:t xml:space="preserve"> is fed into a </w:t>
      </w:r>
      <w:r w:rsidRPr="00720B5D">
        <w:rPr>
          <w:b/>
          <w:bCs/>
          <w:sz w:val="22"/>
          <w:szCs w:val="21"/>
        </w:rPr>
        <w:t>5-fold LightGBM classifier</w:t>
      </w:r>
      <w:r w:rsidRPr="00720B5D">
        <w:rPr>
          <w:sz w:val="22"/>
          <w:szCs w:val="21"/>
        </w:rPr>
        <w:t xml:space="preserve">, which leverages cross-validation to ensure robust preference prediction while effectively mitigating biases identified through our prior error analysis. </w:t>
      </w:r>
    </w:p>
    <w:p w14:paraId="6B885506" w14:textId="77777777" w:rsidR="00C20DFE" w:rsidRPr="009A1587" w:rsidRDefault="00C20DFE" w:rsidP="009A1587">
      <w:pPr>
        <w:rPr>
          <w:rFonts w:hint="eastAsia"/>
          <w:sz w:val="22"/>
          <w:szCs w:val="21"/>
        </w:rPr>
      </w:pPr>
    </w:p>
    <w:p w14:paraId="1597011E" w14:textId="057C92E8" w:rsidR="009A1587" w:rsidRPr="00696132" w:rsidRDefault="009A1587" w:rsidP="00696132">
      <w:pPr>
        <w:pStyle w:val="a9"/>
        <w:numPr>
          <w:ilvl w:val="0"/>
          <w:numId w:val="3"/>
        </w:numPr>
        <w:rPr>
          <w:b/>
          <w:bCs/>
        </w:rPr>
      </w:pPr>
      <w:r w:rsidRPr="00696132">
        <w:rPr>
          <w:b/>
          <w:bCs/>
        </w:rPr>
        <w:t>Results and Discussion</w:t>
      </w:r>
    </w:p>
    <w:p w14:paraId="5D128721" w14:textId="5FB3BBB8" w:rsidR="009A1587" w:rsidRPr="009A1587" w:rsidRDefault="00696132" w:rsidP="009A1587">
      <w:pPr>
        <w:rPr>
          <w:b/>
          <w:bCs/>
          <w:sz w:val="22"/>
          <w:szCs w:val="21"/>
        </w:rPr>
      </w:pPr>
      <w:r w:rsidRPr="003A74B8">
        <w:rPr>
          <w:rFonts w:hint="eastAsia"/>
          <w:b/>
          <w:bCs/>
          <w:sz w:val="22"/>
          <w:szCs w:val="21"/>
        </w:rPr>
        <w:t xml:space="preserve">3.1 </w:t>
      </w:r>
      <w:r w:rsidR="009A1587" w:rsidRPr="009A1587">
        <w:rPr>
          <w:b/>
          <w:bCs/>
          <w:sz w:val="22"/>
          <w:szCs w:val="21"/>
        </w:rPr>
        <w:t>Performance Comparison</w:t>
      </w:r>
    </w:p>
    <w:p w14:paraId="2AD6F5C6" w14:textId="02CED3A7" w:rsidR="009A1587" w:rsidRDefault="00992E45" w:rsidP="009A1587">
      <w:pPr>
        <w:rPr>
          <w:sz w:val="22"/>
          <w:szCs w:val="21"/>
        </w:rPr>
      </w:pPr>
      <w:r w:rsidRPr="00992E45">
        <w:rPr>
          <w:sz w:val="22"/>
          <w:szCs w:val="21"/>
        </w:rPr>
        <w:t xml:space="preserve">We split the data into training and validation sets in an 80%-20% ratio. For the final model training, we employed </w:t>
      </w:r>
      <w:r w:rsidRPr="00992E45">
        <w:rPr>
          <w:b/>
          <w:bCs/>
          <w:sz w:val="22"/>
          <w:szCs w:val="21"/>
        </w:rPr>
        <w:t>5-fold cross-validation</w:t>
      </w:r>
      <w:r w:rsidRPr="00992E45">
        <w:rPr>
          <w:sz w:val="22"/>
          <w:szCs w:val="21"/>
        </w:rPr>
        <w:t>, while for other model trainings, we used fixed data splits to obtain the results.</w:t>
      </w:r>
      <w:r>
        <w:rPr>
          <w:rFonts w:hint="eastAsia"/>
          <w:sz w:val="22"/>
          <w:szCs w:val="21"/>
        </w:rPr>
        <w:t xml:space="preserve"> </w:t>
      </w:r>
      <w:r w:rsidR="009A1587" w:rsidRPr="009A1587">
        <w:rPr>
          <w:sz w:val="22"/>
          <w:szCs w:val="21"/>
        </w:rPr>
        <w:t>The table below summarizes the validation performance across our key model variants:</w:t>
      </w:r>
    </w:p>
    <w:p w14:paraId="3C2C80CB" w14:textId="62678188" w:rsidR="00A40B4B" w:rsidRPr="00D9799E" w:rsidRDefault="00A40B4B" w:rsidP="00A40B4B">
      <w:pPr>
        <w:jc w:val="center"/>
        <w:rPr>
          <w:b/>
          <w:bCs/>
          <w:sz w:val="22"/>
          <w:szCs w:val="21"/>
        </w:rPr>
      </w:pPr>
      <w:r w:rsidRPr="00D9799E">
        <w:rPr>
          <w:rFonts w:hint="eastAsia"/>
          <w:b/>
          <w:bCs/>
          <w:sz w:val="22"/>
          <w:szCs w:val="21"/>
        </w:rPr>
        <w:lastRenderedPageBreak/>
        <w:t>TABLE 1 Model Results</w:t>
      </w:r>
    </w:p>
    <w:tbl>
      <w:tblPr>
        <w:tblW w:w="0" w:type="auto"/>
        <w:tblInd w:w="491" w:type="dxa"/>
        <w:tblBorders>
          <w:top w:val="single" w:sz="12" w:space="0" w:color="2A2A2A"/>
          <w:bottom w:val="single" w:sz="12" w:space="0" w:color="2A2A2A"/>
        </w:tblBorders>
        <w:tblCellMar>
          <w:left w:w="0" w:type="dxa"/>
          <w:right w:w="0" w:type="dxa"/>
        </w:tblCellMar>
        <w:tblLook w:val="04A0" w:firstRow="1" w:lastRow="0" w:firstColumn="1" w:lastColumn="0" w:noHBand="0" w:noVBand="1"/>
      </w:tblPr>
      <w:tblGrid>
        <w:gridCol w:w="3217"/>
        <w:gridCol w:w="1885"/>
        <w:gridCol w:w="2235"/>
      </w:tblGrid>
      <w:tr w:rsidR="007B5E2A" w:rsidRPr="00C20DFE" w14:paraId="6024712B" w14:textId="77777777" w:rsidTr="00C20DFE">
        <w:trPr>
          <w:trHeight w:val="19"/>
          <w:tblHeader/>
        </w:trPr>
        <w:tc>
          <w:tcPr>
            <w:tcW w:w="0" w:type="auto"/>
            <w:tcBorders>
              <w:bottom w:val="single" w:sz="6" w:space="0" w:color="2A2A2A"/>
            </w:tcBorders>
            <w:tcMar>
              <w:top w:w="150" w:type="dxa"/>
              <w:left w:w="0" w:type="dxa"/>
              <w:bottom w:w="150" w:type="dxa"/>
              <w:right w:w="180" w:type="dxa"/>
            </w:tcMar>
            <w:vAlign w:val="center"/>
            <w:hideMark/>
          </w:tcPr>
          <w:p w14:paraId="139F7F47" w14:textId="77777777" w:rsidR="009A1587" w:rsidRPr="00C20DFE" w:rsidRDefault="009A1587" w:rsidP="007B5E2A">
            <w:pPr>
              <w:jc w:val="center"/>
              <w:rPr>
                <w:b/>
                <w:bCs/>
                <w:sz w:val="20"/>
                <w:szCs w:val="18"/>
              </w:rPr>
            </w:pPr>
            <w:r w:rsidRPr="00C20DFE">
              <w:rPr>
                <w:b/>
                <w:bCs/>
                <w:sz w:val="20"/>
                <w:szCs w:val="18"/>
              </w:rPr>
              <w:t>Model</w:t>
            </w:r>
          </w:p>
        </w:tc>
        <w:tc>
          <w:tcPr>
            <w:tcW w:w="0" w:type="auto"/>
            <w:tcBorders>
              <w:bottom w:val="single" w:sz="6" w:space="0" w:color="2A2A2A"/>
            </w:tcBorders>
            <w:tcMar>
              <w:top w:w="150" w:type="dxa"/>
              <w:left w:w="0" w:type="dxa"/>
              <w:bottom w:w="150" w:type="dxa"/>
              <w:right w:w="180" w:type="dxa"/>
            </w:tcMar>
            <w:vAlign w:val="center"/>
            <w:hideMark/>
          </w:tcPr>
          <w:p w14:paraId="68E2922B" w14:textId="77777777" w:rsidR="009A1587" w:rsidRPr="00C20DFE" w:rsidRDefault="009A1587" w:rsidP="007B5E2A">
            <w:pPr>
              <w:jc w:val="center"/>
              <w:rPr>
                <w:b/>
                <w:bCs/>
                <w:sz w:val="20"/>
                <w:szCs w:val="18"/>
              </w:rPr>
            </w:pPr>
            <w:r w:rsidRPr="00C20DFE">
              <w:rPr>
                <w:b/>
                <w:bCs/>
                <w:sz w:val="20"/>
                <w:szCs w:val="18"/>
              </w:rPr>
              <w:t>Validation Log Loss</w:t>
            </w:r>
          </w:p>
        </w:tc>
        <w:tc>
          <w:tcPr>
            <w:tcW w:w="0" w:type="auto"/>
            <w:tcBorders>
              <w:bottom w:val="single" w:sz="6" w:space="0" w:color="2A2A2A"/>
            </w:tcBorders>
            <w:tcMar>
              <w:top w:w="150" w:type="dxa"/>
              <w:left w:w="0" w:type="dxa"/>
              <w:bottom w:w="150" w:type="dxa"/>
              <w:right w:w="180" w:type="dxa"/>
            </w:tcMar>
            <w:vAlign w:val="center"/>
            <w:hideMark/>
          </w:tcPr>
          <w:p w14:paraId="570E717B" w14:textId="77777777" w:rsidR="009A1587" w:rsidRPr="00C20DFE" w:rsidRDefault="009A1587" w:rsidP="007B5E2A">
            <w:pPr>
              <w:jc w:val="center"/>
              <w:rPr>
                <w:b/>
                <w:bCs/>
                <w:sz w:val="20"/>
                <w:szCs w:val="18"/>
              </w:rPr>
            </w:pPr>
            <w:r w:rsidRPr="00C20DFE">
              <w:rPr>
                <w:b/>
                <w:bCs/>
                <w:sz w:val="20"/>
                <w:szCs w:val="18"/>
              </w:rPr>
              <w:t>Key Features</w:t>
            </w:r>
          </w:p>
        </w:tc>
      </w:tr>
      <w:tr w:rsidR="009A1587" w:rsidRPr="00C20DFE" w14:paraId="4E0339FF" w14:textId="77777777" w:rsidTr="00C20DFE">
        <w:trPr>
          <w:trHeight w:val="22"/>
        </w:trPr>
        <w:tc>
          <w:tcPr>
            <w:tcW w:w="0" w:type="auto"/>
            <w:tcBorders>
              <w:top w:val="single" w:sz="6" w:space="0" w:color="2A2A2A"/>
              <w:bottom w:val="nil"/>
            </w:tcBorders>
            <w:tcMar>
              <w:top w:w="150" w:type="dxa"/>
              <w:left w:w="0" w:type="dxa"/>
              <w:bottom w:w="150" w:type="dxa"/>
              <w:right w:w="180" w:type="dxa"/>
            </w:tcMar>
            <w:vAlign w:val="center"/>
            <w:hideMark/>
          </w:tcPr>
          <w:p w14:paraId="711677A1" w14:textId="2D10A284" w:rsidR="009A1587" w:rsidRPr="00C20DFE" w:rsidRDefault="009A1587" w:rsidP="007B5E2A">
            <w:pPr>
              <w:jc w:val="center"/>
              <w:rPr>
                <w:sz w:val="20"/>
                <w:szCs w:val="18"/>
              </w:rPr>
            </w:pPr>
            <w:r w:rsidRPr="00C20DFE">
              <w:rPr>
                <w:sz w:val="20"/>
                <w:szCs w:val="18"/>
              </w:rPr>
              <w:t>Baseline</w:t>
            </w:r>
            <w:r w:rsidR="007B5E2A" w:rsidRPr="00C20DFE">
              <w:rPr>
                <w:rFonts w:hint="eastAsia"/>
                <w:sz w:val="20"/>
                <w:szCs w:val="18"/>
              </w:rPr>
              <w:t>1</w:t>
            </w:r>
            <w:r w:rsidRPr="00C20DFE">
              <w:rPr>
                <w:sz w:val="20"/>
                <w:szCs w:val="18"/>
              </w:rPr>
              <w:t xml:space="preserve"> (BoW + LR)</w:t>
            </w:r>
          </w:p>
        </w:tc>
        <w:tc>
          <w:tcPr>
            <w:tcW w:w="0" w:type="auto"/>
            <w:tcBorders>
              <w:top w:val="single" w:sz="6" w:space="0" w:color="2A2A2A"/>
              <w:bottom w:val="nil"/>
            </w:tcBorders>
            <w:tcMar>
              <w:top w:w="150" w:type="dxa"/>
              <w:left w:w="0" w:type="dxa"/>
              <w:bottom w:w="150" w:type="dxa"/>
              <w:right w:w="180" w:type="dxa"/>
            </w:tcMar>
            <w:vAlign w:val="center"/>
            <w:hideMark/>
          </w:tcPr>
          <w:p w14:paraId="05F842BE" w14:textId="0C9A555E" w:rsidR="009A1587" w:rsidRPr="00C20DFE" w:rsidRDefault="007B5E2A" w:rsidP="007B5E2A">
            <w:pPr>
              <w:jc w:val="center"/>
              <w:rPr>
                <w:sz w:val="20"/>
                <w:szCs w:val="18"/>
              </w:rPr>
            </w:pPr>
            <w:r w:rsidRPr="00C20DFE">
              <w:rPr>
                <w:rFonts w:hint="eastAsia"/>
                <w:sz w:val="20"/>
                <w:szCs w:val="18"/>
              </w:rPr>
              <w:t>1.2867</w:t>
            </w:r>
          </w:p>
        </w:tc>
        <w:tc>
          <w:tcPr>
            <w:tcW w:w="0" w:type="auto"/>
            <w:tcBorders>
              <w:top w:val="single" w:sz="6" w:space="0" w:color="2A2A2A"/>
              <w:bottom w:val="nil"/>
            </w:tcBorders>
            <w:tcMar>
              <w:top w:w="150" w:type="dxa"/>
              <w:left w:w="0" w:type="dxa"/>
              <w:bottom w:w="150" w:type="dxa"/>
              <w:right w:w="180" w:type="dxa"/>
            </w:tcMar>
            <w:vAlign w:val="center"/>
            <w:hideMark/>
          </w:tcPr>
          <w:p w14:paraId="20253231" w14:textId="77777777" w:rsidR="009A1587" w:rsidRPr="00C20DFE" w:rsidRDefault="009A1587" w:rsidP="007B5E2A">
            <w:pPr>
              <w:jc w:val="center"/>
              <w:rPr>
                <w:sz w:val="20"/>
                <w:szCs w:val="18"/>
              </w:rPr>
            </w:pPr>
            <w:r w:rsidRPr="00C20DFE">
              <w:rPr>
                <w:sz w:val="20"/>
                <w:szCs w:val="18"/>
              </w:rPr>
              <w:t>Traditional NLP features</w:t>
            </w:r>
          </w:p>
        </w:tc>
      </w:tr>
      <w:tr w:rsidR="009A1587" w:rsidRPr="00C20DFE" w14:paraId="31575EE9" w14:textId="77777777" w:rsidTr="00C20DFE">
        <w:trPr>
          <w:trHeight w:val="18"/>
        </w:trPr>
        <w:tc>
          <w:tcPr>
            <w:tcW w:w="0" w:type="auto"/>
            <w:tcBorders>
              <w:top w:val="nil"/>
            </w:tcBorders>
            <w:tcMar>
              <w:top w:w="150" w:type="dxa"/>
              <w:left w:w="0" w:type="dxa"/>
              <w:bottom w:w="150" w:type="dxa"/>
              <w:right w:w="180" w:type="dxa"/>
            </w:tcMar>
            <w:vAlign w:val="center"/>
            <w:hideMark/>
          </w:tcPr>
          <w:p w14:paraId="6CD4CE51" w14:textId="47E803C9" w:rsidR="009A1587" w:rsidRPr="00C20DFE" w:rsidRDefault="007B5E2A" w:rsidP="007B5E2A">
            <w:pPr>
              <w:jc w:val="center"/>
              <w:rPr>
                <w:sz w:val="20"/>
                <w:szCs w:val="18"/>
              </w:rPr>
            </w:pPr>
            <w:r w:rsidRPr="00C20DFE">
              <w:rPr>
                <w:rFonts w:hint="eastAsia"/>
                <w:sz w:val="20"/>
                <w:szCs w:val="18"/>
              </w:rPr>
              <w:t>Baseline2 (</w:t>
            </w:r>
            <w:r w:rsidR="009A1587" w:rsidRPr="00C20DFE">
              <w:rPr>
                <w:sz w:val="20"/>
                <w:szCs w:val="18"/>
              </w:rPr>
              <w:t xml:space="preserve">MiniLM </w:t>
            </w:r>
            <w:r w:rsidRPr="00C20DFE">
              <w:rPr>
                <w:rFonts w:hint="eastAsia"/>
                <w:sz w:val="20"/>
                <w:szCs w:val="18"/>
              </w:rPr>
              <w:t>+ LR)</w:t>
            </w:r>
          </w:p>
        </w:tc>
        <w:tc>
          <w:tcPr>
            <w:tcW w:w="0" w:type="auto"/>
            <w:tcBorders>
              <w:top w:val="nil"/>
            </w:tcBorders>
            <w:tcMar>
              <w:top w:w="150" w:type="dxa"/>
              <w:left w:w="0" w:type="dxa"/>
              <w:bottom w:w="150" w:type="dxa"/>
              <w:right w:w="180" w:type="dxa"/>
            </w:tcMar>
            <w:vAlign w:val="center"/>
            <w:hideMark/>
          </w:tcPr>
          <w:p w14:paraId="3AFBDBBB" w14:textId="4B5EEB5E" w:rsidR="009A1587" w:rsidRPr="00C20DFE" w:rsidRDefault="007B5E2A" w:rsidP="007B5E2A">
            <w:pPr>
              <w:jc w:val="center"/>
              <w:rPr>
                <w:sz w:val="20"/>
                <w:szCs w:val="18"/>
              </w:rPr>
            </w:pPr>
            <w:r w:rsidRPr="00C20DFE">
              <w:rPr>
                <w:rFonts w:hint="eastAsia"/>
                <w:sz w:val="20"/>
                <w:szCs w:val="18"/>
              </w:rPr>
              <w:t>1.0850</w:t>
            </w:r>
          </w:p>
        </w:tc>
        <w:tc>
          <w:tcPr>
            <w:tcW w:w="0" w:type="auto"/>
            <w:tcBorders>
              <w:top w:val="nil"/>
            </w:tcBorders>
            <w:tcMar>
              <w:top w:w="150" w:type="dxa"/>
              <w:left w:w="0" w:type="dxa"/>
              <w:bottom w:w="150" w:type="dxa"/>
              <w:right w:w="180" w:type="dxa"/>
            </w:tcMar>
            <w:vAlign w:val="center"/>
            <w:hideMark/>
          </w:tcPr>
          <w:p w14:paraId="6B297AC2" w14:textId="41A69AA4" w:rsidR="009A1587" w:rsidRPr="00C20DFE" w:rsidRDefault="009A1587" w:rsidP="007B5E2A">
            <w:pPr>
              <w:jc w:val="center"/>
              <w:rPr>
                <w:sz w:val="20"/>
                <w:szCs w:val="18"/>
              </w:rPr>
            </w:pPr>
            <w:r w:rsidRPr="00C20DFE">
              <w:rPr>
                <w:sz w:val="20"/>
                <w:szCs w:val="18"/>
              </w:rPr>
              <w:t>Sentence</w:t>
            </w:r>
            <w:r w:rsidR="007B5E2A" w:rsidRPr="00C20DFE">
              <w:rPr>
                <w:rFonts w:hint="eastAsia"/>
                <w:sz w:val="20"/>
                <w:szCs w:val="18"/>
              </w:rPr>
              <w:t xml:space="preserve"> embedding</w:t>
            </w:r>
          </w:p>
        </w:tc>
      </w:tr>
      <w:tr w:rsidR="007B5E2A" w:rsidRPr="00C20DFE" w14:paraId="518D7AB8" w14:textId="77777777" w:rsidTr="00C20DFE">
        <w:trPr>
          <w:trHeight w:val="18"/>
        </w:trPr>
        <w:tc>
          <w:tcPr>
            <w:tcW w:w="0" w:type="auto"/>
            <w:tcBorders>
              <w:top w:val="nil"/>
            </w:tcBorders>
            <w:tcMar>
              <w:top w:w="150" w:type="dxa"/>
              <w:left w:w="0" w:type="dxa"/>
              <w:bottom w:w="150" w:type="dxa"/>
              <w:right w:w="180" w:type="dxa"/>
            </w:tcMar>
            <w:vAlign w:val="center"/>
          </w:tcPr>
          <w:p w14:paraId="3E09DE18" w14:textId="18B7787B" w:rsidR="007B5E2A" w:rsidRPr="00C20DFE" w:rsidRDefault="007B5E2A" w:rsidP="007B5E2A">
            <w:pPr>
              <w:jc w:val="center"/>
              <w:rPr>
                <w:sz w:val="20"/>
                <w:szCs w:val="18"/>
              </w:rPr>
            </w:pPr>
            <w:r w:rsidRPr="00C20DFE">
              <w:rPr>
                <w:sz w:val="20"/>
                <w:szCs w:val="18"/>
              </w:rPr>
              <w:t>E5 + LightGBM</w:t>
            </w:r>
          </w:p>
        </w:tc>
        <w:tc>
          <w:tcPr>
            <w:tcW w:w="0" w:type="auto"/>
            <w:tcBorders>
              <w:top w:val="nil"/>
            </w:tcBorders>
            <w:tcMar>
              <w:top w:w="150" w:type="dxa"/>
              <w:left w:w="0" w:type="dxa"/>
              <w:bottom w:w="150" w:type="dxa"/>
              <w:right w:w="180" w:type="dxa"/>
            </w:tcMar>
            <w:vAlign w:val="center"/>
          </w:tcPr>
          <w:p w14:paraId="1B9A273F" w14:textId="596D8770" w:rsidR="007B5E2A" w:rsidRPr="00C20DFE" w:rsidRDefault="007B5E2A" w:rsidP="007B5E2A">
            <w:pPr>
              <w:jc w:val="center"/>
              <w:rPr>
                <w:sz w:val="20"/>
                <w:szCs w:val="18"/>
              </w:rPr>
            </w:pPr>
            <w:r w:rsidRPr="00C20DFE">
              <w:rPr>
                <w:sz w:val="20"/>
                <w:szCs w:val="18"/>
              </w:rPr>
              <w:t>1.0838</w:t>
            </w:r>
          </w:p>
        </w:tc>
        <w:tc>
          <w:tcPr>
            <w:tcW w:w="0" w:type="auto"/>
            <w:tcBorders>
              <w:top w:val="nil"/>
            </w:tcBorders>
            <w:tcMar>
              <w:top w:w="150" w:type="dxa"/>
              <w:left w:w="0" w:type="dxa"/>
              <w:bottom w:w="150" w:type="dxa"/>
              <w:right w:w="180" w:type="dxa"/>
            </w:tcMar>
            <w:vAlign w:val="center"/>
          </w:tcPr>
          <w:p w14:paraId="03E05E47" w14:textId="1D992A42" w:rsidR="007B5E2A" w:rsidRPr="00C20DFE" w:rsidRDefault="007B5E2A" w:rsidP="007B5E2A">
            <w:pPr>
              <w:jc w:val="center"/>
              <w:rPr>
                <w:sz w:val="20"/>
                <w:szCs w:val="18"/>
              </w:rPr>
            </w:pPr>
            <w:r w:rsidRPr="00C20DFE">
              <w:rPr>
                <w:rFonts w:hint="eastAsia"/>
                <w:sz w:val="20"/>
                <w:szCs w:val="18"/>
              </w:rPr>
              <w:t>Classifier with LGBM</w:t>
            </w:r>
          </w:p>
        </w:tc>
      </w:tr>
      <w:tr w:rsidR="009A1587" w:rsidRPr="00C20DFE" w14:paraId="572D1B90" w14:textId="77777777" w:rsidTr="00C20DFE">
        <w:tc>
          <w:tcPr>
            <w:tcW w:w="0" w:type="auto"/>
            <w:tcMar>
              <w:top w:w="150" w:type="dxa"/>
              <w:left w:w="0" w:type="dxa"/>
              <w:bottom w:w="150" w:type="dxa"/>
              <w:right w:w="180" w:type="dxa"/>
            </w:tcMar>
            <w:vAlign w:val="center"/>
            <w:hideMark/>
          </w:tcPr>
          <w:p w14:paraId="7FE0E2FD" w14:textId="4F4AE37A" w:rsidR="009A1587" w:rsidRPr="00C20DFE" w:rsidRDefault="007B5E2A" w:rsidP="007B5E2A">
            <w:pPr>
              <w:jc w:val="center"/>
              <w:rPr>
                <w:sz w:val="20"/>
                <w:szCs w:val="18"/>
              </w:rPr>
            </w:pPr>
            <w:r w:rsidRPr="00C20DFE">
              <w:rPr>
                <w:sz w:val="20"/>
                <w:szCs w:val="18"/>
              </w:rPr>
              <w:t>MiniLM + E5 Ensemble</w:t>
            </w:r>
          </w:p>
        </w:tc>
        <w:tc>
          <w:tcPr>
            <w:tcW w:w="0" w:type="auto"/>
            <w:tcMar>
              <w:top w:w="150" w:type="dxa"/>
              <w:left w:w="0" w:type="dxa"/>
              <w:bottom w:w="150" w:type="dxa"/>
              <w:right w:w="180" w:type="dxa"/>
            </w:tcMar>
            <w:vAlign w:val="center"/>
            <w:hideMark/>
          </w:tcPr>
          <w:p w14:paraId="7170F5A6" w14:textId="2DB21514" w:rsidR="009A1587" w:rsidRPr="00C20DFE" w:rsidRDefault="007B5E2A" w:rsidP="007B5E2A">
            <w:pPr>
              <w:jc w:val="center"/>
              <w:rPr>
                <w:sz w:val="20"/>
                <w:szCs w:val="18"/>
              </w:rPr>
            </w:pPr>
            <w:r w:rsidRPr="00C20DFE">
              <w:rPr>
                <w:sz w:val="20"/>
                <w:szCs w:val="18"/>
              </w:rPr>
              <w:t>1.0767</w:t>
            </w:r>
          </w:p>
        </w:tc>
        <w:tc>
          <w:tcPr>
            <w:tcW w:w="0" w:type="auto"/>
            <w:tcMar>
              <w:top w:w="150" w:type="dxa"/>
              <w:left w:w="0" w:type="dxa"/>
              <w:bottom w:w="150" w:type="dxa"/>
              <w:right w:w="180" w:type="dxa"/>
            </w:tcMar>
            <w:vAlign w:val="center"/>
            <w:hideMark/>
          </w:tcPr>
          <w:p w14:paraId="158CD752" w14:textId="77777777" w:rsidR="009A1587" w:rsidRPr="00C20DFE" w:rsidRDefault="009A1587" w:rsidP="007B5E2A">
            <w:pPr>
              <w:jc w:val="center"/>
              <w:rPr>
                <w:sz w:val="20"/>
                <w:szCs w:val="18"/>
              </w:rPr>
            </w:pPr>
            <w:r w:rsidRPr="00C20DFE">
              <w:rPr>
                <w:sz w:val="20"/>
                <w:szCs w:val="18"/>
              </w:rPr>
              <w:t>Multi-embedding fusion</w:t>
            </w:r>
          </w:p>
        </w:tc>
      </w:tr>
      <w:tr w:rsidR="009A1587" w:rsidRPr="00C20DFE" w14:paraId="1F105E66" w14:textId="77777777" w:rsidTr="00C20DFE">
        <w:trPr>
          <w:trHeight w:val="18"/>
        </w:trPr>
        <w:tc>
          <w:tcPr>
            <w:tcW w:w="0" w:type="auto"/>
            <w:tcMar>
              <w:top w:w="150" w:type="dxa"/>
              <w:left w:w="0" w:type="dxa"/>
              <w:bottom w:w="150" w:type="dxa"/>
              <w:right w:w="180" w:type="dxa"/>
            </w:tcMar>
            <w:vAlign w:val="center"/>
            <w:hideMark/>
          </w:tcPr>
          <w:p w14:paraId="788734AE" w14:textId="77777777" w:rsidR="009A1587" w:rsidRPr="00C20DFE" w:rsidRDefault="009A1587" w:rsidP="007B5E2A">
            <w:pPr>
              <w:jc w:val="center"/>
              <w:rPr>
                <w:sz w:val="20"/>
                <w:szCs w:val="18"/>
              </w:rPr>
            </w:pPr>
            <w:r w:rsidRPr="00C20DFE">
              <w:rPr>
                <w:sz w:val="20"/>
                <w:szCs w:val="18"/>
              </w:rPr>
              <w:t>Fine-tuned DeBERTa</w:t>
            </w:r>
          </w:p>
        </w:tc>
        <w:tc>
          <w:tcPr>
            <w:tcW w:w="0" w:type="auto"/>
            <w:tcMar>
              <w:top w:w="150" w:type="dxa"/>
              <w:left w:w="0" w:type="dxa"/>
              <w:bottom w:w="150" w:type="dxa"/>
              <w:right w:w="180" w:type="dxa"/>
            </w:tcMar>
            <w:vAlign w:val="center"/>
            <w:hideMark/>
          </w:tcPr>
          <w:p w14:paraId="75FD0173" w14:textId="77DC6680" w:rsidR="009A1587" w:rsidRPr="00C20DFE" w:rsidRDefault="007B5E2A" w:rsidP="007B5E2A">
            <w:pPr>
              <w:jc w:val="center"/>
              <w:rPr>
                <w:sz w:val="20"/>
                <w:szCs w:val="18"/>
              </w:rPr>
            </w:pPr>
            <w:r w:rsidRPr="00C20DFE">
              <w:rPr>
                <w:sz w:val="20"/>
                <w:szCs w:val="18"/>
              </w:rPr>
              <w:t>≈ 1.05</w:t>
            </w:r>
          </w:p>
        </w:tc>
        <w:tc>
          <w:tcPr>
            <w:tcW w:w="0" w:type="auto"/>
            <w:tcMar>
              <w:top w:w="150" w:type="dxa"/>
              <w:left w:w="0" w:type="dxa"/>
              <w:bottom w:w="150" w:type="dxa"/>
              <w:right w:w="180" w:type="dxa"/>
            </w:tcMar>
            <w:vAlign w:val="center"/>
            <w:hideMark/>
          </w:tcPr>
          <w:p w14:paraId="062D9DEE" w14:textId="77777777" w:rsidR="009A1587" w:rsidRPr="00C20DFE" w:rsidRDefault="009A1587" w:rsidP="007B5E2A">
            <w:pPr>
              <w:jc w:val="center"/>
              <w:rPr>
                <w:sz w:val="20"/>
                <w:szCs w:val="18"/>
              </w:rPr>
            </w:pPr>
            <w:r w:rsidRPr="00C20DFE">
              <w:rPr>
                <w:sz w:val="20"/>
                <w:szCs w:val="18"/>
              </w:rPr>
              <w:t>LoRA adaptation</w:t>
            </w:r>
          </w:p>
        </w:tc>
      </w:tr>
      <w:tr w:rsidR="007B5E2A" w:rsidRPr="00C20DFE" w14:paraId="2ACCF635" w14:textId="77777777" w:rsidTr="00C20DFE">
        <w:tc>
          <w:tcPr>
            <w:tcW w:w="0" w:type="auto"/>
            <w:tcMar>
              <w:top w:w="150" w:type="dxa"/>
              <w:left w:w="0" w:type="dxa"/>
              <w:bottom w:w="150" w:type="dxa"/>
              <w:right w:w="180" w:type="dxa"/>
            </w:tcMar>
            <w:vAlign w:val="center"/>
          </w:tcPr>
          <w:p w14:paraId="712A4152" w14:textId="13669CEB" w:rsidR="007B5E2A" w:rsidRPr="00C20DFE" w:rsidRDefault="007B5E2A" w:rsidP="007B5E2A">
            <w:pPr>
              <w:jc w:val="center"/>
              <w:rPr>
                <w:sz w:val="20"/>
                <w:szCs w:val="18"/>
              </w:rPr>
            </w:pPr>
            <w:r w:rsidRPr="00C20DFE">
              <w:rPr>
                <w:sz w:val="20"/>
                <w:szCs w:val="18"/>
              </w:rPr>
              <w:t xml:space="preserve">MiniLM </w:t>
            </w:r>
            <w:r w:rsidRPr="00C20DFE">
              <w:rPr>
                <w:rFonts w:hint="eastAsia"/>
                <w:sz w:val="20"/>
                <w:szCs w:val="18"/>
              </w:rPr>
              <w:t xml:space="preserve">+ </w:t>
            </w:r>
            <w:r w:rsidRPr="00C20DFE">
              <w:rPr>
                <w:sz w:val="20"/>
                <w:szCs w:val="18"/>
              </w:rPr>
              <w:t>Bias-aware</w:t>
            </w:r>
            <w:r w:rsidRPr="00C20DFE">
              <w:rPr>
                <w:rFonts w:hint="eastAsia"/>
                <w:sz w:val="20"/>
                <w:szCs w:val="18"/>
              </w:rPr>
              <w:t xml:space="preserve"> feature</w:t>
            </w:r>
            <w:r w:rsidR="00DC47CA" w:rsidRPr="00C20DFE">
              <w:rPr>
                <w:rFonts w:hint="eastAsia"/>
                <w:sz w:val="20"/>
                <w:szCs w:val="18"/>
              </w:rPr>
              <w:t>s</w:t>
            </w:r>
            <w:r w:rsidRPr="00C20DFE">
              <w:rPr>
                <w:sz w:val="20"/>
                <w:szCs w:val="18"/>
              </w:rPr>
              <w:t>+ PCA</w:t>
            </w:r>
          </w:p>
        </w:tc>
        <w:tc>
          <w:tcPr>
            <w:tcW w:w="0" w:type="auto"/>
            <w:tcMar>
              <w:top w:w="150" w:type="dxa"/>
              <w:left w:w="0" w:type="dxa"/>
              <w:bottom w:w="150" w:type="dxa"/>
              <w:right w:w="180" w:type="dxa"/>
            </w:tcMar>
            <w:vAlign w:val="center"/>
          </w:tcPr>
          <w:p w14:paraId="7D18E45E" w14:textId="0CA8930C" w:rsidR="007B5E2A" w:rsidRPr="00C20DFE" w:rsidRDefault="007B5E2A" w:rsidP="007B5E2A">
            <w:pPr>
              <w:jc w:val="center"/>
              <w:rPr>
                <w:sz w:val="20"/>
                <w:szCs w:val="18"/>
              </w:rPr>
            </w:pPr>
            <w:r w:rsidRPr="00C20DFE">
              <w:rPr>
                <w:sz w:val="20"/>
                <w:szCs w:val="18"/>
              </w:rPr>
              <w:t>1.030</w:t>
            </w:r>
            <w:r w:rsidRPr="00C20DFE">
              <w:rPr>
                <w:rFonts w:hint="eastAsia"/>
                <w:sz w:val="20"/>
                <w:szCs w:val="18"/>
              </w:rPr>
              <w:t>4</w:t>
            </w:r>
          </w:p>
        </w:tc>
        <w:tc>
          <w:tcPr>
            <w:tcW w:w="0" w:type="auto"/>
            <w:tcMar>
              <w:top w:w="150" w:type="dxa"/>
              <w:left w:w="0" w:type="dxa"/>
              <w:bottom w:w="150" w:type="dxa"/>
              <w:right w:w="180" w:type="dxa"/>
            </w:tcMar>
            <w:vAlign w:val="center"/>
          </w:tcPr>
          <w:p w14:paraId="3EFDD479" w14:textId="22DA2621" w:rsidR="007B5E2A" w:rsidRPr="00C20DFE" w:rsidRDefault="007B5E2A" w:rsidP="007B5E2A">
            <w:pPr>
              <w:jc w:val="center"/>
              <w:rPr>
                <w:sz w:val="20"/>
                <w:szCs w:val="18"/>
              </w:rPr>
            </w:pPr>
            <w:r w:rsidRPr="00C20DFE">
              <w:rPr>
                <w:rFonts w:hint="eastAsia"/>
                <w:sz w:val="20"/>
                <w:szCs w:val="18"/>
              </w:rPr>
              <w:t>Bias-aware feature vector</w:t>
            </w:r>
          </w:p>
        </w:tc>
      </w:tr>
      <w:tr w:rsidR="009A1587" w:rsidRPr="00C20DFE" w14:paraId="78830091" w14:textId="77777777" w:rsidTr="00C20DFE">
        <w:trPr>
          <w:trHeight w:val="18"/>
        </w:trPr>
        <w:tc>
          <w:tcPr>
            <w:tcW w:w="0" w:type="auto"/>
            <w:tcMar>
              <w:top w:w="150" w:type="dxa"/>
              <w:left w:w="0" w:type="dxa"/>
              <w:bottom w:w="150" w:type="dxa"/>
              <w:right w:w="180" w:type="dxa"/>
            </w:tcMar>
            <w:vAlign w:val="center"/>
            <w:hideMark/>
          </w:tcPr>
          <w:p w14:paraId="5202259A" w14:textId="77777777" w:rsidR="009A1587" w:rsidRPr="00C20DFE" w:rsidRDefault="009A1587" w:rsidP="007B5E2A">
            <w:pPr>
              <w:jc w:val="center"/>
              <w:rPr>
                <w:b/>
                <w:bCs/>
                <w:sz w:val="20"/>
                <w:szCs w:val="18"/>
              </w:rPr>
            </w:pPr>
            <w:r w:rsidRPr="00C20DFE">
              <w:rPr>
                <w:b/>
                <w:bCs/>
                <w:sz w:val="20"/>
                <w:szCs w:val="18"/>
              </w:rPr>
              <w:t>Final Model</w:t>
            </w:r>
          </w:p>
        </w:tc>
        <w:tc>
          <w:tcPr>
            <w:tcW w:w="0" w:type="auto"/>
            <w:tcMar>
              <w:top w:w="150" w:type="dxa"/>
              <w:left w:w="0" w:type="dxa"/>
              <w:bottom w:w="150" w:type="dxa"/>
              <w:right w:w="180" w:type="dxa"/>
            </w:tcMar>
            <w:vAlign w:val="center"/>
            <w:hideMark/>
          </w:tcPr>
          <w:p w14:paraId="376967C7" w14:textId="6ECBE26E" w:rsidR="009A1587" w:rsidRPr="00C20DFE" w:rsidRDefault="00E130C1" w:rsidP="007B5E2A">
            <w:pPr>
              <w:jc w:val="center"/>
              <w:rPr>
                <w:b/>
                <w:bCs/>
                <w:sz w:val="20"/>
                <w:szCs w:val="18"/>
              </w:rPr>
            </w:pPr>
            <w:r w:rsidRPr="00C20DFE">
              <w:rPr>
                <w:b/>
                <w:bCs/>
                <w:sz w:val="20"/>
                <w:szCs w:val="18"/>
              </w:rPr>
              <w:t>1.02832</w:t>
            </w:r>
          </w:p>
        </w:tc>
        <w:tc>
          <w:tcPr>
            <w:tcW w:w="0" w:type="auto"/>
            <w:tcMar>
              <w:top w:w="150" w:type="dxa"/>
              <w:left w:w="0" w:type="dxa"/>
              <w:bottom w:w="150" w:type="dxa"/>
              <w:right w:w="180" w:type="dxa"/>
            </w:tcMar>
            <w:vAlign w:val="center"/>
            <w:hideMark/>
          </w:tcPr>
          <w:p w14:paraId="61BF072C" w14:textId="17EA01DE" w:rsidR="009A1587" w:rsidRPr="00C20DFE" w:rsidRDefault="0071108D" w:rsidP="007B5E2A">
            <w:pPr>
              <w:jc w:val="center"/>
              <w:rPr>
                <w:b/>
                <w:bCs/>
                <w:sz w:val="20"/>
                <w:szCs w:val="18"/>
              </w:rPr>
            </w:pPr>
            <w:r w:rsidRPr="00C20DFE">
              <w:rPr>
                <w:rFonts w:hint="eastAsia"/>
                <w:b/>
                <w:bCs/>
                <w:sz w:val="20"/>
                <w:szCs w:val="18"/>
              </w:rPr>
              <w:t>T</w:t>
            </w:r>
            <w:r w:rsidR="009A1587" w:rsidRPr="00C20DFE">
              <w:rPr>
                <w:b/>
                <w:bCs/>
                <w:sz w:val="20"/>
                <w:szCs w:val="18"/>
              </w:rPr>
              <w:t>echniques combined</w:t>
            </w:r>
          </w:p>
        </w:tc>
      </w:tr>
    </w:tbl>
    <w:p w14:paraId="54B9B5DB" w14:textId="6832B76C" w:rsidR="009A1587" w:rsidRPr="009A1587" w:rsidRDefault="009A1587" w:rsidP="009A1587">
      <w:pPr>
        <w:rPr>
          <w:rFonts w:hint="eastAsia"/>
          <w:sz w:val="22"/>
          <w:szCs w:val="21"/>
        </w:rPr>
      </w:pPr>
      <w:r w:rsidRPr="009A1587">
        <w:rPr>
          <w:sz w:val="22"/>
          <w:szCs w:val="21"/>
        </w:rPr>
        <w:t>Our final submission achieved a Kaggle leaderboard score of</w:t>
      </w:r>
      <w:r w:rsidR="00E130C1">
        <w:rPr>
          <w:rFonts w:hint="eastAsia"/>
          <w:sz w:val="22"/>
          <w:szCs w:val="21"/>
        </w:rPr>
        <w:t xml:space="preserve"> </w:t>
      </w:r>
      <w:r w:rsidR="00E130C1" w:rsidRPr="00041FC4">
        <w:rPr>
          <w:rFonts w:hint="eastAsia"/>
          <w:b/>
          <w:bCs/>
          <w:sz w:val="22"/>
          <w:szCs w:val="21"/>
        </w:rPr>
        <w:t>1.02621</w:t>
      </w:r>
      <w:r w:rsidRPr="009A1587">
        <w:rPr>
          <w:sz w:val="22"/>
          <w:szCs w:val="21"/>
        </w:rPr>
        <w:t>, demonstrating consistent improvement through each development phase. The progressive enhancement from baselines to advanced methods validates our systematic approach to model development.</w:t>
      </w:r>
      <w:r w:rsidR="00041FC4">
        <w:rPr>
          <w:rFonts w:hint="eastAsia"/>
          <w:sz w:val="22"/>
          <w:szCs w:val="21"/>
        </w:rPr>
        <w:t xml:space="preserve"> </w:t>
      </w:r>
      <w:r w:rsidR="00041FC4" w:rsidRPr="00041FC4">
        <w:rPr>
          <w:sz w:val="22"/>
          <w:szCs w:val="21"/>
        </w:rPr>
        <w:t xml:space="preserve">It is worth noting that we achieved this highest score without using fine-tuning methods. This may be because during fine-tuning, we only utilized the base Transformer layers (through AutoModel), potentially discarding the critical information learned during fine-tuning. </w:t>
      </w:r>
    </w:p>
    <w:p w14:paraId="73828412" w14:textId="2C10BECF" w:rsidR="009A1587" w:rsidRPr="009A1587" w:rsidRDefault="00696132" w:rsidP="009A1587">
      <w:pPr>
        <w:rPr>
          <w:b/>
          <w:bCs/>
          <w:sz w:val="22"/>
          <w:szCs w:val="21"/>
        </w:rPr>
      </w:pPr>
      <w:r w:rsidRPr="003A74B8">
        <w:rPr>
          <w:rFonts w:hint="eastAsia"/>
          <w:b/>
          <w:bCs/>
          <w:sz w:val="22"/>
          <w:szCs w:val="21"/>
        </w:rPr>
        <w:t xml:space="preserve">3.2 </w:t>
      </w:r>
      <w:r w:rsidR="009A1587" w:rsidRPr="009A1587">
        <w:rPr>
          <w:b/>
          <w:bCs/>
          <w:sz w:val="22"/>
          <w:szCs w:val="21"/>
        </w:rPr>
        <w:t>Key Findings</w:t>
      </w:r>
      <w:r w:rsidR="00683505">
        <w:rPr>
          <w:rFonts w:hint="eastAsia"/>
          <w:b/>
          <w:bCs/>
          <w:sz w:val="22"/>
          <w:szCs w:val="21"/>
        </w:rPr>
        <w:t xml:space="preserve"> in</w:t>
      </w:r>
      <w:r w:rsidR="00683505" w:rsidRPr="00683505">
        <w:rPr>
          <w:b/>
          <w:bCs/>
          <w:sz w:val="22"/>
          <w:szCs w:val="21"/>
        </w:rPr>
        <w:t xml:space="preserve"> </w:t>
      </w:r>
      <w:r w:rsidR="00683505" w:rsidRPr="009A1587">
        <w:rPr>
          <w:b/>
          <w:bCs/>
          <w:sz w:val="22"/>
          <w:szCs w:val="21"/>
        </w:rPr>
        <w:t>Error Analysis</w:t>
      </w:r>
    </w:p>
    <w:p w14:paraId="433BBAF4" w14:textId="233BF077" w:rsidR="009E6A2E" w:rsidRPr="009E6A2E" w:rsidRDefault="009E6A2E" w:rsidP="009E6A2E">
      <w:pPr>
        <w:rPr>
          <w:sz w:val="22"/>
          <w:szCs w:val="21"/>
        </w:rPr>
      </w:pPr>
      <w:r w:rsidRPr="009E6A2E">
        <w:rPr>
          <w:sz w:val="22"/>
          <w:szCs w:val="21"/>
        </w:rPr>
        <w:t xml:space="preserve">The key finding from our error analysis, as evidenced by the confusion matrix in FIGURE </w:t>
      </w:r>
      <w:r w:rsidR="00D551AD">
        <w:rPr>
          <w:rFonts w:hint="eastAsia"/>
          <w:sz w:val="22"/>
          <w:szCs w:val="21"/>
        </w:rPr>
        <w:t>3</w:t>
      </w:r>
      <w:r w:rsidRPr="009E6A2E">
        <w:rPr>
          <w:sz w:val="22"/>
          <w:szCs w:val="21"/>
        </w:rPr>
        <w:t xml:space="preserve">, is that the three bias-aware features—length differentials, length ratio, and lexical diversity ratios—effectively help the model mitigate positional bias and simulate human preference for lexical richness. However, even with these features, the model's tie prediction performance remains near chance level (~37.18%), prompting the introduction of semantic similarity as an additional feature to improve LGBM's ability to identify tie scenarios. </w:t>
      </w:r>
    </w:p>
    <w:p w14:paraId="0F8D9953" w14:textId="50C639A3" w:rsidR="00405812" w:rsidRDefault="00405812" w:rsidP="009A1587">
      <w:pPr>
        <w:rPr>
          <w:sz w:val="22"/>
          <w:szCs w:val="21"/>
        </w:rPr>
      </w:pPr>
      <w:r>
        <w:rPr>
          <w:noProof/>
        </w:rPr>
        <w:drawing>
          <wp:inline distT="0" distB="0" distL="0" distR="0" wp14:anchorId="3F561F3C" wp14:editId="401E3A2C">
            <wp:extent cx="5278120" cy="1382395"/>
            <wp:effectExtent l="0" t="0" r="0" b="0"/>
            <wp:docPr id="17123280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8120" cy="1382395"/>
                    </a:xfrm>
                    <a:prstGeom prst="rect">
                      <a:avLst/>
                    </a:prstGeom>
                    <a:noFill/>
                    <a:ln>
                      <a:noFill/>
                    </a:ln>
                  </pic:spPr>
                </pic:pic>
              </a:graphicData>
            </a:graphic>
          </wp:inline>
        </w:drawing>
      </w:r>
    </w:p>
    <w:p w14:paraId="61211734" w14:textId="23A58E40" w:rsidR="00405812" w:rsidRDefault="00405812" w:rsidP="00405812">
      <w:pPr>
        <w:jc w:val="center"/>
        <w:rPr>
          <w:sz w:val="22"/>
          <w:szCs w:val="21"/>
        </w:rPr>
      </w:pPr>
      <w:r>
        <w:rPr>
          <w:noProof/>
        </w:rPr>
        <w:drawing>
          <wp:inline distT="0" distB="0" distL="0" distR="0" wp14:anchorId="7960462E" wp14:editId="15F055F4">
            <wp:extent cx="5278120" cy="1382395"/>
            <wp:effectExtent l="0" t="0" r="0" b="0"/>
            <wp:docPr id="1282468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8120" cy="1382395"/>
                    </a:xfrm>
                    <a:prstGeom prst="rect">
                      <a:avLst/>
                    </a:prstGeom>
                    <a:noFill/>
                    <a:ln>
                      <a:noFill/>
                    </a:ln>
                  </pic:spPr>
                </pic:pic>
              </a:graphicData>
            </a:graphic>
          </wp:inline>
        </w:drawing>
      </w:r>
    </w:p>
    <w:p w14:paraId="3DE3600C" w14:textId="37CAF7D9" w:rsidR="00766C40" w:rsidRPr="00C20DFE" w:rsidRDefault="00D9799E" w:rsidP="00C20DFE">
      <w:pPr>
        <w:jc w:val="center"/>
        <w:rPr>
          <w:rFonts w:hint="eastAsia"/>
          <w:b/>
          <w:bCs/>
          <w:sz w:val="22"/>
          <w:szCs w:val="21"/>
        </w:rPr>
      </w:pPr>
      <w:r w:rsidRPr="00D9799E">
        <w:rPr>
          <w:rFonts w:hint="eastAsia"/>
          <w:b/>
          <w:bCs/>
          <w:sz w:val="22"/>
          <w:szCs w:val="21"/>
        </w:rPr>
        <w:t xml:space="preserve">FIGURE </w:t>
      </w:r>
      <w:r w:rsidR="00D551AD">
        <w:rPr>
          <w:rFonts w:hint="eastAsia"/>
          <w:b/>
          <w:bCs/>
          <w:sz w:val="22"/>
          <w:szCs w:val="21"/>
        </w:rPr>
        <w:t>3</w:t>
      </w:r>
      <w:r w:rsidRPr="00D9799E">
        <w:rPr>
          <w:rFonts w:hint="eastAsia"/>
          <w:b/>
          <w:bCs/>
          <w:sz w:val="22"/>
          <w:szCs w:val="21"/>
        </w:rPr>
        <w:t xml:space="preserve"> </w:t>
      </w:r>
      <w:r w:rsidRPr="00D9799E">
        <w:rPr>
          <w:b/>
          <w:bCs/>
          <w:sz w:val="22"/>
          <w:szCs w:val="21"/>
        </w:rPr>
        <w:t>Feature Effect Comparison</w:t>
      </w:r>
    </w:p>
    <w:p w14:paraId="6FFC2A6D" w14:textId="127C3607" w:rsidR="00766C40" w:rsidRDefault="00766C40" w:rsidP="00766C40">
      <w:pPr>
        <w:rPr>
          <w:sz w:val="22"/>
          <w:szCs w:val="21"/>
        </w:rPr>
      </w:pPr>
      <w:r w:rsidRPr="009A1587">
        <w:rPr>
          <w:sz w:val="22"/>
          <w:szCs w:val="21"/>
        </w:rPr>
        <w:t>A</w:t>
      </w:r>
      <w:r>
        <w:rPr>
          <w:rFonts w:hint="eastAsia"/>
          <w:sz w:val="22"/>
          <w:szCs w:val="21"/>
        </w:rPr>
        <w:t>nother</w:t>
      </w:r>
      <w:r w:rsidRPr="009A1587">
        <w:rPr>
          <w:sz w:val="22"/>
          <w:szCs w:val="21"/>
        </w:rPr>
        <w:t xml:space="preserve"> crucial aspect of our work involved analyzing potential biases in the evaluation process. We conducted position bias experiments by swapping response order and measuring </w:t>
      </w:r>
      <w:r w:rsidRPr="009A1587">
        <w:rPr>
          <w:sz w:val="22"/>
          <w:szCs w:val="21"/>
        </w:rPr>
        <w:lastRenderedPageBreak/>
        <w:t xml:space="preserve">prediction consistency, finding </w:t>
      </w:r>
      <w:r w:rsidRPr="00766C40">
        <w:rPr>
          <w:b/>
          <w:bCs/>
          <w:sz w:val="22"/>
          <w:szCs w:val="21"/>
        </w:rPr>
        <w:t>0.190 flip rate</w:t>
      </w:r>
      <w:r w:rsidRPr="009A1587">
        <w:rPr>
          <w:sz w:val="22"/>
          <w:szCs w:val="21"/>
        </w:rPr>
        <w:t xml:space="preserve"> indicating moderate position sensitivity. To address this, we incorporated calibration techniques including </w:t>
      </w:r>
      <w:r w:rsidRPr="00766C40">
        <w:rPr>
          <w:b/>
          <w:bCs/>
          <w:sz w:val="22"/>
          <w:szCs w:val="21"/>
        </w:rPr>
        <w:t>temperature scaling</w:t>
      </w:r>
      <w:r>
        <w:rPr>
          <w:rFonts w:hint="eastAsia"/>
          <w:b/>
          <w:bCs/>
          <w:sz w:val="22"/>
          <w:szCs w:val="21"/>
        </w:rPr>
        <w:t xml:space="preserve"> in LoRA</w:t>
      </w:r>
      <w:r>
        <w:rPr>
          <w:rFonts w:hint="eastAsia"/>
          <w:sz w:val="22"/>
          <w:szCs w:val="21"/>
        </w:rPr>
        <w:t xml:space="preserve"> and </w:t>
      </w:r>
      <w:r>
        <w:rPr>
          <w:rFonts w:hint="eastAsia"/>
          <w:b/>
          <w:bCs/>
          <w:sz w:val="22"/>
          <w:szCs w:val="21"/>
        </w:rPr>
        <w:t>l</w:t>
      </w:r>
      <w:r w:rsidRPr="00A40B4B">
        <w:rPr>
          <w:b/>
          <w:bCs/>
          <w:sz w:val="22"/>
          <w:szCs w:val="21"/>
        </w:rPr>
        <w:t xml:space="preserve">ength </w:t>
      </w:r>
      <w:r>
        <w:rPr>
          <w:rFonts w:hint="eastAsia"/>
          <w:b/>
          <w:bCs/>
          <w:sz w:val="22"/>
          <w:szCs w:val="21"/>
        </w:rPr>
        <w:t>ratio feature</w:t>
      </w:r>
      <w:r w:rsidRPr="009A1587">
        <w:rPr>
          <w:sz w:val="22"/>
          <w:szCs w:val="21"/>
        </w:rPr>
        <w:t xml:space="preserve">, which optimized the confidence calibration of our predictions and improved log loss </w:t>
      </w:r>
      <w:r>
        <w:rPr>
          <w:rFonts w:hint="eastAsia"/>
          <w:sz w:val="22"/>
          <w:szCs w:val="21"/>
        </w:rPr>
        <w:t>to</w:t>
      </w:r>
      <w:r w:rsidRPr="009A1587">
        <w:rPr>
          <w:sz w:val="22"/>
          <w:szCs w:val="21"/>
        </w:rPr>
        <w:t xml:space="preserve"> </w:t>
      </w:r>
      <w:r w:rsidRPr="00766C40">
        <w:rPr>
          <w:b/>
          <w:bCs/>
          <w:sz w:val="22"/>
          <w:szCs w:val="21"/>
        </w:rPr>
        <w:t>0.0168</w:t>
      </w:r>
      <w:r>
        <w:rPr>
          <w:rFonts w:hint="eastAsia"/>
          <w:sz w:val="22"/>
          <w:szCs w:val="21"/>
        </w:rPr>
        <w:t>.</w:t>
      </w:r>
    </w:p>
    <w:p w14:paraId="7CC19BC5" w14:textId="48DDC8DC" w:rsidR="005E4CDB" w:rsidRDefault="005E4CDB" w:rsidP="00766C40">
      <w:pPr>
        <w:rPr>
          <w:b/>
          <w:bCs/>
          <w:sz w:val="22"/>
          <w:szCs w:val="21"/>
        </w:rPr>
      </w:pPr>
      <w:r w:rsidRPr="005E4CDB">
        <w:rPr>
          <w:rFonts w:hint="eastAsia"/>
          <w:b/>
          <w:bCs/>
          <w:sz w:val="22"/>
          <w:szCs w:val="21"/>
        </w:rPr>
        <w:t>3.3 Misclassified Examples in Final Model</w:t>
      </w:r>
    </w:p>
    <w:p w14:paraId="668D2C13" w14:textId="6E0192E9" w:rsidR="00235340" w:rsidRPr="00235340" w:rsidRDefault="00235340" w:rsidP="00235340">
      <w:pPr>
        <w:jc w:val="center"/>
        <w:rPr>
          <w:rFonts w:hint="eastAsia"/>
          <w:b/>
          <w:bCs/>
          <w:sz w:val="22"/>
          <w:szCs w:val="21"/>
        </w:rPr>
      </w:pPr>
      <w:r w:rsidRPr="00D9799E">
        <w:rPr>
          <w:rFonts w:hint="eastAsia"/>
          <w:b/>
          <w:bCs/>
          <w:sz w:val="22"/>
          <w:szCs w:val="21"/>
        </w:rPr>
        <w:t xml:space="preserve">TABLE </w:t>
      </w:r>
      <w:r>
        <w:rPr>
          <w:rFonts w:hint="eastAsia"/>
          <w:b/>
          <w:bCs/>
          <w:sz w:val="22"/>
          <w:szCs w:val="21"/>
        </w:rPr>
        <w:t>2 Misclassified Examples</w:t>
      </w:r>
    </w:p>
    <w:tbl>
      <w:tblPr>
        <w:tblW w:w="11432" w:type="dxa"/>
        <w:tblInd w:w="-1513" w:type="dxa"/>
        <w:shd w:val="clear" w:color="auto" w:fill="1D1D1D"/>
        <w:tblCellMar>
          <w:left w:w="0" w:type="dxa"/>
          <w:right w:w="0" w:type="dxa"/>
        </w:tblCellMar>
        <w:tblLook w:val="04A0" w:firstRow="1" w:lastRow="0" w:firstColumn="1" w:lastColumn="0" w:noHBand="0" w:noVBand="1"/>
      </w:tblPr>
      <w:tblGrid>
        <w:gridCol w:w="773"/>
        <w:gridCol w:w="744"/>
        <w:gridCol w:w="1121"/>
        <w:gridCol w:w="1937"/>
        <w:gridCol w:w="1298"/>
        <w:gridCol w:w="2303"/>
        <w:gridCol w:w="3256"/>
      </w:tblGrid>
      <w:tr w:rsidR="00047E00" w:rsidRPr="00047E00" w14:paraId="63FD2DE6" w14:textId="77777777" w:rsidTr="00165A67">
        <w:trPr>
          <w:trHeight w:val="18"/>
          <w:tblHeader/>
        </w:trPr>
        <w:tc>
          <w:tcPr>
            <w:tcW w:w="0" w:type="auto"/>
            <w:tcBorders>
              <w:top w:val="single" w:sz="12" w:space="0" w:color="auto"/>
              <w:bottom w:val="single" w:sz="6" w:space="0" w:color="auto"/>
            </w:tcBorders>
            <w:tcMar>
              <w:top w:w="150" w:type="dxa"/>
              <w:left w:w="0" w:type="dxa"/>
              <w:bottom w:w="150" w:type="dxa"/>
              <w:right w:w="180" w:type="dxa"/>
            </w:tcMar>
            <w:vAlign w:val="center"/>
            <w:hideMark/>
          </w:tcPr>
          <w:p w14:paraId="244B8671" w14:textId="77777777" w:rsidR="00047E00" w:rsidRPr="00047E00" w:rsidRDefault="00047E00" w:rsidP="00047E00">
            <w:pPr>
              <w:jc w:val="center"/>
              <w:rPr>
                <w:b/>
                <w:bCs/>
                <w:sz w:val="15"/>
                <w:szCs w:val="13"/>
              </w:rPr>
            </w:pPr>
            <w:r w:rsidRPr="00047E00">
              <w:rPr>
                <w:b/>
                <w:bCs/>
                <w:sz w:val="15"/>
                <w:szCs w:val="13"/>
              </w:rPr>
              <w:t>Sample ID</w:t>
            </w:r>
          </w:p>
        </w:tc>
        <w:tc>
          <w:tcPr>
            <w:tcW w:w="0" w:type="auto"/>
            <w:tcBorders>
              <w:top w:val="single" w:sz="12" w:space="0" w:color="auto"/>
              <w:bottom w:val="single" w:sz="6" w:space="0" w:color="auto"/>
            </w:tcBorders>
            <w:tcMar>
              <w:top w:w="150" w:type="dxa"/>
              <w:left w:w="0" w:type="dxa"/>
              <w:bottom w:w="150" w:type="dxa"/>
              <w:right w:w="180" w:type="dxa"/>
            </w:tcMar>
            <w:vAlign w:val="center"/>
            <w:hideMark/>
          </w:tcPr>
          <w:p w14:paraId="00715148" w14:textId="77777777" w:rsidR="00047E00" w:rsidRPr="00047E00" w:rsidRDefault="00047E00" w:rsidP="00047E00">
            <w:pPr>
              <w:jc w:val="center"/>
              <w:rPr>
                <w:b/>
                <w:bCs/>
                <w:sz w:val="15"/>
                <w:szCs w:val="13"/>
              </w:rPr>
            </w:pPr>
            <w:r w:rsidRPr="00047E00">
              <w:rPr>
                <w:b/>
                <w:bCs/>
                <w:sz w:val="15"/>
                <w:szCs w:val="13"/>
              </w:rPr>
              <w:t>True Label</w:t>
            </w:r>
          </w:p>
        </w:tc>
        <w:tc>
          <w:tcPr>
            <w:tcW w:w="0" w:type="auto"/>
            <w:tcBorders>
              <w:top w:val="single" w:sz="12" w:space="0" w:color="auto"/>
              <w:bottom w:val="single" w:sz="6" w:space="0" w:color="auto"/>
            </w:tcBorders>
            <w:tcMar>
              <w:top w:w="150" w:type="dxa"/>
              <w:left w:w="0" w:type="dxa"/>
              <w:bottom w:w="150" w:type="dxa"/>
              <w:right w:w="180" w:type="dxa"/>
            </w:tcMar>
            <w:vAlign w:val="center"/>
            <w:hideMark/>
          </w:tcPr>
          <w:p w14:paraId="1647DB6D" w14:textId="77777777" w:rsidR="00047E00" w:rsidRPr="00047E00" w:rsidRDefault="00047E00" w:rsidP="00047E00">
            <w:pPr>
              <w:jc w:val="center"/>
              <w:rPr>
                <w:b/>
                <w:bCs/>
                <w:sz w:val="15"/>
                <w:szCs w:val="13"/>
              </w:rPr>
            </w:pPr>
            <w:r w:rsidRPr="00047E00">
              <w:rPr>
                <w:b/>
                <w:bCs/>
                <w:sz w:val="15"/>
                <w:szCs w:val="13"/>
              </w:rPr>
              <w:t>Wrong Prediction</w:t>
            </w:r>
          </w:p>
        </w:tc>
        <w:tc>
          <w:tcPr>
            <w:tcW w:w="1937" w:type="dxa"/>
            <w:tcBorders>
              <w:top w:val="single" w:sz="12" w:space="0" w:color="auto"/>
              <w:bottom w:val="single" w:sz="6" w:space="0" w:color="auto"/>
            </w:tcBorders>
            <w:tcMar>
              <w:top w:w="150" w:type="dxa"/>
              <w:left w:w="0" w:type="dxa"/>
              <w:bottom w:w="150" w:type="dxa"/>
              <w:right w:w="180" w:type="dxa"/>
            </w:tcMar>
            <w:vAlign w:val="center"/>
            <w:hideMark/>
          </w:tcPr>
          <w:p w14:paraId="338D73C4" w14:textId="77777777" w:rsidR="00047E00" w:rsidRPr="00047E00" w:rsidRDefault="00047E00" w:rsidP="00047E00">
            <w:pPr>
              <w:jc w:val="center"/>
              <w:rPr>
                <w:b/>
                <w:bCs/>
                <w:sz w:val="15"/>
                <w:szCs w:val="13"/>
              </w:rPr>
            </w:pPr>
            <w:r w:rsidRPr="00047E00">
              <w:rPr>
                <w:b/>
                <w:bCs/>
                <w:sz w:val="15"/>
                <w:szCs w:val="13"/>
              </w:rPr>
              <w:t>Probabilities (A/B/Tie)</w:t>
            </w:r>
          </w:p>
        </w:tc>
        <w:tc>
          <w:tcPr>
            <w:tcW w:w="0" w:type="auto"/>
            <w:tcBorders>
              <w:top w:val="single" w:sz="12" w:space="0" w:color="auto"/>
              <w:bottom w:val="single" w:sz="6" w:space="0" w:color="auto"/>
            </w:tcBorders>
            <w:tcMar>
              <w:top w:w="150" w:type="dxa"/>
              <w:left w:w="0" w:type="dxa"/>
              <w:bottom w:w="150" w:type="dxa"/>
              <w:right w:w="180" w:type="dxa"/>
            </w:tcMar>
            <w:vAlign w:val="center"/>
            <w:hideMark/>
          </w:tcPr>
          <w:p w14:paraId="549F03B6" w14:textId="77777777" w:rsidR="00047E00" w:rsidRPr="00047E00" w:rsidRDefault="00047E00" w:rsidP="00047E00">
            <w:pPr>
              <w:jc w:val="center"/>
              <w:rPr>
                <w:b/>
                <w:bCs/>
                <w:sz w:val="15"/>
                <w:szCs w:val="13"/>
              </w:rPr>
            </w:pPr>
            <w:r w:rsidRPr="00047E00">
              <w:rPr>
                <w:b/>
                <w:bCs/>
                <w:sz w:val="15"/>
                <w:szCs w:val="13"/>
              </w:rPr>
              <w:t>Prompt</w:t>
            </w:r>
          </w:p>
        </w:tc>
        <w:tc>
          <w:tcPr>
            <w:tcW w:w="2303" w:type="dxa"/>
            <w:tcBorders>
              <w:top w:val="single" w:sz="12" w:space="0" w:color="auto"/>
              <w:bottom w:val="single" w:sz="6" w:space="0" w:color="auto"/>
            </w:tcBorders>
            <w:tcMar>
              <w:top w:w="150" w:type="dxa"/>
              <w:left w:w="0" w:type="dxa"/>
              <w:bottom w:w="150" w:type="dxa"/>
              <w:right w:w="180" w:type="dxa"/>
            </w:tcMar>
            <w:vAlign w:val="center"/>
            <w:hideMark/>
          </w:tcPr>
          <w:p w14:paraId="735E5154" w14:textId="77777777" w:rsidR="00047E00" w:rsidRPr="00047E00" w:rsidRDefault="00047E00" w:rsidP="00047E00">
            <w:pPr>
              <w:jc w:val="center"/>
              <w:rPr>
                <w:b/>
                <w:bCs/>
                <w:sz w:val="15"/>
                <w:szCs w:val="13"/>
              </w:rPr>
            </w:pPr>
            <w:r w:rsidRPr="00047E00">
              <w:rPr>
                <w:b/>
                <w:bCs/>
                <w:sz w:val="15"/>
                <w:szCs w:val="13"/>
              </w:rPr>
              <w:t>Response A</w:t>
            </w:r>
          </w:p>
        </w:tc>
        <w:tc>
          <w:tcPr>
            <w:tcW w:w="3256" w:type="dxa"/>
            <w:tcBorders>
              <w:top w:val="single" w:sz="12" w:space="0" w:color="auto"/>
              <w:bottom w:val="single" w:sz="6" w:space="0" w:color="auto"/>
            </w:tcBorders>
            <w:tcMar>
              <w:top w:w="150" w:type="dxa"/>
              <w:left w:w="0" w:type="dxa"/>
              <w:bottom w:w="150" w:type="dxa"/>
              <w:right w:w="180" w:type="dxa"/>
            </w:tcMar>
            <w:vAlign w:val="center"/>
            <w:hideMark/>
          </w:tcPr>
          <w:p w14:paraId="0462F928" w14:textId="77777777" w:rsidR="00047E00" w:rsidRPr="00047E00" w:rsidRDefault="00047E00" w:rsidP="00047E00">
            <w:pPr>
              <w:jc w:val="center"/>
              <w:rPr>
                <w:b/>
                <w:bCs/>
                <w:sz w:val="15"/>
                <w:szCs w:val="13"/>
              </w:rPr>
            </w:pPr>
            <w:r w:rsidRPr="00047E00">
              <w:rPr>
                <w:b/>
                <w:bCs/>
                <w:sz w:val="15"/>
                <w:szCs w:val="13"/>
              </w:rPr>
              <w:t>Response B</w:t>
            </w:r>
          </w:p>
        </w:tc>
      </w:tr>
      <w:tr w:rsidR="00047E00" w:rsidRPr="00047E00" w14:paraId="0D994AB7" w14:textId="77777777" w:rsidTr="00165A67">
        <w:trPr>
          <w:trHeight w:val="18"/>
        </w:trPr>
        <w:tc>
          <w:tcPr>
            <w:tcW w:w="0" w:type="auto"/>
            <w:tcBorders>
              <w:top w:val="single" w:sz="6" w:space="0" w:color="auto"/>
            </w:tcBorders>
            <w:tcMar>
              <w:top w:w="150" w:type="dxa"/>
              <w:left w:w="0" w:type="dxa"/>
              <w:bottom w:w="150" w:type="dxa"/>
              <w:right w:w="180" w:type="dxa"/>
            </w:tcMar>
            <w:vAlign w:val="center"/>
            <w:hideMark/>
          </w:tcPr>
          <w:p w14:paraId="02D6BD81" w14:textId="77777777" w:rsidR="00047E00" w:rsidRPr="00047E00" w:rsidRDefault="00047E00" w:rsidP="00047E00">
            <w:pPr>
              <w:jc w:val="center"/>
              <w:rPr>
                <w:sz w:val="15"/>
                <w:szCs w:val="13"/>
              </w:rPr>
            </w:pPr>
            <w:r w:rsidRPr="00047E00">
              <w:rPr>
                <w:sz w:val="15"/>
                <w:szCs w:val="13"/>
              </w:rPr>
              <w:t>17307</w:t>
            </w:r>
          </w:p>
        </w:tc>
        <w:tc>
          <w:tcPr>
            <w:tcW w:w="0" w:type="auto"/>
            <w:tcBorders>
              <w:top w:val="single" w:sz="6" w:space="0" w:color="auto"/>
            </w:tcBorders>
            <w:tcMar>
              <w:top w:w="150" w:type="dxa"/>
              <w:left w:w="0" w:type="dxa"/>
              <w:bottom w:w="150" w:type="dxa"/>
              <w:right w:w="180" w:type="dxa"/>
            </w:tcMar>
            <w:vAlign w:val="center"/>
            <w:hideMark/>
          </w:tcPr>
          <w:p w14:paraId="0330B564" w14:textId="77777777" w:rsidR="00047E00" w:rsidRPr="00047E00" w:rsidRDefault="00047E00" w:rsidP="00047E00">
            <w:pPr>
              <w:jc w:val="center"/>
              <w:rPr>
                <w:sz w:val="15"/>
                <w:szCs w:val="13"/>
              </w:rPr>
            </w:pPr>
            <w:r w:rsidRPr="00047E00">
              <w:rPr>
                <w:sz w:val="15"/>
                <w:szCs w:val="13"/>
              </w:rPr>
              <w:t>0</w:t>
            </w:r>
          </w:p>
        </w:tc>
        <w:tc>
          <w:tcPr>
            <w:tcW w:w="0" w:type="auto"/>
            <w:tcBorders>
              <w:top w:val="single" w:sz="6" w:space="0" w:color="auto"/>
            </w:tcBorders>
            <w:tcMar>
              <w:top w:w="150" w:type="dxa"/>
              <w:left w:w="0" w:type="dxa"/>
              <w:bottom w:w="150" w:type="dxa"/>
              <w:right w:w="180" w:type="dxa"/>
            </w:tcMar>
            <w:vAlign w:val="center"/>
            <w:hideMark/>
          </w:tcPr>
          <w:p w14:paraId="7EAB614B" w14:textId="77777777" w:rsidR="00047E00" w:rsidRPr="00047E00" w:rsidRDefault="00047E00" w:rsidP="00047E00">
            <w:pPr>
              <w:jc w:val="center"/>
              <w:rPr>
                <w:sz w:val="15"/>
                <w:szCs w:val="13"/>
              </w:rPr>
            </w:pPr>
            <w:r w:rsidRPr="00047E00">
              <w:rPr>
                <w:sz w:val="15"/>
                <w:szCs w:val="13"/>
              </w:rPr>
              <w:t>2</w:t>
            </w:r>
          </w:p>
        </w:tc>
        <w:tc>
          <w:tcPr>
            <w:tcW w:w="1937" w:type="dxa"/>
            <w:tcBorders>
              <w:top w:val="single" w:sz="6" w:space="0" w:color="auto"/>
            </w:tcBorders>
            <w:tcMar>
              <w:top w:w="150" w:type="dxa"/>
              <w:left w:w="0" w:type="dxa"/>
              <w:bottom w:w="150" w:type="dxa"/>
              <w:right w:w="180" w:type="dxa"/>
            </w:tcMar>
            <w:vAlign w:val="center"/>
            <w:hideMark/>
          </w:tcPr>
          <w:p w14:paraId="64ECDFB0" w14:textId="77777777" w:rsidR="00047E00" w:rsidRPr="00047E00" w:rsidRDefault="00047E00" w:rsidP="00047E00">
            <w:pPr>
              <w:jc w:val="center"/>
              <w:rPr>
                <w:sz w:val="15"/>
                <w:szCs w:val="13"/>
              </w:rPr>
            </w:pPr>
            <w:r w:rsidRPr="00047E00">
              <w:rPr>
                <w:sz w:val="15"/>
                <w:szCs w:val="13"/>
              </w:rPr>
              <w:t>0.05 / 0.09 / 0.86</w:t>
            </w:r>
          </w:p>
        </w:tc>
        <w:tc>
          <w:tcPr>
            <w:tcW w:w="0" w:type="auto"/>
            <w:tcBorders>
              <w:top w:val="single" w:sz="6" w:space="0" w:color="auto"/>
            </w:tcBorders>
            <w:tcMar>
              <w:top w:w="150" w:type="dxa"/>
              <w:left w:w="0" w:type="dxa"/>
              <w:bottom w:w="150" w:type="dxa"/>
              <w:right w:w="180" w:type="dxa"/>
            </w:tcMar>
            <w:vAlign w:val="center"/>
            <w:hideMark/>
          </w:tcPr>
          <w:p w14:paraId="6E4E513B" w14:textId="77777777" w:rsidR="00047E00" w:rsidRPr="00047E00" w:rsidRDefault="00047E00" w:rsidP="00047E00">
            <w:pPr>
              <w:jc w:val="center"/>
              <w:rPr>
                <w:sz w:val="15"/>
                <w:szCs w:val="13"/>
              </w:rPr>
            </w:pPr>
            <w:r w:rsidRPr="00047E00">
              <w:rPr>
                <w:sz w:val="15"/>
                <w:szCs w:val="13"/>
              </w:rPr>
              <w:t>"how to kill"</w:t>
            </w:r>
          </w:p>
        </w:tc>
        <w:tc>
          <w:tcPr>
            <w:tcW w:w="2303" w:type="dxa"/>
            <w:tcBorders>
              <w:top w:val="single" w:sz="6" w:space="0" w:color="auto"/>
            </w:tcBorders>
            <w:tcMar>
              <w:top w:w="150" w:type="dxa"/>
              <w:left w:w="0" w:type="dxa"/>
              <w:bottom w:w="150" w:type="dxa"/>
              <w:right w:w="180" w:type="dxa"/>
            </w:tcMar>
            <w:vAlign w:val="center"/>
            <w:hideMark/>
          </w:tcPr>
          <w:p w14:paraId="4D8F2CA9" w14:textId="77777777" w:rsidR="00047E00" w:rsidRPr="00047E00" w:rsidRDefault="00047E00" w:rsidP="00047E00">
            <w:pPr>
              <w:jc w:val="center"/>
              <w:rPr>
                <w:sz w:val="15"/>
                <w:szCs w:val="13"/>
              </w:rPr>
            </w:pPr>
            <w:r w:rsidRPr="00047E00">
              <w:rPr>
                <w:sz w:val="15"/>
                <w:szCs w:val="13"/>
              </w:rPr>
              <w:t>"Sorry, but I can't assist with that."</w:t>
            </w:r>
          </w:p>
        </w:tc>
        <w:tc>
          <w:tcPr>
            <w:tcW w:w="3256" w:type="dxa"/>
            <w:tcBorders>
              <w:top w:val="single" w:sz="6" w:space="0" w:color="auto"/>
            </w:tcBorders>
            <w:tcMar>
              <w:top w:w="150" w:type="dxa"/>
              <w:left w:w="0" w:type="dxa"/>
              <w:bottom w:w="150" w:type="dxa"/>
              <w:right w:w="180" w:type="dxa"/>
            </w:tcMar>
            <w:vAlign w:val="center"/>
            <w:hideMark/>
          </w:tcPr>
          <w:p w14:paraId="08B11C59" w14:textId="77777777" w:rsidR="00047E00" w:rsidRPr="00047E00" w:rsidRDefault="00047E00" w:rsidP="00047E00">
            <w:pPr>
              <w:jc w:val="center"/>
              <w:rPr>
                <w:sz w:val="15"/>
                <w:szCs w:val="13"/>
              </w:rPr>
            </w:pPr>
            <w:r w:rsidRPr="00047E00">
              <w:rPr>
                <w:sz w:val="15"/>
                <w:szCs w:val="13"/>
              </w:rPr>
              <w:t>"I apologize, but I cannot recommend ways to harm others."</w:t>
            </w:r>
          </w:p>
        </w:tc>
      </w:tr>
      <w:tr w:rsidR="00047E00" w:rsidRPr="00047E00" w14:paraId="7156019E" w14:textId="77777777" w:rsidTr="00165A67">
        <w:trPr>
          <w:trHeight w:val="18"/>
        </w:trPr>
        <w:tc>
          <w:tcPr>
            <w:tcW w:w="0" w:type="auto"/>
            <w:tcBorders>
              <w:bottom w:val="single" w:sz="12" w:space="0" w:color="auto"/>
            </w:tcBorders>
            <w:tcMar>
              <w:top w:w="150" w:type="dxa"/>
              <w:left w:w="0" w:type="dxa"/>
              <w:bottom w:w="150" w:type="dxa"/>
              <w:right w:w="180" w:type="dxa"/>
            </w:tcMar>
            <w:vAlign w:val="center"/>
            <w:hideMark/>
          </w:tcPr>
          <w:p w14:paraId="4CD413CA" w14:textId="77777777" w:rsidR="00047E00" w:rsidRPr="00047E00" w:rsidRDefault="00047E00" w:rsidP="00047E00">
            <w:pPr>
              <w:jc w:val="center"/>
              <w:rPr>
                <w:sz w:val="15"/>
                <w:szCs w:val="13"/>
              </w:rPr>
            </w:pPr>
            <w:r w:rsidRPr="00047E00">
              <w:rPr>
                <w:sz w:val="15"/>
                <w:szCs w:val="13"/>
              </w:rPr>
              <w:t>45666</w:t>
            </w:r>
          </w:p>
        </w:tc>
        <w:tc>
          <w:tcPr>
            <w:tcW w:w="0" w:type="auto"/>
            <w:tcBorders>
              <w:bottom w:val="single" w:sz="12" w:space="0" w:color="auto"/>
            </w:tcBorders>
            <w:tcMar>
              <w:top w:w="150" w:type="dxa"/>
              <w:left w:w="0" w:type="dxa"/>
              <w:bottom w:w="150" w:type="dxa"/>
              <w:right w:w="180" w:type="dxa"/>
            </w:tcMar>
            <w:vAlign w:val="center"/>
            <w:hideMark/>
          </w:tcPr>
          <w:p w14:paraId="7F0806E5" w14:textId="77777777" w:rsidR="00047E00" w:rsidRPr="00047E00" w:rsidRDefault="00047E00" w:rsidP="00047E00">
            <w:pPr>
              <w:jc w:val="center"/>
              <w:rPr>
                <w:sz w:val="15"/>
                <w:szCs w:val="13"/>
              </w:rPr>
            </w:pPr>
            <w:r w:rsidRPr="00047E00">
              <w:rPr>
                <w:sz w:val="15"/>
                <w:szCs w:val="13"/>
              </w:rPr>
              <w:t>1</w:t>
            </w:r>
          </w:p>
        </w:tc>
        <w:tc>
          <w:tcPr>
            <w:tcW w:w="0" w:type="auto"/>
            <w:tcBorders>
              <w:bottom w:val="single" w:sz="12" w:space="0" w:color="auto"/>
            </w:tcBorders>
            <w:tcMar>
              <w:top w:w="150" w:type="dxa"/>
              <w:left w:w="0" w:type="dxa"/>
              <w:bottom w:w="150" w:type="dxa"/>
              <w:right w:w="180" w:type="dxa"/>
            </w:tcMar>
            <w:vAlign w:val="center"/>
            <w:hideMark/>
          </w:tcPr>
          <w:p w14:paraId="71FD6936" w14:textId="77777777" w:rsidR="00047E00" w:rsidRPr="00047E00" w:rsidRDefault="00047E00" w:rsidP="00047E00">
            <w:pPr>
              <w:jc w:val="center"/>
              <w:rPr>
                <w:sz w:val="15"/>
                <w:szCs w:val="13"/>
              </w:rPr>
            </w:pPr>
            <w:r w:rsidRPr="00047E00">
              <w:rPr>
                <w:sz w:val="15"/>
                <w:szCs w:val="13"/>
              </w:rPr>
              <w:t>2</w:t>
            </w:r>
          </w:p>
        </w:tc>
        <w:tc>
          <w:tcPr>
            <w:tcW w:w="1937" w:type="dxa"/>
            <w:tcBorders>
              <w:bottom w:val="single" w:sz="12" w:space="0" w:color="auto"/>
            </w:tcBorders>
            <w:tcMar>
              <w:top w:w="150" w:type="dxa"/>
              <w:left w:w="0" w:type="dxa"/>
              <w:bottom w:w="150" w:type="dxa"/>
              <w:right w:w="180" w:type="dxa"/>
            </w:tcMar>
            <w:vAlign w:val="center"/>
            <w:hideMark/>
          </w:tcPr>
          <w:p w14:paraId="00DE947D" w14:textId="77777777" w:rsidR="00047E00" w:rsidRPr="00047E00" w:rsidRDefault="00047E00" w:rsidP="00047E00">
            <w:pPr>
              <w:jc w:val="center"/>
              <w:rPr>
                <w:sz w:val="15"/>
                <w:szCs w:val="13"/>
              </w:rPr>
            </w:pPr>
            <w:r w:rsidRPr="00047E00">
              <w:rPr>
                <w:sz w:val="15"/>
                <w:szCs w:val="13"/>
              </w:rPr>
              <w:t>0.07 / 0.08 / 0.85</w:t>
            </w:r>
          </w:p>
        </w:tc>
        <w:tc>
          <w:tcPr>
            <w:tcW w:w="0" w:type="auto"/>
            <w:tcBorders>
              <w:bottom w:val="single" w:sz="12" w:space="0" w:color="auto"/>
            </w:tcBorders>
            <w:tcMar>
              <w:top w:w="150" w:type="dxa"/>
              <w:left w:w="0" w:type="dxa"/>
              <w:bottom w:w="150" w:type="dxa"/>
              <w:right w:w="180" w:type="dxa"/>
            </w:tcMar>
            <w:vAlign w:val="center"/>
            <w:hideMark/>
          </w:tcPr>
          <w:p w14:paraId="75F32E50" w14:textId="77777777" w:rsidR="00047E00" w:rsidRPr="00047E00" w:rsidRDefault="00047E00" w:rsidP="00047E00">
            <w:pPr>
              <w:jc w:val="center"/>
              <w:rPr>
                <w:sz w:val="15"/>
                <w:szCs w:val="13"/>
              </w:rPr>
            </w:pPr>
            <w:r w:rsidRPr="00047E00">
              <w:rPr>
                <w:sz w:val="15"/>
                <w:szCs w:val="13"/>
              </w:rPr>
              <w:t>"How do I build a bomb?"</w:t>
            </w:r>
          </w:p>
        </w:tc>
        <w:tc>
          <w:tcPr>
            <w:tcW w:w="2303" w:type="dxa"/>
            <w:tcBorders>
              <w:bottom w:val="single" w:sz="12" w:space="0" w:color="auto"/>
            </w:tcBorders>
            <w:tcMar>
              <w:top w:w="150" w:type="dxa"/>
              <w:left w:w="0" w:type="dxa"/>
              <w:bottom w:w="150" w:type="dxa"/>
              <w:right w:w="180" w:type="dxa"/>
            </w:tcMar>
            <w:vAlign w:val="center"/>
            <w:hideMark/>
          </w:tcPr>
          <w:p w14:paraId="0D44A808" w14:textId="77777777" w:rsidR="00047E00" w:rsidRPr="00047E00" w:rsidRDefault="00047E00" w:rsidP="00047E00">
            <w:pPr>
              <w:jc w:val="center"/>
              <w:rPr>
                <w:sz w:val="15"/>
                <w:szCs w:val="13"/>
              </w:rPr>
            </w:pPr>
            <w:r w:rsidRPr="00047E00">
              <w:rPr>
                <w:sz w:val="15"/>
                <w:szCs w:val="13"/>
              </w:rPr>
              <w:t>"Sorry, but I can't assist with that."</w:t>
            </w:r>
          </w:p>
        </w:tc>
        <w:tc>
          <w:tcPr>
            <w:tcW w:w="3256" w:type="dxa"/>
            <w:tcBorders>
              <w:bottom w:val="single" w:sz="12" w:space="0" w:color="auto"/>
            </w:tcBorders>
            <w:tcMar>
              <w:top w:w="150" w:type="dxa"/>
              <w:left w:w="0" w:type="dxa"/>
              <w:bottom w:w="150" w:type="dxa"/>
              <w:right w:w="180" w:type="dxa"/>
            </w:tcMar>
            <w:vAlign w:val="center"/>
            <w:hideMark/>
          </w:tcPr>
          <w:p w14:paraId="1DEEE864" w14:textId="77777777" w:rsidR="00047E00" w:rsidRPr="00047E00" w:rsidRDefault="00047E00" w:rsidP="00047E00">
            <w:pPr>
              <w:jc w:val="center"/>
              <w:rPr>
                <w:sz w:val="15"/>
                <w:szCs w:val="13"/>
              </w:rPr>
            </w:pPr>
            <w:r w:rsidRPr="00047E00">
              <w:rPr>
                <w:sz w:val="15"/>
                <w:szCs w:val="13"/>
              </w:rPr>
              <w:t>"I apologize, but I cannot provide any information to help build bombs or other dangerous devices."</w:t>
            </w:r>
          </w:p>
        </w:tc>
      </w:tr>
    </w:tbl>
    <w:p w14:paraId="62ADA54B" w14:textId="77777777" w:rsidR="00DB3ACF" w:rsidRDefault="00DB3ACF" w:rsidP="00DB3ACF">
      <w:pPr>
        <w:rPr>
          <w:sz w:val="22"/>
          <w:szCs w:val="21"/>
        </w:rPr>
      </w:pPr>
    </w:p>
    <w:p w14:paraId="6747E0C1" w14:textId="0E7417DA" w:rsidR="00056675" w:rsidRPr="00C20DFE" w:rsidRDefault="00DB3ACF" w:rsidP="00056675">
      <w:pPr>
        <w:rPr>
          <w:rFonts w:hint="eastAsia"/>
          <w:sz w:val="22"/>
          <w:szCs w:val="21"/>
        </w:rPr>
      </w:pPr>
      <w:r w:rsidRPr="00DB3ACF">
        <w:rPr>
          <w:sz w:val="22"/>
          <w:szCs w:val="21"/>
        </w:rPr>
        <w:t xml:space="preserve">These misclassified cases reveal a key model limitation: it over-predicts "Tie" with high confidence when both responses are safety refusals, failing to discern subtle quality differences in rejection wording. The model appears to overweight surface-level semantic similarity while underweighting nuanced factors like specificity, professionalism, and comprehensiveness that determine response preference. </w:t>
      </w:r>
    </w:p>
    <w:p w14:paraId="445D24DC" w14:textId="77777777" w:rsidR="00047E00" w:rsidRPr="00047E00" w:rsidRDefault="00047E00" w:rsidP="00056675">
      <w:pPr>
        <w:rPr>
          <w:rFonts w:hint="eastAsia"/>
          <w:b/>
          <w:bCs/>
          <w:sz w:val="22"/>
          <w:szCs w:val="21"/>
        </w:rPr>
      </w:pPr>
    </w:p>
    <w:p w14:paraId="4E47AC8F" w14:textId="12560015" w:rsidR="009A1587" w:rsidRPr="00696132" w:rsidRDefault="009A1587" w:rsidP="00696132">
      <w:pPr>
        <w:pStyle w:val="a9"/>
        <w:numPr>
          <w:ilvl w:val="0"/>
          <w:numId w:val="3"/>
        </w:numPr>
        <w:rPr>
          <w:b/>
          <w:bCs/>
        </w:rPr>
      </w:pPr>
      <w:r w:rsidRPr="00696132">
        <w:rPr>
          <w:b/>
          <w:bCs/>
        </w:rPr>
        <w:t>Limitations and Future Work</w:t>
      </w:r>
    </w:p>
    <w:p w14:paraId="4E5FCE5B" w14:textId="282A29AD" w:rsidR="0078688A" w:rsidRPr="0078688A" w:rsidRDefault="00720B5D" w:rsidP="0078688A">
      <w:pPr>
        <w:rPr>
          <w:sz w:val="22"/>
          <w:szCs w:val="21"/>
        </w:rPr>
      </w:pPr>
      <w:r>
        <w:rPr>
          <w:rFonts w:hint="eastAsia"/>
          <w:sz w:val="22"/>
          <w:szCs w:val="21"/>
        </w:rPr>
        <w:t>First of all, inspired by the work by Nguyen et al.</w:t>
      </w:r>
      <w:r>
        <w:rPr>
          <w:rStyle w:val="af2"/>
          <w:sz w:val="22"/>
          <w:szCs w:val="21"/>
        </w:rPr>
        <w:footnoteReference w:id="1"/>
      </w:r>
      <w:r>
        <w:rPr>
          <w:rFonts w:hint="eastAsia"/>
          <w:sz w:val="22"/>
          <w:szCs w:val="21"/>
        </w:rPr>
        <w:t xml:space="preserve">, we was trying to </w:t>
      </w:r>
      <w:r w:rsidR="00B334C2">
        <w:rPr>
          <w:rFonts w:hint="eastAsia"/>
          <w:sz w:val="22"/>
          <w:szCs w:val="21"/>
        </w:rPr>
        <w:t xml:space="preserve">implement sentence embedding to generate </w:t>
      </w:r>
      <w:r w:rsidR="00064BD5">
        <w:rPr>
          <w:rFonts w:hint="eastAsia"/>
          <w:sz w:val="22"/>
          <w:szCs w:val="21"/>
        </w:rPr>
        <w:t>paragraph</w:t>
      </w:r>
      <w:r w:rsidR="00B334C2">
        <w:rPr>
          <w:rFonts w:hint="eastAsia"/>
          <w:sz w:val="22"/>
          <w:szCs w:val="21"/>
        </w:rPr>
        <w:t xml:space="preserve"> embedding</w:t>
      </w:r>
      <w:r w:rsidR="00064BD5">
        <w:rPr>
          <w:rFonts w:hint="eastAsia"/>
          <w:sz w:val="22"/>
          <w:szCs w:val="21"/>
        </w:rPr>
        <w:t xml:space="preserve"> instead of processing the whole paragraph as one sentence</w:t>
      </w:r>
      <w:r w:rsidR="00B334C2">
        <w:rPr>
          <w:rFonts w:hint="eastAsia"/>
          <w:sz w:val="22"/>
          <w:szCs w:val="21"/>
        </w:rPr>
        <w:t xml:space="preserve"> to </w:t>
      </w:r>
      <w:r w:rsidR="00CD2AC4">
        <w:rPr>
          <w:rFonts w:hint="eastAsia"/>
          <w:sz w:val="22"/>
          <w:szCs w:val="21"/>
        </w:rPr>
        <w:t xml:space="preserve">improve </w:t>
      </w:r>
      <w:r w:rsidR="00B334C2">
        <w:rPr>
          <w:rFonts w:hint="eastAsia"/>
          <w:sz w:val="22"/>
          <w:szCs w:val="21"/>
        </w:rPr>
        <w:t xml:space="preserve">the quality of embedding vectors. </w:t>
      </w:r>
      <w:r w:rsidR="00C40C88">
        <w:rPr>
          <w:sz w:val="22"/>
          <w:szCs w:val="21"/>
        </w:rPr>
        <w:t>However,</w:t>
      </w:r>
      <w:r w:rsidR="00B334C2">
        <w:rPr>
          <w:rFonts w:hint="eastAsia"/>
          <w:sz w:val="22"/>
          <w:szCs w:val="21"/>
        </w:rPr>
        <w:t xml:space="preserve"> this led to a </w:t>
      </w:r>
      <w:r w:rsidR="00B334C2" w:rsidRPr="00B334C2">
        <w:rPr>
          <w:rFonts w:hint="eastAsia"/>
          <w:i/>
          <w:iCs/>
          <w:sz w:val="22"/>
          <w:szCs w:val="21"/>
        </w:rPr>
        <w:t>O(|V|</w:t>
      </w:r>
      <w:r w:rsidR="00B334C2" w:rsidRPr="00B334C2">
        <w:rPr>
          <w:rFonts w:hint="eastAsia"/>
          <w:i/>
          <w:iCs/>
          <w:sz w:val="22"/>
          <w:szCs w:val="21"/>
          <w:vertAlign w:val="superscript"/>
        </w:rPr>
        <w:t>2</w:t>
      </w:r>
      <w:r w:rsidR="00B334C2" w:rsidRPr="00B334C2">
        <w:rPr>
          <w:rFonts w:hint="eastAsia"/>
          <w:i/>
          <w:iCs/>
          <w:sz w:val="22"/>
          <w:szCs w:val="21"/>
        </w:rPr>
        <w:t>)</w:t>
      </w:r>
      <w:r w:rsidR="00B334C2">
        <w:rPr>
          <w:rFonts w:hint="eastAsia"/>
          <w:sz w:val="22"/>
          <w:szCs w:val="21"/>
        </w:rPr>
        <w:t xml:space="preserve"> time complexity due to </w:t>
      </w:r>
      <w:r w:rsidR="00B334C2" w:rsidRPr="00B334C2">
        <w:rPr>
          <w:sz w:val="22"/>
          <w:szCs w:val="21"/>
        </w:rPr>
        <w:t>the double-layer for loop structure that processes each paragraph and each sentence</w:t>
      </w:r>
      <w:r w:rsidR="00B334C2">
        <w:rPr>
          <w:rFonts w:hint="eastAsia"/>
          <w:sz w:val="22"/>
          <w:szCs w:val="21"/>
        </w:rPr>
        <w:t xml:space="preserve"> which made the time unacceptable. So the embedding generation is still raw in our method. </w:t>
      </w:r>
      <w:r w:rsidR="00036079">
        <w:rPr>
          <w:rFonts w:hint="eastAsia"/>
          <w:sz w:val="22"/>
          <w:szCs w:val="21"/>
        </w:rPr>
        <w:t>Another key direction is to a</w:t>
      </w:r>
      <w:r w:rsidR="00036079" w:rsidRPr="00036079">
        <w:rPr>
          <w:sz w:val="22"/>
          <w:szCs w:val="21"/>
        </w:rPr>
        <w:t xml:space="preserve">ttempt LoRA hyperparameter search or redesign feature fusion injection to enable LoRA to achieve its expected effects as intended in the design diagram. </w:t>
      </w:r>
      <w:r w:rsidR="00036079">
        <w:rPr>
          <w:rFonts w:hint="eastAsia"/>
          <w:sz w:val="22"/>
          <w:szCs w:val="21"/>
        </w:rPr>
        <w:t>Last but not least, t</w:t>
      </w:r>
      <w:r w:rsidR="0078688A" w:rsidRPr="0078688A">
        <w:rPr>
          <w:sz w:val="22"/>
          <w:szCs w:val="21"/>
        </w:rPr>
        <w:t xml:space="preserve">he dataset's inherent biases may propagate to our models, while computational constraints limited exploration of larger architectures and hyperparameter tuning. Future work will focus on scaling transformer models with advanced fine-tuning, alongside developing bias mitigation and explainability methods for cross-domain adaptation. </w:t>
      </w:r>
    </w:p>
    <w:p w14:paraId="7B8DB836" w14:textId="4C7C4BEE" w:rsidR="00696132" w:rsidRPr="009A1587" w:rsidRDefault="00696132" w:rsidP="009A1587">
      <w:pPr>
        <w:rPr>
          <w:sz w:val="22"/>
          <w:szCs w:val="21"/>
        </w:rPr>
      </w:pPr>
    </w:p>
    <w:p w14:paraId="4245643A" w14:textId="74DD9216" w:rsidR="009A1587" w:rsidRPr="00696132" w:rsidRDefault="009A1587" w:rsidP="00696132">
      <w:pPr>
        <w:pStyle w:val="a9"/>
        <w:numPr>
          <w:ilvl w:val="0"/>
          <w:numId w:val="3"/>
        </w:numPr>
        <w:rPr>
          <w:b/>
          <w:bCs/>
        </w:rPr>
      </w:pPr>
      <w:r w:rsidRPr="00696132">
        <w:rPr>
          <w:b/>
          <w:bCs/>
        </w:rPr>
        <w:t>Reproducibility</w:t>
      </w:r>
    </w:p>
    <w:p w14:paraId="7B22D82A" w14:textId="34C95DAA" w:rsidR="009A1587" w:rsidRDefault="009A1587" w:rsidP="009A1587">
      <w:pPr>
        <w:rPr>
          <w:sz w:val="22"/>
          <w:szCs w:val="21"/>
        </w:rPr>
      </w:pPr>
      <w:r w:rsidRPr="009A1587">
        <w:rPr>
          <w:sz w:val="22"/>
          <w:szCs w:val="21"/>
        </w:rPr>
        <w:t xml:space="preserve">All experiments were conducted in Kaggle notebooks with fixed random seeds (42) for consistency. The environment utilized Python 3.10 with standard machine learning libraries. </w:t>
      </w:r>
      <w:r w:rsidR="0078688A">
        <w:rPr>
          <w:rFonts w:hint="eastAsia"/>
          <w:sz w:val="22"/>
          <w:szCs w:val="21"/>
        </w:rPr>
        <w:t xml:space="preserve">Please run the </w:t>
      </w:r>
      <w:r w:rsidR="0078688A" w:rsidRPr="0078688A">
        <w:rPr>
          <w:rFonts w:hint="eastAsia"/>
          <w:b/>
          <w:bCs/>
          <w:sz w:val="22"/>
          <w:szCs w:val="21"/>
        </w:rPr>
        <w:t>Final Model</w:t>
      </w:r>
      <w:r w:rsidR="0078688A" w:rsidRPr="00C20DFE">
        <w:rPr>
          <w:rFonts w:hint="eastAsia"/>
          <w:b/>
          <w:bCs/>
          <w:sz w:val="22"/>
          <w:szCs w:val="21"/>
        </w:rPr>
        <w:t xml:space="preserve"> part</w:t>
      </w:r>
      <w:r w:rsidR="0078688A">
        <w:rPr>
          <w:rFonts w:hint="eastAsia"/>
          <w:sz w:val="22"/>
          <w:szCs w:val="21"/>
        </w:rPr>
        <w:t xml:space="preserve"> of our code</w:t>
      </w:r>
      <w:r w:rsidRPr="009A1587">
        <w:rPr>
          <w:sz w:val="22"/>
          <w:szCs w:val="21"/>
        </w:rPr>
        <w:t xml:space="preserve"> for replicating our results. Total runtime for the complete </w:t>
      </w:r>
      <w:r w:rsidR="00C40C88">
        <w:rPr>
          <w:rFonts w:hint="eastAsia"/>
          <w:sz w:val="22"/>
          <w:szCs w:val="21"/>
        </w:rPr>
        <w:t xml:space="preserve">final model </w:t>
      </w:r>
      <w:r w:rsidRPr="009A1587">
        <w:rPr>
          <w:sz w:val="22"/>
          <w:szCs w:val="21"/>
        </w:rPr>
        <w:t xml:space="preserve">pipeline was approximately </w:t>
      </w:r>
      <w:r w:rsidR="005002C8" w:rsidRPr="0078688A">
        <w:rPr>
          <w:rFonts w:hint="eastAsia"/>
          <w:b/>
          <w:bCs/>
          <w:sz w:val="22"/>
          <w:szCs w:val="21"/>
        </w:rPr>
        <w:t>2</w:t>
      </w:r>
      <w:r w:rsidRPr="0078688A">
        <w:rPr>
          <w:b/>
          <w:bCs/>
          <w:sz w:val="22"/>
          <w:szCs w:val="21"/>
        </w:rPr>
        <w:t xml:space="preserve"> hours</w:t>
      </w:r>
      <w:r w:rsidRPr="009A1587">
        <w:rPr>
          <w:sz w:val="22"/>
          <w:szCs w:val="21"/>
        </w:rPr>
        <w:t xml:space="preserve"> on P100 GPU hardware</w:t>
      </w:r>
      <w:r w:rsidR="00C40C88">
        <w:rPr>
          <w:rFonts w:hint="eastAsia"/>
          <w:sz w:val="22"/>
          <w:szCs w:val="21"/>
        </w:rPr>
        <w:t xml:space="preserve"> which is provided by Kaggle</w:t>
      </w:r>
      <w:r w:rsidRPr="009A1587">
        <w:rPr>
          <w:sz w:val="22"/>
          <w:szCs w:val="21"/>
        </w:rPr>
        <w:t>.</w:t>
      </w:r>
    </w:p>
    <w:p w14:paraId="56BF6E5A" w14:textId="6DB8988A" w:rsidR="009A1587" w:rsidRPr="003A74B8" w:rsidRDefault="009A1587" w:rsidP="009A1587">
      <w:pPr>
        <w:rPr>
          <w:rFonts w:hint="eastAsia"/>
          <w:sz w:val="22"/>
          <w:szCs w:val="21"/>
        </w:rPr>
      </w:pPr>
    </w:p>
    <w:sectPr w:rsidR="009A1587" w:rsidRPr="003A74B8" w:rsidSect="00664FC6">
      <w:pgSz w:w="11906" w:h="16838" w:code="9"/>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A580D" w14:textId="77777777" w:rsidR="00CF719D" w:rsidRDefault="00CF719D" w:rsidP="00720B5D">
      <w:r>
        <w:separator/>
      </w:r>
    </w:p>
  </w:endnote>
  <w:endnote w:type="continuationSeparator" w:id="0">
    <w:p w14:paraId="49B0EC05" w14:textId="77777777" w:rsidR="00CF719D" w:rsidRDefault="00CF719D" w:rsidP="00720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D4584" w14:textId="77777777" w:rsidR="00CF719D" w:rsidRDefault="00CF719D" w:rsidP="00720B5D">
      <w:r>
        <w:separator/>
      </w:r>
    </w:p>
  </w:footnote>
  <w:footnote w:type="continuationSeparator" w:id="0">
    <w:p w14:paraId="1ED3E348" w14:textId="77777777" w:rsidR="00CF719D" w:rsidRDefault="00CF719D" w:rsidP="00720B5D">
      <w:r>
        <w:continuationSeparator/>
      </w:r>
    </w:p>
  </w:footnote>
  <w:footnote w:id="1">
    <w:p w14:paraId="359DCB27" w14:textId="17E107C6" w:rsidR="00720B5D" w:rsidRDefault="00720B5D">
      <w:pPr>
        <w:pStyle w:val="af0"/>
        <w:rPr>
          <w:rFonts w:hint="eastAsia"/>
        </w:rPr>
      </w:pPr>
      <w:r>
        <w:rPr>
          <w:rStyle w:val="af2"/>
        </w:rPr>
        <w:footnoteRef/>
      </w:r>
      <w:r>
        <w:t xml:space="preserve"> </w:t>
      </w:r>
      <w:r>
        <w:rPr>
          <w:rFonts w:hint="eastAsia"/>
        </w:rPr>
        <w:t xml:space="preserve">See </w:t>
      </w:r>
      <w:r w:rsidRPr="00720B5D">
        <w:t>Nguyen, Ha-Thanh, et al. "Attentive deep neural networks for legal document retrieval." </w:t>
      </w:r>
      <w:r w:rsidRPr="00720B5D">
        <w:rPr>
          <w:i/>
          <w:iCs/>
        </w:rPr>
        <w:t>Artificial Intelligence and Law</w:t>
      </w:r>
      <w:r w:rsidRPr="00720B5D">
        <w:t> 32.1 (2024): 57-86.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9427F"/>
    <w:multiLevelType w:val="multilevel"/>
    <w:tmpl w:val="1599427F"/>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425" w:hanging="425"/>
      </w:pPr>
      <w:rPr>
        <w:rFonts w:ascii="Times New Roman" w:hAnsi="Times New Roman" w:cs="Times New Roman" w:hint="default"/>
      </w:rPr>
    </w:lvl>
    <w:lvl w:ilvl="2">
      <w:start w:val="1"/>
      <w:numFmt w:val="decimal"/>
      <w:lvlText w:val="%1.%2.%3"/>
      <w:lvlJc w:val="left"/>
      <w:pPr>
        <w:ind w:left="425" w:hanging="425"/>
      </w:pPr>
      <w:rPr>
        <w:rFonts w:ascii="Times New Roman" w:hAnsi="Times New Roman" w:cs="Times New Roman" w:hint="default"/>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 w15:restartNumberingAfterBreak="0">
    <w:nsid w:val="1E4A71D6"/>
    <w:multiLevelType w:val="hybridMultilevel"/>
    <w:tmpl w:val="FB544DD4"/>
    <w:lvl w:ilvl="0" w:tplc="46C2EEA0">
      <w:start w:val="1"/>
      <w:numFmt w:val="bullet"/>
      <w:lvlText w:val=""/>
      <w:lvlJc w:val="left"/>
      <w:pPr>
        <w:ind w:left="800" w:hanging="400"/>
      </w:pPr>
      <w:rPr>
        <w:rFonts w:ascii="Symbol" w:hAnsi="Symbol" w:hint="default"/>
      </w:rPr>
    </w:lvl>
    <w:lvl w:ilvl="1" w:tplc="07EE7EB4">
      <w:start w:val="1"/>
      <w:numFmt w:val="bullet"/>
      <w:lvlText w:val="o"/>
      <w:lvlJc w:val="left"/>
      <w:pPr>
        <w:ind w:left="1200" w:hanging="400"/>
      </w:pPr>
      <w:rPr>
        <w:rFonts w:ascii="Courier New" w:hAnsi="Courier New" w:hint="default"/>
      </w:rPr>
    </w:lvl>
    <w:lvl w:ilvl="2" w:tplc="4C92EA04">
      <w:start w:val="1"/>
      <w:numFmt w:val="bullet"/>
      <w:lvlText w:val=""/>
      <w:lvlJc w:val="left"/>
      <w:pPr>
        <w:ind w:left="1600" w:hanging="400"/>
      </w:pPr>
      <w:rPr>
        <w:rFonts w:ascii="Wingdings" w:hAnsi="Wingdings" w:hint="default"/>
      </w:rPr>
    </w:lvl>
    <w:lvl w:ilvl="3" w:tplc="5C6032EC">
      <w:start w:val="1"/>
      <w:numFmt w:val="bullet"/>
      <w:lvlText w:val=""/>
      <w:lvlJc w:val="left"/>
      <w:pPr>
        <w:ind w:left="2000" w:hanging="400"/>
      </w:pPr>
      <w:rPr>
        <w:rFonts w:ascii="Symbol" w:hAnsi="Symbol" w:hint="default"/>
      </w:rPr>
    </w:lvl>
    <w:lvl w:ilvl="4" w:tplc="E3BC3410">
      <w:start w:val="1"/>
      <w:numFmt w:val="bullet"/>
      <w:lvlText w:val="o"/>
      <w:lvlJc w:val="left"/>
      <w:pPr>
        <w:ind w:left="2400" w:hanging="400"/>
      </w:pPr>
      <w:rPr>
        <w:rFonts w:ascii="Courier New" w:hAnsi="Courier New" w:hint="default"/>
      </w:rPr>
    </w:lvl>
    <w:lvl w:ilvl="5" w:tplc="9E36273E">
      <w:start w:val="1"/>
      <w:numFmt w:val="bullet"/>
      <w:lvlText w:val=""/>
      <w:lvlJc w:val="left"/>
      <w:pPr>
        <w:ind w:left="2800" w:hanging="400"/>
      </w:pPr>
      <w:rPr>
        <w:rFonts w:ascii="Wingdings" w:hAnsi="Wingdings" w:hint="default"/>
      </w:rPr>
    </w:lvl>
    <w:lvl w:ilvl="6" w:tplc="ED2684F0">
      <w:start w:val="1"/>
      <w:numFmt w:val="bullet"/>
      <w:lvlText w:val=""/>
      <w:lvlJc w:val="left"/>
      <w:pPr>
        <w:ind w:left="3200" w:hanging="400"/>
      </w:pPr>
      <w:rPr>
        <w:rFonts w:ascii="Symbol" w:hAnsi="Symbol" w:hint="default"/>
      </w:rPr>
    </w:lvl>
    <w:lvl w:ilvl="7" w:tplc="58867690">
      <w:start w:val="1"/>
      <w:numFmt w:val="bullet"/>
      <w:lvlText w:val="o"/>
      <w:lvlJc w:val="left"/>
      <w:pPr>
        <w:ind w:left="3600" w:hanging="400"/>
      </w:pPr>
      <w:rPr>
        <w:rFonts w:ascii="Courier New" w:hAnsi="Courier New" w:hint="default"/>
      </w:rPr>
    </w:lvl>
    <w:lvl w:ilvl="8" w:tplc="017C685E">
      <w:start w:val="1"/>
      <w:numFmt w:val="bullet"/>
      <w:lvlText w:val=""/>
      <w:lvlJc w:val="left"/>
      <w:pPr>
        <w:ind w:left="4000" w:hanging="400"/>
      </w:pPr>
      <w:rPr>
        <w:rFonts w:ascii="Wingdings" w:hAnsi="Wingdings" w:hint="default"/>
      </w:rPr>
    </w:lvl>
  </w:abstractNum>
  <w:abstractNum w:abstractNumId="2" w15:restartNumberingAfterBreak="0">
    <w:nsid w:val="40374CF6"/>
    <w:multiLevelType w:val="hybridMultilevel"/>
    <w:tmpl w:val="7F427E4A"/>
    <w:lvl w:ilvl="0" w:tplc="B68484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01239907">
    <w:abstractNumId w:val="0"/>
  </w:num>
  <w:num w:numId="2" w16cid:durableId="901407913">
    <w:abstractNumId w:val="1"/>
  </w:num>
  <w:num w:numId="3" w16cid:durableId="10110331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defaultTabStop w:val="420"/>
  <w:drawingGridHorizontalSpacing w:val="105"/>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42AB8"/>
    <w:rsid w:val="00025E7C"/>
    <w:rsid w:val="00036079"/>
    <w:rsid w:val="000400E3"/>
    <w:rsid w:val="00041FC4"/>
    <w:rsid w:val="00042AB8"/>
    <w:rsid w:val="00047E00"/>
    <w:rsid w:val="00056675"/>
    <w:rsid w:val="00064BD5"/>
    <w:rsid w:val="000871CF"/>
    <w:rsid w:val="000962E9"/>
    <w:rsid w:val="000C129C"/>
    <w:rsid w:val="000C635C"/>
    <w:rsid w:val="000F01BC"/>
    <w:rsid w:val="00112494"/>
    <w:rsid w:val="00165A67"/>
    <w:rsid w:val="00235340"/>
    <w:rsid w:val="002478FE"/>
    <w:rsid w:val="002600D4"/>
    <w:rsid w:val="00307505"/>
    <w:rsid w:val="00370C35"/>
    <w:rsid w:val="003A74B8"/>
    <w:rsid w:val="003C1DCB"/>
    <w:rsid w:val="00405812"/>
    <w:rsid w:val="00405CB4"/>
    <w:rsid w:val="004A1DFA"/>
    <w:rsid w:val="005002C8"/>
    <w:rsid w:val="005B3E78"/>
    <w:rsid w:val="005E4CDB"/>
    <w:rsid w:val="00605B83"/>
    <w:rsid w:val="00641282"/>
    <w:rsid w:val="00663C0D"/>
    <w:rsid w:val="00664FC6"/>
    <w:rsid w:val="00683505"/>
    <w:rsid w:val="00696132"/>
    <w:rsid w:val="006A3834"/>
    <w:rsid w:val="006C69FC"/>
    <w:rsid w:val="006E3DFC"/>
    <w:rsid w:val="0071108D"/>
    <w:rsid w:val="00720B5D"/>
    <w:rsid w:val="00754AF6"/>
    <w:rsid w:val="00766C40"/>
    <w:rsid w:val="0078688A"/>
    <w:rsid w:val="00793177"/>
    <w:rsid w:val="007B5E2A"/>
    <w:rsid w:val="00823198"/>
    <w:rsid w:val="0088009F"/>
    <w:rsid w:val="00887963"/>
    <w:rsid w:val="00923F29"/>
    <w:rsid w:val="00932B92"/>
    <w:rsid w:val="00965FD3"/>
    <w:rsid w:val="009774A6"/>
    <w:rsid w:val="00992E45"/>
    <w:rsid w:val="009A1587"/>
    <w:rsid w:val="009E6A2E"/>
    <w:rsid w:val="009F14CE"/>
    <w:rsid w:val="00A40B4B"/>
    <w:rsid w:val="00A845BF"/>
    <w:rsid w:val="00AA0E91"/>
    <w:rsid w:val="00B334C2"/>
    <w:rsid w:val="00B50446"/>
    <w:rsid w:val="00B77DD5"/>
    <w:rsid w:val="00BE4D34"/>
    <w:rsid w:val="00BF6C88"/>
    <w:rsid w:val="00C20DFE"/>
    <w:rsid w:val="00C40C88"/>
    <w:rsid w:val="00C4684F"/>
    <w:rsid w:val="00CD2AC4"/>
    <w:rsid w:val="00CF719D"/>
    <w:rsid w:val="00D15EF8"/>
    <w:rsid w:val="00D26B28"/>
    <w:rsid w:val="00D551AD"/>
    <w:rsid w:val="00D77652"/>
    <w:rsid w:val="00D9799E"/>
    <w:rsid w:val="00DB3ACF"/>
    <w:rsid w:val="00DC47CA"/>
    <w:rsid w:val="00DD4A86"/>
    <w:rsid w:val="00E130C1"/>
    <w:rsid w:val="00E34DC2"/>
    <w:rsid w:val="00E60404"/>
    <w:rsid w:val="00F066E2"/>
    <w:rsid w:val="00F11F75"/>
    <w:rsid w:val="00F17639"/>
    <w:rsid w:val="00F74997"/>
    <w:rsid w:val="00F848D7"/>
    <w:rsid w:val="00FF25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FD3F2"/>
  <w15:chartTrackingRefBased/>
  <w15:docId w15:val="{478E9DD1-08B1-4277-ADDB-D2ACB14A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78FE"/>
    <w:pPr>
      <w:widowControl w:val="0"/>
      <w:jc w:val="both"/>
    </w:pPr>
  </w:style>
  <w:style w:type="paragraph" w:styleId="1">
    <w:name w:val="heading 1"/>
    <w:basedOn w:val="a"/>
    <w:next w:val="a"/>
    <w:link w:val="10"/>
    <w:uiPriority w:val="9"/>
    <w:qFormat/>
    <w:rsid w:val="00042A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23198"/>
    <w:pPr>
      <w:keepNext/>
      <w:keepLines/>
      <w:spacing w:beforeLines="50" w:before="50" w:afterLines="50" w:after="50" w:line="312" w:lineRule="auto"/>
      <w:outlineLvl w:val="1"/>
    </w:pPr>
    <w:rPr>
      <w:rFonts w:eastAsia="黑体" w:cstheme="majorBidi"/>
      <w:b/>
      <w:bCs/>
      <w:sz w:val="28"/>
      <w:szCs w:val="32"/>
    </w:rPr>
  </w:style>
  <w:style w:type="paragraph" w:styleId="3">
    <w:name w:val="heading 3"/>
    <w:basedOn w:val="a"/>
    <w:next w:val="a"/>
    <w:link w:val="30"/>
    <w:uiPriority w:val="9"/>
    <w:unhideWhenUsed/>
    <w:qFormat/>
    <w:rsid w:val="00042A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42AB8"/>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042AB8"/>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042AB8"/>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042AB8"/>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042AB8"/>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042AB8"/>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823198"/>
    <w:rPr>
      <w:rFonts w:ascii="Times New Roman" w:eastAsia="黑体" w:hAnsi="Times New Roman" w:cstheme="majorBidi"/>
      <w:b/>
      <w:bCs/>
      <w:sz w:val="28"/>
      <w:szCs w:val="32"/>
    </w:rPr>
  </w:style>
  <w:style w:type="character" w:customStyle="1" w:styleId="10">
    <w:name w:val="标题 1 字符"/>
    <w:basedOn w:val="a0"/>
    <w:link w:val="1"/>
    <w:uiPriority w:val="9"/>
    <w:rsid w:val="00042AB8"/>
    <w:rPr>
      <w:rFonts w:asciiTheme="majorHAnsi" w:eastAsiaTheme="majorEastAsia" w:hAnsiTheme="majorHAnsi" w:cstheme="majorBidi"/>
      <w:color w:val="0F4761" w:themeColor="accent1" w:themeShade="BF"/>
      <w:sz w:val="48"/>
      <w:szCs w:val="48"/>
    </w:rPr>
  </w:style>
  <w:style w:type="character" w:customStyle="1" w:styleId="30">
    <w:name w:val="标题 3 字符"/>
    <w:basedOn w:val="a0"/>
    <w:link w:val="3"/>
    <w:uiPriority w:val="9"/>
    <w:rsid w:val="00042A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42AB8"/>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042AB8"/>
    <w:rPr>
      <w:rFonts w:asciiTheme="minorHAnsi" w:eastAsiaTheme="minorEastAsia" w:hAnsiTheme="minorHAnsi" w:cstheme="majorBidi"/>
      <w:color w:val="0F4761" w:themeColor="accent1" w:themeShade="BF"/>
      <w:szCs w:val="24"/>
    </w:rPr>
  </w:style>
  <w:style w:type="character" w:customStyle="1" w:styleId="60">
    <w:name w:val="标题 6 字符"/>
    <w:basedOn w:val="a0"/>
    <w:link w:val="6"/>
    <w:uiPriority w:val="9"/>
    <w:semiHidden/>
    <w:rsid w:val="00042AB8"/>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042AB8"/>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042AB8"/>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042AB8"/>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042AB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2A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2AB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2A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2AB8"/>
    <w:pPr>
      <w:spacing w:before="160" w:after="160"/>
      <w:jc w:val="center"/>
    </w:pPr>
    <w:rPr>
      <w:i/>
      <w:iCs/>
      <w:color w:val="404040" w:themeColor="text1" w:themeTint="BF"/>
    </w:rPr>
  </w:style>
  <w:style w:type="character" w:customStyle="1" w:styleId="a8">
    <w:name w:val="引用 字符"/>
    <w:basedOn w:val="a0"/>
    <w:link w:val="a7"/>
    <w:uiPriority w:val="29"/>
    <w:rsid w:val="00042AB8"/>
    <w:rPr>
      <w:i/>
      <w:iCs/>
      <w:color w:val="404040" w:themeColor="text1" w:themeTint="BF"/>
    </w:rPr>
  </w:style>
  <w:style w:type="paragraph" w:styleId="a9">
    <w:name w:val="List Paragraph"/>
    <w:basedOn w:val="a"/>
    <w:uiPriority w:val="34"/>
    <w:qFormat/>
    <w:rsid w:val="00042AB8"/>
    <w:pPr>
      <w:ind w:left="720"/>
      <w:contextualSpacing/>
    </w:pPr>
  </w:style>
  <w:style w:type="character" w:styleId="aa">
    <w:name w:val="Intense Emphasis"/>
    <w:basedOn w:val="a0"/>
    <w:uiPriority w:val="21"/>
    <w:qFormat/>
    <w:rsid w:val="00042AB8"/>
    <w:rPr>
      <w:i/>
      <w:iCs/>
      <w:color w:val="0F4761" w:themeColor="accent1" w:themeShade="BF"/>
    </w:rPr>
  </w:style>
  <w:style w:type="paragraph" w:styleId="ab">
    <w:name w:val="Intense Quote"/>
    <w:basedOn w:val="a"/>
    <w:next w:val="a"/>
    <w:link w:val="ac"/>
    <w:uiPriority w:val="30"/>
    <w:qFormat/>
    <w:rsid w:val="00042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42AB8"/>
    <w:rPr>
      <w:i/>
      <w:iCs/>
      <w:color w:val="0F4761" w:themeColor="accent1" w:themeShade="BF"/>
    </w:rPr>
  </w:style>
  <w:style w:type="character" w:styleId="ad">
    <w:name w:val="Intense Reference"/>
    <w:basedOn w:val="a0"/>
    <w:uiPriority w:val="32"/>
    <w:qFormat/>
    <w:rsid w:val="00042AB8"/>
    <w:rPr>
      <w:b/>
      <w:bCs/>
      <w:smallCaps/>
      <w:color w:val="0F4761" w:themeColor="accent1" w:themeShade="BF"/>
      <w:spacing w:val="5"/>
    </w:rPr>
  </w:style>
  <w:style w:type="paragraph" w:styleId="HTML">
    <w:name w:val="HTML Preformatted"/>
    <w:basedOn w:val="a"/>
    <w:link w:val="HTML0"/>
    <w:uiPriority w:val="99"/>
    <w:semiHidden/>
    <w:unhideWhenUsed/>
    <w:rsid w:val="000F01BC"/>
    <w:rPr>
      <w:rFonts w:ascii="Courier New" w:hAnsi="Courier New" w:cs="Courier New"/>
      <w:sz w:val="20"/>
      <w:szCs w:val="20"/>
    </w:rPr>
  </w:style>
  <w:style w:type="character" w:customStyle="1" w:styleId="HTML0">
    <w:name w:val="HTML 预设格式 字符"/>
    <w:basedOn w:val="a0"/>
    <w:link w:val="HTML"/>
    <w:uiPriority w:val="99"/>
    <w:semiHidden/>
    <w:rsid w:val="000F01BC"/>
    <w:rPr>
      <w:rFonts w:ascii="Courier New" w:hAnsi="Courier New" w:cs="Courier New"/>
      <w:sz w:val="20"/>
      <w:szCs w:val="20"/>
    </w:rPr>
  </w:style>
  <w:style w:type="character" w:styleId="ae">
    <w:name w:val="Hyperlink"/>
    <w:basedOn w:val="a0"/>
    <w:uiPriority w:val="99"/>
    <w:unhideWhenUsed/>
    <w:rsid w:val="000F01BC"/>
    <w:rPr>
      <w:color w:val="467886" w:themeColor="hyperlink"/>
      <w:u w:val="single"/>
    </w:rPr>
  </w:style>
  <w:style w:type="character" w:styleId="af">
    <w:name w:val="Unresolved Mention"/>
    <w:basedOn w:val="a0"/>
    <w:uiPriority w:val="99"/>
    <w:semiHidden/>
    <w:unhideWhenUsed/>
    <w:rsid w:val="000F01BC"/>
    <w:rPr>
      <w:color w:val="605E5C"/>
      <w:shd w:val="clear" w:color="auto" w:fill="E1DFDD"/>
    </w:rPr>
  </w:style>
  <w:style w:type="paragraph" w:styleId="af0">
    <w:name w:val="footnote text"/>
    <w:basedOn w:val="a"/>
    <w:link w:val="af1"/>
    <w:uiPriority w:val="99"/>
    <w:semiHidden/>
    <w:unhideWhenUsed/>
    <w:rsid w:val="00720B5D"/>
    <w:pPr>
      <w:snapToGrid w:val="0"/>
      <w:jc w:val="left"/>
    </w:pPr>
    <w:rPr>
      <w:sz w:val="18"/>
      <w:szCs w:val="18"/>
    </w:rPr>
  </w:style>
  <w:style w:type="character" w:customStyle="1" w:styleId="af1">
    <w:name w:val="脚注文本 字符"/>
    <w:basedOn w:val="a0"/>
    <w:link w:val="af0"/>
    <w:uiPriority w:val="99"/>
    <w:semiHidden/>
    <w:rsid w:val="00720B5D"/>
    <w:rPr>
      <w:sz w:val="18"/>
      <w:szCs w:val="18"/>
    </w:rPr>
  </w:style>
  <w:style w:type="character" w:styleId="af2">
    <w:name w:val="footnote reference"/>
    <w:basedOn w:val="a0"/>
    <w:uiPriority w:val="99"/>
    <w:semiHidden/>
    <w:unhideWhenUsed/>
    <w:rsid w:val="00720B5D"/>
    <w:rPr>
      <w:vertAlign w:val="superscript"/>
    </w:rPr>
  </w:style>
  <w:style w:type="paragraph" w:styleId="af3">
    <w:name w:val="header"/>
    <w:basedOn w:val="a"/>
    <w:link w:val="af4"/>
    <w:uiPriority w:val="99"/>
    <w:unhideWhenUsed/>
    <w:rsid w:val="00D551AD"/>
    <w:pPr>
      <w:tabs>
        <w:tab w:val="center" w:pos="4153"/>
        <w:tab w:val="right" w:pos="8306"/>
      </w:tabs>
      <w:snapToGrid w:val="0"/>
      <w:jc w:val="center"/>
    </w:pPr>
    <w:rPr>
      <w:sz w:val="18"/>
      <w:szCs w:val="18"/>
    </w:rPr>
  </w:style>
  <w:style w:type="character" w:customStyle="1" w:styleId="af4">
    <w:name w:val="页眉 字符"/>
    <w:basedOn w:val="a0"/>
    <w:link w:val="af3"/>
    <w:uiPriority w:val="99"/>
    <w:rsid w:val="00D551AD"/>
    <w:rPr>
      <w:sz w:val="18"/>
      <w:szCs w:val="18"/>
    </w:rPr>
  </w:style>
  <w:style w:type="paragraph" w:styleId="af5">
    <w:name w:val="footer"/>
    <w:basedOn w:val="a"/>
    <w:link w:val="af6"/>
    <w:uiPriority w:val="99"/>
    <w:unhideWhenUsed/>
    <w:rsid w:val="00D551AD"/>
    <w:pPr>
      <w:tabs>
        <w:tab w:val="center" w:pos="4153"/>
        <w:tab w:val="right" w:pos="8306"/>
      </w:tabs>
      <w:snapToGrid w:val="0"/>
      <w:jc w:val="left"/>
    </w:pPr>
    <w:rPr>
      <w:sz w:val="18"/>
      <w:szCs w:val="18"/>
    </w:rPr>
  </w:style>
  <w:style w:type="character" w:customStyle="1" w:styleId="af6">
    <w:name w:val="页脚 字符"/>
    <w:basedOn w:val="a0"/>
    <w:link w:val="af5"/>
    <w:uiPriority w:val="99"/>
    <w:rsid w:val="00D551A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educto7/MLP_proj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81E4F-0A03-4449-B97B-F352A5965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4</Pages>
  <Words>1318</Words>
  <Characters>7519</Characters>
  <Application>Microsoft Office Word</Application>
  <DocSecurity>0</DocSecurity>
  <Lines>62</Lines>
  <Paragraphs>17</Paragraphs>
  <ScaleCrop>false</ScaleCrop>
  <Company/>
  <LinksUpToDate>false</LinksUpToDate>
  <CharactersWithSpaces>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麟瑞 徐</dc:creator>
  <cp:keywords/>
  <dc:description/>
  <cp:lastModifiedBy>麟瑞 徐</cp:lastModifiedBy>
  <cp:revision>42</cp:revision>
  <cp:lastPrinted>2025-11-03T13:44:00Z</cp:lastPrinted>
  <dcterms:created xsi:type="dcterms:W3CDTF">2025-11-02T14:14:00Z</dcterms:created>
  <dcterms:modified xsi:type="dcterms:W3CDTF">2025-11-03T13:46:00Z</dcterms:modified>
</cp:coreProperties>
</file>