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E11D5">
      <w:pPr>
        <w:rPr>
          <w:sz w:val="20"/>
          <w:szCs w:val="20"/>
          <w:lang w:val="en-US" w:eastAsia="zh-CN"/>
        </w:rPr>
      </w:pPr>
      <w:bookmarkStart w:id="0" w:name="_GoBack"/>
      <w:r>
        <w:rPr>
          <w:sz w:val="20"/>
          <w:szCs w:val="20"/>
          <w:lang w:val="en-US" w:eastAsia="zh-CN"/>
        </w:rPr>
        <w:t>Project Name:</w:t>
      </w:r>
      <w:r>
        <w:rPr>
          <w:rFonts w:hint="default"/>
          <w:sz w:val="20"/>
          <w:szCs w:val="20"/>
          <w:lang w:val="en-US" w:eastAsia="zh-CN"/>
        </w:rPr>
        <w:t>Team Project 2inCS 53744 Machine Learning Project</w:t>
      </w:r>
    </w:p>
    <w:bookmarkEnd w:id="0"/>
    <w:p w14:paraId="5716EB63">
      <w:pPr>
        <w:rPr>
          <w:sz w:val="20"/>
          <w:szCs w:val="20"/>
          <w:lang w:val="en-US" w:eastAsia="zh-CN"/>
        </w:rPr>
      </w:pPr>
      <w:r>
        <w:rPr>
          <w:sz w:val="20"/>
          <w:szCs w:val="20"/>
          <w:lang w:val="en-US" w:eastAsia="zh-CN"/>
        </w:rPr>
        <w:t>Task:Hull Tactical Market Prediction - Final Project Report</w:t>
      </w:r>
    </w:p>
    <w:p w14:paraId="55A74DBE">
      <w:pPr>
        <w:keepNext w:val="0"/>
        <w:keepLines w:val="0"/>
        <w:pageBreakBefore w:val="0"/>
        <w:widowControl/>
        <w:kinsoku/>
        <w:wordWrap/>
        <w:overflowPunct/>
        <w:topLinePunct w:val="0"/>
        <w:autoSpaceDE/>
        <w:autoSpaceDN/>
        <w:bidi w:val="0"/>
        <w:adjustRightInd/>
        <w:snapToGrid/>
        <w:spacing w:after="0"/>
        <w:textAlignment w:val="auto"/>
        <w:rPr>
          <w:rFonts w:hint="eastAsia"/>
          <w:sz w:val="18"/>
          <w:szCs w:val="18"/>
          <w:lang w:val="en-US" w:eastAsia="zh-CN"/>
        </w:rPr>
      </w:pPr>
      <w:r>
        <w:rPr>
          <w:sz w:val="18"/>
          <w:szCs w:val="18"/>
          <w:lang w:val="en-US" w:eastAsia="zh-CN"/>
        </w:rPr>
        <w:t>TEAM 8:</w:t>
      </w:r>
      <w:r>
        <w:rPr>
          <w:rFonts w:hint="eastAsia"/>
          <w:sz w:val="18"/>
          <w:szCs w:val="18"/>
          <w:lang w:val="en-US" w:eastAsia="zh-CN"/>
        </w:rPr>
        <w:t xml:space="preserve"> </w:t>
      </w:r>
    </w:p>
    <w:p w14:paraId="0AEE16A2">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839" w:leftChars="0" w:hanging="420" w:firstLineChars="0"/>
        <w:textAlignment w:val="auto"/>
        <w:rPr>
          <w:rFonts w:hint="eastAsia"/>
          <w:sz w:val="18"/>
          <w:szCs w:val="18"/>
          <w:lang w:val="en-US" w:eastAsia="zh-CN"/>
        </w:rPr>
      </w:pPr>
      <w:r>
        <w:rPr>
          <w:rFonts w:hint="default"/>
          <w:sz w:val="18"/>
          <w:szCs w:val="18"/>
          <w:lang w:val="en-US" w:eastAsia="zh-CN"/>
        </w:rPr>
        <w:t>XU LINRUI, 50251600</w:t>
      </w:r>
      <w:r>
        <w:rPr>
          <w:rFonts w:hint="eastAsia"/>
          <w:sz w:val="18"/>
          <w:szCs w:val="18"/>
          <w:lang w:val="en-US" w:eastAsia="zh-CN"/>
        </w:rPr>
        <w:t xml:space="preserve">， </w:t>
      </w:r>
    </w:p>
    <w:p w14:paraId="3B48CC3F">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839" w:leftChars="0" w:hanging="420" w:firstLineChars="0"/>
        <w:textAlignment w:val="auto"/>
        <w:rPr>
          <w:rFonts w:hint="eastAsia"/>
          <w:sz w:val="18"/>
          <w:szCs w:val="18"/>
          <w:lang w:val="en-US" w:eastAsia="zh-CN"/>
        </w:rPr>
      </w:pPr>
      <w:r>
        <w:rPr>
          <w:rFonts w:hint="default"/>
          <w:sz w:val="18"/>
          <w:szCs w:val="18"/>
          <w:lang w:val="en-US" w:eastAsia="zh-CN"/>
        </w:rPr>
        <w:t>HUANG FANRU, 20214788</w:t>
      </w:r>
      <w:r>
        <w:rPr>
          <w:rFonts w:hint="eastAsia"/>
          <w:sz w:val="18"/>
          <w:szCs w:val="18"/>
          <w:lang w:val="en-US" w:eastAsia="zh-CN"/>
        </w:rPr>
        <w:t xml:space="preserve">， </w:t>
      </w:r>
    </w:p>
    <w:p w14:paraId="47911599">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839" w:leftChars="0" w:hanging="420" w:firstLineChars="0"/>
        <w:textAlignment w:val="auto"/>
        <w:rPr>
          <w:rFonts w:hint="eastAsia"/>
          <w:sz w:val="18"/>
          <w:szCs w:val="18"/>
          <w:lang w:val="en-US" w:eastAsia="zh-CN"/>
        </w:rPr>
      </w:pPr>
      <w:r>
        <w:rPr>
          <w:rFonts w:hint="default"/>
          <w:sz w:val="18"/>
          <w:szCs w:val="18"/>
          <w:lang w:val="en-US" w:eastAsia="zh-CN"/>
        </w:rPr>
        <w:t>FANG JINGYI, 20223178</w:t>
      </w:r>
      <w:r>
        <w:rPr>
          <w:rFonts w:hint="eastAsia"/>
          <w:sz w:val="18"/>
          <w:szCs w:val="18"/>
          <w:lang w:val="en-US" w:eastAsia="zh-CN"/>
        </w:rPr>
        <w:t xml:space="preserve">， </w:t>
      </w:r>
    </w:p>
    <w:p w14:paraId="3C6DB530">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839" w:leftChars="0" w:hanging="420" w:firstLineChars="0"/>
        <w:textAlignment w:val="auto"/>
        <w:rPr>
          <w:sz w:val="18"/>
          <w:szCs w:val="18"/>
          <w:lang w:val="en-US" w:eastAsia="zh-CN"/>
        </w:rPr>
      </w:pPr>
      <w:r>
        <w:rPr>
          <w:rFonts w:hint="default"/>
          <w:sz w:val="18"/>
          <w:szCs w:val="18"/>
          <w:lang w:val="en-US" w:eastAsia="zh-CN"/>
        </w:rPr>
        <w:t>FEI XIZE, 20212288</w:t>
      </w:r>
    </w:p>
    <w:p w14:paraId="248451CE">
      <w:pPr>
        <w:pStyle w:val="4"/>
      </w:pPr>
      <w:r>
        <w:t>1. Overview</w:t>
      </w:r>
    </w:p>
    <w:p w14:paraId="7A7E2724">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This project addresses the Hull Tactical Market Prediction challenge, which involves forecasting the daily excess return of the S&amp;P 500 and generating allocation weights that maximize a modified Sharpe ratio under a strict 120% volatility constraint. Because the task relates closely to the Efficient Market Hypothesis (EMH), the key difficulty lies in extracting weak but persistent predictive signals—such as momentum, volatility patterns, and regime indicators—from noisy financial data.</w:t>
      </w:r>
    </w:p>
    <w:p w14:paraId="0163C7B2">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The Kaggle dataset provides historical market features and excess returns, and the goal is to produce daily allocation weights between 0 and 2. The evaluation metric is a Sharpe-variant score that penalizes excessive volatility and downside risk, making the task both a forecasting problem and a portfolio-optimization problem.</w:t>
      </w:r>
    </w:p>
    <w:p w14:paraId="4B6F1BAF">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Our workflow progresses from simple linear baselines to more advanced tree-based models, incorporating walk-forward validation, engineered momentum/volatility/drawdown features, and risk-adjusted refinements such as volatility scaling. The final system combines LightGBM with engineered macro-momentum features and a volatility-aware allocation rule, achieving a competitive Sharpe-variant score while satisfying the volatility constraint.</w:t>
      </w:r>
    </w:p>
    <w:p w14:paraId="2EFB27B9">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20"/>
        </w:rPr>
      </w:pPr>
      <w:r>
        <w:rPr>
          <w:sz w:val="20"/>
          <w:szCs w:val="18"/>
        </w:rPr>
        <w:t>All code, notebooks, and results are available in our GitHub repository for full reproducibility.</w:t>
      </w:r>
      <w:r>
        <w:rPr>
          <w:rFonts w:hint="eastAsia" w:eastAsia="宋体"/>
          <w:sz w:val="20"/>
          <w:szCs w:val="20"/>
          <w:lang w:val="en-US" w:eastAsia="zh-CN"/>
        </w:rPr>
        <w:t>(</w:t>
      </w:r>
      <w:r>
        <w:rPr>
          <w:rFonts w:hint="eastAsia" w:eastAsia="宋体"/>
          <w:sz w:val="20"/>
          <w:szCs w:val="20"/>
          <w:lang w:val="en-US" w:eastAsia="zh-CN"/>
        </w:rPr>
        <w:fldChar w:fldCharType="begin"/>
      </w:r>
      <w:r>
        <w:rPr>
          <w:rFonts w:hint="eastAsia" w:eastAsia="宋体"/>
          <w:sz w:val="20"/>
          <w:szCs w:val="20"/>
          <w:lang w:val="en-US" w:eastAsia="zh-CN"/>
        </w:rPr>
        <w:instrText xml:space="preserve"> HYPERLINK "https://github.com/Reducto7/MLP_proj4.git" </w:instrText>
      </w:r>
      <w:r>
        <w:rPr>
          <w:rFonts w:hint="eastAsia" w:eastAsia="宋体"/>
          <w:sz w:val="20"/>
          <w:szCs w:val="20"/>
          <w:lang w:val="en-US" w:eastAsia="zh-CN"/>
        </w:rPr>
        <w:fldChar w:fldCharType="separate"/>
      </w:r>
      <w:r>
        <w:rPr>
          <w:rStyle w:val="135"/>
          <w:rFonts w:hint="eastAsia" w:eastAsia="宋体"/>
          <w:sz w:val="20"/>
          <w:szCs w:val="20"/>
          <w:lang w:val="en-US" w:eastAsia="zh-CN"/>
        </w:rPr>
        <w:t>https://github.com/Reducto7/MLP_proj4.git</w:t>
      </w:r>
      <w:r>
        <w:rPr>
          <w:rFonts w:hint="eastAsia" w:eastAsia="宋体"/>
          <w:sz w:val="20"/>
          <w:szCs w:val="20"/>
          <w:lang w:val="en-US" w:eastAsia="zh-CN"/>
        </w:rPr>
        <w:fldChar w:fldCharType="end"/>
      </w:r>
      <w:r>
        <w:rPr>
          <w:rFonts w:hint="eastAsia" w:eastAsia="宋体"/>
          <w:sz w:val="20"/>
          <w:szCs w:val="20"/>
          <w:lang w:val="en-US" w:eastAsia="zh-CN"/>
        </w:rPr>
        <w:t>)</w:t>
      </w:r>
      <w:r>
        <w:rPr>
          <w:sz w:val="20"/>
          <w:szCs w:val="20"/>
        </w:rPr>
        <w:t xml:space="preserve"> </w:t>
      </w:r>
    </w:p>
    <w:p w14:paraId="2A8154F1">
      <w:pPr>
        <w:jc w:val="center"/>
        <w:rPr>
          <w:rFonts w:hint="eastAsia" w:eastAsia="宋体"/>
          <w:lang w:eastAsia="zh-CN"/>
        </w:rPr>
      </w:pPr>
      <w:r>
        <w:rPr>
          <w:rFonts w:hint="eastAsia" w:eastAsia="宋体"/>
          <w:lang w:eastAsia="zh-CN"/>
        </w:rPr>
        <w:drawing>
          <wp:inline distT="0" distB="0" distL="114300" distR="114300">
            <wp:extent cx="4859020" cy="1544955"/>
            <wp:effectExtent l="0" t="0" r="5080" b="4445"/>
            <wp:docPr id="2" name="图片 2" descr="6d44cacf52b972b927d0d67b9691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d44cacf52b972b927d0d67b9691e2b"/>
                    <pic:cNvPicPr>
                      <a:picLocks noChangeAspect="1"/>
                    </pic:cNvPicPr>
                  </pic:nvPicPr>
                  <pic:blipFill>
                    <a:blip r:embed="rId6"/>
                    <a:stretch>
                      <a:fillRect/>
                    </a:stretch>
                  </pic:blipFill>
                  <pic:spPr>
                    <a:xfrm>
                      <a:off x="0" y="0"/>
                      <a:ext cx="4859020" cy="1544955"/>
                    </a:xfrm>
                    <a:prstGeom prst="rect">
                      <a:avLst/>
                    </a:prstGeom>
                  </pic:spPr>
                </pic:pic>
              </a:graphicData>
            </a:graphic>
          </wp:inline>
        </w:drawing>
      </w:r>
    </w:p>
    <w:p w14:paraId="6389A321">
      <w:pPr>
        <w:jc w:val="center"/>
        <w:rPr>
          <w:sz w:val="18"/>
          <w:szCs w:val="18"/>
        </w:rPr>
      </w:pPr>
      <w:r>
        <w:rPr>
          <w:sz w:val="18"/>
          <w:szCs w:val="18"/>
        </w:rPr>
        <w:t>Insert FIGURE 1:Kaggle leaderboard screenshot</w:t>
      </w:r>
    </w:p>
    <w:p w14:paraId="7A5A7173">
      <w:pPr>
        <w:pStyle w:val="4"/>
        <w:numPr>
          <w:ilvl w:val="0"/>
          <w:numId w:val="8"/>
        </w:numPr>
        <w:bidi w:val="0"/>
      </w:pPr>
      <w:r>
        <w:t>Methodology</w:t>
      </w:r>
    </w:p>
    <w:p w14:paraId="4C9EED50">
      <w:pPr>
        <w:pStyle w:val="5"/>
        <w:bidi w:val="0"/>
      </w:pPr>
      <w:r>
        <w:t>2.1 Baseline Implementation</w:t>
      </w:r>
    </w:p>
    <w:p w14:paraId="20645449">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We began with a set of classical regression and machine-learning baselines, including Ridge, Lasso, ElasticNet, Random Forest, Gradient Boosting, XGBoost, and MLP.</w:t>
      </w:r>
      <w:r>
        <w:rPr>
          <w:sz w:val="20"/>
          <w:szCs w:val="20"/>
        </w:rPr>
        <w:br w:type="textWrapping"/>
      </w:r>
      <w:r>
        <w:rPr>
          <w:sz w:val="20"/>
          <w:szCs w:val="20"/>
        </w:rPr>
        <w:t>All models were evaluated using MSE, MAE, R², as well as finance-specific metrics such as Sharpe Ratio and the competition’s Final Score.</w:t>
      </w:r>
      <w:r>
        <w:rPr>
          <w:sz w:val="20"/>
          <w:szCs w:val="20"/>
        </w:rPr>
        <w:br w:type="textWrapping"/>
      </w:r>
      <w:r>
        <w:rPr>
          <w:sz w:val="20"/>
          <w:szCs w:val="20"/>
        </w:rPr>
        <w:t>These baselines established a reference point for later feature-enhanced and risk-aware models.</w:t>
      </w:r>
    </w:p>
    <w:p w14:paraId="37A9C96B">
      <w:pPr>
        <w:pStyle w:val="5"/>
        <w:bidi w:val="0"/>
      </w:pPr>
      <w:r>
        <w:t>2.2 Safe Feature Engineering</w:t>
      </w:r>
    </w:p>
    <w:p w14:paraId="5A9E0A3C">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In compliance with the competition’s strict no-leakage requirement, all features were constructed using past-only information, without any forward-looking operations.</w:t>
      </w:r>
      <w:r>
        <w:rPr>
          <w:sz w:val="20"/>
          <w:szCs w:val="20"/>
        </w:rPr>
        <w:br w:type="textWrapping"/>
      </w:r>
      <w:r>
        <w:rPr>
          <w:sz w:val="20"/>
          <w:szCs w:val="20"/>
        </w:rPr>
        <w:t>Our engineered feature categories include:</w:t>
      </w:r>
    </w:p>
    <w:p w14:paraId="379CED57">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Lag features (return_lag_1, lag_3, lag_5, …)</w:t>
      </w:r>
    </w:p>
    <w:p w14:paraId="3DDB97FA">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Rolling statistics with shift(1) (rolling mean, volatility, z-score, max/min)</w:t>
      </w:r>
    </w:p>
    <w:p w14:paraId="777E5B89">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Cross-sectional features (rank-based signals, percentile scores)</w:t>
      </w:r>
    </w:p>
    <w:p w14:paraId="11DB9225">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Ratio &amp; interaction features (momentum ratios, volatility-adjusted returns)</w:t>
      </w:r>
    </w:p>
    <w:p w14:paraId="18AA80D3">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Trend indicators (moving-average slopes, rolling regressions)</w:t>
      </w:r>
    </w:p>
    <w:p w14:paraId="2461BF17">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These features aim to capture momentum, volatility regimes, and structural patterns while maintaining strict temporal validity.</w:t>
      </w:r>
    </w:p>
    <w:p w14:paraId="101DE1C9">
      <w:pPr>
        <w:pStyle w:val="5"/>
        <w:bidi w:val="0"/>
      </w:pPr>
      <w:r>
        <w:t>2.3 Hyperparameter Optimization</w:t>
      </w:r>
    </w:p>
    <w:p w14:paraId="1C8686F7">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We applied Optuna with a Tree-Structured Parzen Estimator (TPE) sampler to search for optimal XGBoost hyperparameters.</w:t>
      </w:r>
      <w:r>
        <w:rPr>
          <w:sz w:val="20"/>
          <w:szCs w:val="20"/>
        </w:rPr>
        <w:br w:type="textWrapping"/>
      </w:r>
      <w:r>
        <w:rPr>
          <w:sz w:val="20"/>
          <w:szCs w:val="20"/>
        </w:rPr>
        <w:t>The optimization objective was the Sharpe-variant scoring metric, directly aligned with the competition evaluation to maximize out-of-sample performance and risk-adjusted returns.</w:t>
      </w:r>
    </w:p>
    <w:p w14:paraId="751C0AB5">
      <w:pPr>
        <w:pStyle w:val="5"/>
        <w:bidi w:val="0"/>
      </w:pPr>
      <w:r>
        <w:t>2.4 Two-Stage Optimization</w:t>
      </w:r>
    </w:p>
    <w:p w14:paraId="47728748">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Our training pipeline was built around a two-step optimization strategy:</w:t>
      </w:r>
    </w:p>
    <w:p w14:paraId="143C155A">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b/>
          <w:bCs/>
          <w:sz w:val="20"/>
          <w:szCs w:val="20"/>
        </w:rPr>
        <w:t>Stage 1 — Model Training</w:t>
      </w:r>
      <w:r>
        <w:rPr>
          <w:b/>
          <w:bCs/>
          <w:sz w:val="20"/>
          <w:szCs w:val="20"/>
        </w:rPr>
        <w:br w:type="textWrapping"/>
      </w:r>
      <w:r>
        <w:rPr>
          <w:sz w:val="20"/>
          <w:szCs w:val="20"/>
        </w:rPr>
        <w:t>Train an XGBoost model using the hyperparameters obtained from Optuna.</w:t>
      </w:r>
    </w:p>
    <w:p w14:paraId="0ABFABD7">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b/>
          <w:bCs/>
          <w:sz w:val="20"/>
          <w:szCs w:val="20"/>
        </w:rPr>
        <w:t>Stage 2 — Output Scaling Optimization</w:t>
      </w:r>
      <w:r>
        <w:rPr>
          <w:b/>
          <w:bCs/>
          <w:sz w:val="20"/>
          <w:szCs w:val="20"/>
        </w:rPr>
        <w:br w:type="textWrapping"/>
      </w:r>
      <w:r>
        <w:rPr>
          <w:sz w:val="20"/>
          <w:szCs w:val="20"/>
        </w:rPr>
        <w:t>Search for an optimal prediction scaling factor to balance return and volatility, maximizing the competition score while satisfying the 120% volatility constraint.</w:t>
      </w:r>
    </w:p>
    <w:p w14:paraId="354B094B">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This separation significantly improved stability and boosted final performance.</w:t>
      </w:r>
    </w:p>
    <w:p w14:paraId="16A3E605">
      <w:pPr>
        <w:pStyle w:val="5"/>
        <w:bidi w:val="0"/>
      </w:pPr>
      <w:r>
        <w:t>2.5 Safe Inference API</w:t>
      </w:r>
    </w:p>
    <w:p w14:paraId="0E4B6EA8">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To avoid data leakage and ensure reproducibility, we designed an isolated inference API that:</w:t>
      </w:r>
    </w:p>
    <w:p w14:paraId="5A38F3C7">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Recomputes all features strictly from past rows only</w:t>
      </w:r>
    </w:p>
    <w:p w14:paraId="35960037">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Maintains proper historical buffers for rolling windows</w:t>
      </w:r>
    </w:p>
    <w:p w14:paraId="158293E7">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Prevents access to unseen future data</w:t>
      </w:r>
    </w:p>
    <w:p w14:paraId="33879341">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Reconstructs the full feature pipeline consistently during inference</w:t>
      </w:r>
    </w:p>
    <w:p w14:paraId="1FC29CE9">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This guarantees that predictions simulate the real-world online trading environment required by the competition.</w:t>
      </w:r>
    </w:p>
    <w:p w14:paraId="3084885E">
      <w:pPr>
        <w:pStyle w:val="4"/>
      </w:pPr>
      <w:r>
        <w:t xml:space="preserve">3. Results and Discussion </w:t>
      </w:r>
    </w:p>
    <w:p w14:paraId="1F85EC42">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We evaluated a broad range of models—including linear baselines, tree-based methods, neural networks, and the optimized XGBoost pipeline—using both prediction metrics (MSE, MAE, R²) and finance-oriented metrics (annual return, volatility, Sharpe ratio, and competition-adjusted Sharpe).</w:t>
      </w:r>
    </w:p>
    <w:p w14:paraId="4AF5DBE4">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Across all comparisons, the optimized XGBoost model consistently achieved the strongest overall performance, ranking highest in:</w:t>
      </w:r>
    </w:p>
    <w:p w14:paraId="5AD3E654">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Annualized return</w:t>
      </w:r>
    </w:p>
    <w:p w14:paraId="10695E2C">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Controlled volatility within the 120% limit</w:t>
      </w:r>
    </w:p>
    <w:p w14:paraId="57B04A46">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Sharpe ratio and Final Score</w:t>
      </w:r>
    </w:p>
    <w:p w14:paraId="633F15C1">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Adjusted Sharpe Ratio under the competition metric</w:t>
      </w:r>
    </w:p>
    <w:p w14:paraId="43D440C0">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These results highlight that feature engineering combined with hyperparameter tuning and scaling optimization yields significantly better risk-adjusted returns than baseline or neural models.</w:t>
      </w:r>
    </w:p>
    <w:p w14:paraId="22536C10">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Backtesting visualizations—including cumulative return curves, rolling volatility, drawdown behavior, and feature importance—provide deeper insight into strategy performance:</w:t>
      </w:r>
    </w:p>
    <w:p w14:paraId="1CC210E9">
      <w:pPr>
        <w:keepNext w:val="0"/>
        <w:keepLines w:val="0"/>
        <w:pageBreakBefore w:val="0"/>
        <w:widowControl/>
        <w:kinsoku/>
        <w:wordWrap/>
        <w:overflowPunct/>
        <w:topLinePunct w:val="0"/>
        <w:autoSpaceDE/>
        <w:autoSpaceDN/>
        <w:bidi w:val="0"/>
        <w:adjustRightInd/>
        <w:snapToGrid/>
        <w:spacing w:after="0"/>
        <w:jc w:val="center"/>
        <w:textAlignment w:val="auto"/>
      </w:pPr>
      <w:r>
        <w:rPr>
          <w:rFonts w:ascii="宋体" w:hAnsi="宋体" w:eastAsia="宋体" w:cs="宋体"/>
          <w:kern w:val="0"/>
          <w:sz w:val="24"/>
          <w:szCs w:val="24"/>
          <w:lang w:val="en-US" w:eastAsia="zh-CN" w:bidi="ar"/>
        </w:rPr>
        <w:drawing>
          <wp:inline distT="0" distB="0" distL="114300" distR="114300">
            <wp:extent cx="2154555" cy="1432560"/>
            <wp:effectExtent l="0" t="0" r="4445"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2154555" cy="1432560"/>
                    </a:xfrm>
                    <a:prstGeom prst="rect">
                      <a:avLst/>
                    </a:prstGeom>
                    <a:noFill/>
                    <a:ln w="9525">
                      <a:noFill/>
                    </a:ln>
                  </pic:spPr>
                </pic:pic>
              </a:graphicData>
            </a:graphic>
          </wp:inline>
        </w:drawing>
      </w:r>
    </w:p>
    <w:p w14:paraId="1E97A68C">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Together, these plots show that the optimized model produces:</w:t>
      </w:r>
    </w:p>
    <w:p w14:paraId="5D491AF6">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Higher and more stable cumulative growth</w:t>
      </w:r>
    </w:p>
    <w:p w14:paraId="30EEE8B0">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Lower drawdowns compared to the benchmark market index</w:t>
      </w:r>
    </w:p>
    <w:p w14:paraId="13F16870">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Volatility that stays safely below the 120% threshold</w:t>
      </w:r>
    </w:p>
    <w:p w14:paraId="03BF62D1">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left="839" w:leftChars="0" w:hanging="420" w:firstLineChars="0"/>
        <w:textAlignment w:val="auto"/>
        <w:rPr>
          <w:sz w:val="20"/>
          <w:szCs w:val="20"/>
        </w:rPr>
      </w:pPr>
      <w:r>
        <w:rPr>
          <w:sz w:val="20"/>
          <w:szCs w:val="20"/>
        </w:rPr>
        <w:t>Robust signal contributions from momentum and volatility features</w:t>
      </w:r>
    </w:p>
    <w:p w14:paraId="45C0EDE2">
      <w:pPr>
        <w:keepNext w:val="0"/>
        <w:keepLines w:val="0"/>
        <w:pageBreakBefore w:val="0"/>
        <w:widowControl/>
        <w:kinsoku/>
        <w:wordWrap/>
        <w:overflowPunct/>
        <w:topLinePunct w:val="0"/>
        <w:autoSpaceDE/>
        <w:autoSpaceDN/>
        <w:bidi w:val="0"/>
        <w:adjustRightInd/>
        <w:snapToGrid/>
        <w:spacing w:after="0"/>
        <w:textAlignment w:val="auto"/>
        <w:rPr>
          <w:sz w:val="20"/>
          <w:szCs w:val="20"/>
        </w:rPr>
      </w:pPr>
      <w:r>
        <w:rPr>
          <w:sz w:val="20"/>
          <w:szCs w:val="20"/>
        </w:rPr>
        <w:t>Overall, the model demonstrates strong predictive reliability and superior risk-adjusted profitability relative to both simple baselines and the market benchmark.</w:t>
      </w:r>
    </w:p>
    <w:p w14:paraId="5B8F48C3">
      <w:pPr>
        <w:pStyle w:val="4"/>
        <w:bidi w:val="0"/>
      </w:pPr>
      <w:r>
        <w:t>4. Limitations and Future Work</w:t>
      </w:r>
    </w:p>
    <w:p w14:paraId="2696A27F">
      <w:pPr>
        <w:pStyle w:val="5"/>
        <w:bidi w:val="0"/>
      </w:pPr>
      <w:r>
        <w:t>Limitations</w:t>
      </w:r>
    </w:p>
    <w:p w14:paraId="64B84663">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Despite achieving strong predictive and risk-adjusted performance, the current approach has several limitations:</w:t>
      </w:r>
    </w:p>
    <w:p w14:paraId="7F5D157A">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Computational constraints restricted feature search and model complexity</w:t>
      </w:r>
      <w:r>
        <w:rPr>
          <w:sz w:val="20"/>
          <w:szCs w:val="18"/>
        </w:rPr>
        <w:br w:type="textWrapping"/>
      </w:r>
      <w:r>
        <w:rPr>
          <w:sz w:val="20"/>
          <w:szCs w:val="18"/>
        </w:rPr>
        <w:t>The safe feature engineering pipeline generated a large feature space, but exhaustive feature selection and interaction search were limited by runtime and hardware constraints.</w:t>
      </w:r>
    </w:p>
    <w:p w14:paraId="2DDDABD1">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No deep transformer fine-tuning</w:t>
      </w:r>
      <w:r>
        <w:rPr>
          <w:sz w:val="20"/>
          <w:szCs w:val="18"/>
        </w:rPr>
        <w:br w:type="textWrapping"/>
      </w:r>
      <w:r>
        <w:rPr>
          <w:sz w:val="20"/>
          <w:szCs w:val="18"/>
        </w:rPr>
        <w:t>Although transformer-based forecasting models may capture richer temporal dependencies, full fine-tuning or LoRA adaptation was not feasible within the competition’s runtime limits.</w:t>
      </w:r>
    </w:p>
    <w:p w14:paraId="28492C98">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High-dimensional engineered features may introduce noise</w:t>
      </w:r>
      <w:r>
        <w:rPr>
          <w:sz w:val="20"/>
          <w:szCs w:val="18"/>
        </w:rPr>
        <w:br w:type="textWrapping"/>
      </w:r>
      <w:r>
        <w:rPr>
          <w:sz w:val="20"/>
          <w:szCs w:val="18"/>
        </w:rPr>
        <w:t>While many rolling and cross-sectional features improved performance, the high dimensionality increases the risk of redundant signals, noise amplification, and potential overfitting even with tree-based models.</w:t>
      </w:r>
    </w:p>
    <w:p w14:paraId="7A243D62">
      <w:pPr>
        <w:pStyle w:val="5"/>
        <w:bidi w:val="0"/>
      </w:pPr>
      <w:r>
        <w:rPr>
          <w:rStyle w:val="134"/>
          <w:b/>
          <w:bCs/>
        </w:rPr>
        <w:t>Future Work</w:t>
      </w:r>
    </w:p>
    <w:p w14:paraId="236DCB55">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Explore large transformer models with LoRA/QLoRA</w:t>
      </w:r>
      <w:r>
        <w:rPr>
          <w:sz w:val="20"/>
          <w:szCs w:val="18"/>
        </w:rPr>
        <w:br w:type="textWrapping"/>
      </w:r>
      <w:r>
        <w:rPr>
          <w:sz w:val="20"/>
          <w:szCs w:val="18"/>
        </w:rPr>
        <w:t>Lightweight fine-tuning on models such as Time-series GPT, Temporal Fusion Transformers, or LLaMA-based regressors could enhance temporal pattern extraction while keeping computation manageable.</w:t>
      </w:r>
    </w:p>
    <w:p w14:paraId="53AAEBBE">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Apply dynamic risk-control frameworks</w:t>
      </w:r>
      <w:r>
        <w:rPr>
          <w:sz w:val="20"/>
          <w:szCs w:val="18"/>
        </w:rPr>
        <w:br w:type="textWrapping"/>
      </w:r>
      <w:r>
        <w:rPr>
          <w:sz w:val="20"/>
          <w:szCs w:val="18"/>
        </w:rPr>
        <w:t>Incorporating volatility targeting, drawdown-aware allocation, or adaptive leverage scaling may further stabilize returns and improve the competition’s adjusted Sharpe metric.</w:t>
      </w:r>
    </w:p>
    <w:p w14:paraId="2C297FED">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 </w:t>
      </w:r>
      <w:r>
        <w:rPr>
          <w:rStyle w:val="134"/>
          <w:sz w:val="20"/>
          <w:szCs w:val="18"/>
        </w:rPr>
        <w:t>Introduce meta-learning or reinforcement learning allocation mechanisms</w:t>
      </w:r>
      <w:r>
        <w:rPr>
          <w:sz w:val="20"/>
          <w:szCs w:val="18"/>
        </w:rPr>
        <w:br w:type="textWrapping"/>
      </w:r>
      <w:r>
        <w:rPr>
          <w:sz w:val="20"/>
          <w:szCs w:val="18"/>
        </w:rPr>
        <w:t>RL-based portfolio allocation (e.g., PPO, SAC) or meta-learning approaches could learn dynamic policies that adjust exposure based on market regimes, improving robustness across varying volatility environments.</w:t>
      </w:r>
    </w:p>
    <w:p w14:paraId="344A01C8">
      <w:pPr>
        <w:pStyle w:val="4"/>
        <w:bidi w:val="0"/>
      </w:pPr>
      <w:r>
        <w:t xml:space="preserve">5. Reproducibility </w:t>
      </w:r>
    </w:p>
    <w:p w14:paraId="24A4D84C">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 xml:space="preserve">All experiments were conducted in the </w:t>
      </w:r>
      <w:r>
        <w:rPr>
          <w:rStyle w:val="134"/>
          <w:sz w:val="20"/>
          <w:szCs w:val="18"/>
        </w:rPr>
        <w:t>Kaggle notebook environment</w:t>
      </w:r>
      <w:r>
        <w:rPr>
          <w:sz w:val="20"/>
          <w:szCs w:val="18"/>
        </w:rPr>
        <w:t>, ensuring a consistent runtime configuration with fixed random seeds for deterministic behavior.</w:t>
      </w:r>
      <w:r>
        <w:rPr>
          <w:sz w:val="20"/>
          <w:szCs w:val="18"/>
        </w:rPr>
        <w:br w:type="textWrapping"/>
      </w:r>
      <w:r>
        <w:rPr>
          <w:sz w:val="20"/>
          <w:szCs w:val="18"/>
        </w:rPr>
        <w:t>The entire workflow—including data cleaning, safe feature engineering, hyperparameter optimization, model training, backtesting, and visualization—can be fully reproduced by running the unified notebook:</w:t>
      </w:r>
    </w:p>
    <w:p w14:paraId="03398AD7">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eastAsia="宋体"/>
          <w:sz w:val="20"/>
          <w:szCs w:val="18"/>
          <w:lang w:val="en-US" w:eastAsia="zh-CN"/>
        </w:rPr>
      </w:pPr>
      <w:r>
        <w:rPr>
          <w:rStyle w:val="138"/>
          <w:sz w:val="15"/>
          <w:szCs w:val="18"/>
        </w:rPr>
        <w:t>assignment4-team8-20223178-jingyi-fang.</w:t>
      </w:r>
      <w:r>
        <w:rPr>
          <w:rStyle w:val="138"/>
          <w:rFonts w:hint="eastAsia" w:eastAsia="宋体"/>
          <w:sz w:val="15"/>
          <w:szCs w:val="18"/>
          <w:lang w:val="en-US" w:eastAsia="zh-CN"/>
        </w:rPr>
        <w:t>i</w:t>
      </w:r>
      <w:r>
        <w:rPr>
          <w:rStyle w:val="138"/>
          <w:sz w:val="15"/>
          <w:szCs w:val="18"/>
        </w:rPr>
        <w:t>py</w:t>
      </w:r>
      <w:r>
        <w:rPr>
          <w:rStyle w:val="138"/>
          <w:rFonts w:hint="eastAsia" w:eastAsia="宋体"/>
          <w:sz w:val="15"/>
          <w:szCs w:val="18"/>
          <w:lang w:val="en-US" w:eastAsia="zh-CN"/>
        </w:rPr>
        <w:t>nb</w:t>
      </w:r>
    </w:p>
    <w:p w14:paraId="1593C571">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sz w:val="20"/>
          <w:szCs w:val="18"/>
        </w:rPr>
      </w:pPr>
      <w:r>
        <w:rPr>
          <w:sz w:val="20"/>
          <w:szCs w:val="18"/>
        </w:rPr>
        <w:t>This notebook contains the complete leakage-free pipeline, evaluation modules, and inference API required to replicate all results presented in this report.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Hancom Gothic"/>
    <w:panose1 w:val="00000000000000000000"/>
    <w:charset w:val="00"/>
    <w:family w:val="auto"/>
    <w:pitch w:val="default"/>
    <w:sig w:usb0="00000000" w:usb1="00000000" w:usb2="00000000" w:usb3="00000000" w:csb0="00000000" w:csb1="00000000"/>
  </w:font>
  <w:font w:name="Hancom Gothic">
    <w:panose1 w:val="02000500000000000000"/>
    <w:charset w:val="81"/>
    <w:family w:val="auto"/>
    <w:pitch w:val="default"/>
    <w:sig w:usb0="900002A7" w:usb1="39D7FCFB" w:usb2="00000010" w:usb3="00000000" w:csb0="0008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TimesNewRomanPS-BoldMT">
    <w:altName w:val="Hancom Gothic"/>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3C768"/>
    <w:multiLevelType w:val="singleLevel"/>
    <w:tmpl w:val="A3E3C768"/>
    <w:lvl w:ilvl="0" w:tentative="0">
      <w:start w:val="2"/>
      <w:numFmt w:val="decimal"/>
      <w:suff w:val="space"/>
      <w:lvlText w:val="%1."/>
      <w:lvlJc w:val="left"/>
    </w:lvl>
  </w:abstractNum>
  <w:abstractNum w:abstractNumId="1">
    <w:nsid w:val="A9A71197"/>
    <w:multiLevelType w:val="singleLevel"/>
    <w:tmpl w:val="A9A71197"/>
    <w:lvl w:ilvl="0" w:tentative="0">
      <w:start w:val="1"/>
      <w:numFmt w:val="bullet"/>
      <w:lvlText w:val=""/>
      <w:lvlJc w:val="left"/>
      <w:pPr>
        <w:tabs>
          <w:tab w:val="left" w:pos="420"/>
        </w:tabs>
        <w:ind w:left="840" w:hanging="420"/>
      </w:pPr>
      <w:rPr>
        <w:rFonts w:hint="default" w:ascii="Wingdings" w:hAnsi="Wingdings"/>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D90D912"/>
    <w:multiLevelType w:val="singleLevel"/>
    <w:tmpl w:val="6D90D912"/>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4372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FollowedHyperlink"/>
    <w:basedOn w:val="133"/>
    <w:semiHidden/>
    <w:unhideWhenUsed/>
    <w:uiPriority w:val="99"/>
    <w:rPr>
      <w:color w:val="800080"/>
      <w:u w:val="single"/>
    </w:rPr>
  </w:style>
  <w:style w:type="character" w:styleId="136">
    <w:name w:val="Emphasis"/>
    <w:basedOn w:val="133"/>
    <w:qFormat/>
    <w:uiPriority w:val="20"/>
    <w:rPr>
      <w:i/>
      <w:iCs/>
    </w:rPr>
  </w:style>
  <w:style w:type="character" w:styleId="137">
    <w:name w:val="Hyperlink"/>
    <w:basedOn w:val="133"/>
    <w:semiHidden/>
    <w:unhideWhenUsed/>
    <w:uiPriority w:val="99"/>
    <w:rPr>
      <w:color w:val="0000FF"/>
      <w:u w:val="single"/>
    </w:rPr>
  </w:style>
  <w:style w:type="character" w:styleId="138">
    <w:name w:val="HTML Code"/>
    <w:basedOn w:val="133"/>
    <w:semiHidden/>
    <w:unhideWhenUsed/>
    <w:uiPriority w:val="99"/>
    <w:rPr>
      <w:rFonts w:ascii="Courier New" w:hAnsi="Courier New"/>
      <w:sz w:val="20"/>
    </w:rPr>
  </w:style>
  <w:style w:type="character" w:customStyle="1" w:styleId="139">
    <w:name w:val="Header Char"/>
    <w:basedOn w:val="133"/>
    <w:link w:val="25"/>
    <w:qFormat/>
    <w:uiPriority w:val="99"/>
  </w:style>
  <w:style w:type="character" w:customStyle="1" w:styleId="140">
    <w:name w:val="Footer Char"/>
    <w:basedOn w:val="133"/>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3"/>
    <w:link w:val="19"/>
    <w:qFormat/>
    <w:uiPriority w:val="99"/>
  </w:style>
  <w:style w:type="character" w:customStyle="1" w:styleId="149">
    <w:name w:val="Body Text 2 Char"/>
    <w:basedOn w:val="133"/>
    <w:link w:val="28"/>
    <w:qFormat/>
    <w:uiPriority w:val="99"/>
  </w:style>
  <w:style w:type="character" w:customStyle="1" w:styleId="150">
    <w:name w:val="Body Text 3 Char"/>
    <w:basedOn w:val="133"/>
    <w:link w:val="17"/>
    <w:qFormat/>
    <w:uiPriority w:val="99"/>
    <w:rPr>
      <w:sz w:val="16"/>
      <w:szCs w:val="16"/>
    </w:rPr>
  </w:style>
  <w:style w:type="character" w:customStyle="1" w:styleId="151">
    <w:name w:val="Macro Text Char"/>
    <w:basedOn w:val="133"/>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3"/>
    <w:link w:val="152"/>
    <w:qFormat/>
    <w:uiPriority w:val="29"/>
    <w:rPr>
      <w:i/>
      <w:iCs/>
      <w:color w:val="000000" w:themeColor="text1"/>
      <w14:textFill>
        <w14:solidFill>
          <w14:schemeClr w14:val="tx1"/>
        </w14:solidFill>
      </w14:textFill>
    </w:rPr>
  </w:style>
  <w:style w:type="character" w:customStyle="1" w:styleId="154">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3"/>
    <w:link w:val="160"/>
    <w:uiPriority w:val="30"/>
    <w:rPr>
      <w:b/>
      <w:bCs/>
      <w:i/>
      <w:iCs/>
      <w:color w:val="4F81BD" w:themeColor="accent1"/>
      <w14:textFill>
        <w14:solidFill>
          <w14:schemeClr w14:val="accent1"/>
        </w14:solidFill>
      </w14:textFill>
    </w:rPr>
  </w:style>
  <w:style w:type="character" w:customStyle="1" w:styleId="162">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3"/>
    <w:qFormat/>
    <w:uiPriority w:val="21"/>
    <w:rPr>
      <w:b/>
      <w:bCs/>
      <w:i/>
      <w:iCs/>
      <w:color w:val="4F81BD" w:themeColor="accent1"/>
      <w14:textFill>
        <w14:solidFill>
          <w14:schemeClr w14:val="accent1"/>
        </w14:solidFill>
      </w14:textFill>
    </w:rPr>
  </w:style>
  <w:style w:type="character" w:customStyle="1" w:styleId="164">
    <w:name w:val="Subtle Reference"/>
    <w:basedOn w:val="133"/>
    <w:qFormat/>
    <w:uiPriority w:val="31"/>
    <w:rPr>
      <w:smallCaps/>
      <w:color w:val="C0504D" w:themeColor="accent2"/>
      <w:u w:val="single"/>
      <w14:textFill>
        <w14:solidFill>
          <w14:schemeClr w14:val="accent2"/>
        </w14:solidFill>
      </w14:textFill>
    </w:rPr>
  </w:style>
  <w:style w:type="character" w:customStyle="1" w:styleId="165">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3"/>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535</Words>
  <Characters>2327</Characters>
  <Lines>0</Lines>
  <Paragraphs>0</Paragraphs>
  <TotalTime>1729</TotalTime>
  <ScaleCrop>false</ScaleCrop>
  <LinksUpToDate>false</LinksUpToDate>
  <CharactersWithSpaces>2683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云舟</cp:lastModifiedBy>
  <dcterms:modified xsi:type="dcterms:W3CDTF">2025-11-24T17:32:17Z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eyJoZGlkIjoiZmNlNDZhYjJjNDk1Y2Q2YzdjNTNhMjNhNDMzODdmNTYiLCJ1c2VySWQiOiI1NTA1NDMyOTIifQ==</vt:lpwstr>
  </property>
  <property fmtid="{D5CDD505-2E9C-101B-9397-08002B2CF9AE}" pid="3" name="KSOProductBuildVer">
    <vt:lpwstr>2052-12.1.0.23125</vt:lpwstr>
  </property>
  <property fmtid="{D5CDD505-2E9C-101B-9397-08002B2CF9AE}" pid="4" name="ICV">
    <vt:lpwstr>4C1094178BBF41038D5E4B9F42E99C31_12</vt:lpwstr>
  </property>
</Properties>
</file>