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F4E79"/>
          <w:sz w:val="48"/>
          <w:szCs w:val="48"/>
        </w:rPr>
        <w:t xml:space="preserve">Exoplanet Transit Detection Using</w:t>
      </w:r>
    </w:p>
    <w:p>
      <w:pPr>
        <w:spacing w:after="400"/>
        <w:jc w:val="center"/>
      </w:pPr>
      <w:r>
        <w:rPr>
          <w:rFonts w:ascii="Arial" w:cs="Arial" w:eastAsia="Arial" w:hAnsi="Arial"/>
          <w:b/>
          <w:bCs/>
          <w:color w:val="1F4E79"/>
          <w:sz w:val="48"/>
          <w:szCs w:val="48"/>
        </w:rPr>
        <w:t>Traditional ML, Dual-View 1D CNN, and BiLSTM Deep Networks</w:t>
      </w:r>
    </w:p>
    <w:p>
      <w:pPr>
        <w:spacing w:after="200"/>
        <w:jc w:val="center"/>
      </w:pPr>
      <w:r>
        <w:rPr>
          <w:rFonts w:ascii="Arial" w:cs="Arial" w:eastAsia="Arial" w:hAnsi="Arial"/>
          <w:color w:val="4472C4"/>
          <w:sz w:val="24"/>
          <w:szCs w:val="24"/>
        </w:rPr>
        <w:t xml:space="preserve">─────────────────────────────────────</w:t>
      </w:r>
    </w:p>
    <w:p>
      <w:pPr>
        <w:spacing w:after="160"/>
        <w:jc w:val="center"/>
      </w:pPr>
      <w:r>
        <w:rPr>
          <w:rFonts w:ascii="Arial" w:cs="Arial" w:eastAsia="Arial" w:hAnsi="Arial"/>
          <w:i/>
          <w:iCs/>
          <w:color w:val="595959"/>
          <w:sz w:val="28"/>
          <w:szCs w:val="28"/>
        </w:rPr>
        <w:t xml:space="preserve">Undergraduate Thesis</w:t>
      </w:r>
    </w:p>
    <w:p>
      <w:pPr>
        <w:spacing w:after="80"/>
        <w:jc w:val="center"/>
      </w:pPr>
      <w:r>
        <w:rPr>
          <w:rFonts w:ascii="Arial" w:cs="Arial" w:eastAsia="Arial" w:hAnsi="Arial"/>
          <w:sz w:val="24"/>
          <w:szCs w:val="24"/>
        </w:rPr>
        <w:t xml:space="preserve">Department of Computer Science and Engineering</w:t>
      </w:r>
    </w:p>
    <w:p>
      <w:pPr>
        <w:spacing w:after="80"/>
        <w:jc w:val="center"/>
      </w:pPr>
      <w:r>
        <w:rPr>
          <w:rFonts w:ascii="Arial" w:cs="Arial" w:eastAsia="Arial" w:hAnsi="Arial"/>
          <w:sz w:val="24"/>
          <w:szCs w:val="24"/>
        </w:rPr>
        <w:t xml:space="preserve">IUBAT — International University of Business Agriculture and Technology</w:t>
      </w:r>
    </w:p>
    <w:p>
      <w:pPr>
        <w:spacing w:after="400"/>
      </w:pPr>
    </w:p>
    <w:p>
      <w:pPr>
        <w:spacing w:after="80"/>
        <w:jc w:val="center"/>
      </w:pPr>
      <w:r>
        <w:rPr>
          <w:rFonts w:ascii="Arial" w:cs="Arial" w:eastAsia="Arial" w:hAnsi="Arial"/>
          <w:sz w:val="22"/>
          <w:szCs w:val="22"/>
        </w:rPr>
        <w:t xml:space="preserve">Course: CSC 488 — Thesis</w:t>
      </w:r>
    </w:p>
    <w:p>
      <w:pPr>
        <w:spacing w:after="80"/>
        <w:jc w:val="center"/>
      </w:pPr>
      <w:r>
        <w:rPr>
          <w:rFonts w:ascii="Arial" w:cs="Arial" w:eastAsia="Arial" w:hAnsi="Arial"/>
          <w:sz w:val="22"/>
          <w:szCs w:val="22"/>
        </w:rPr>
        <w:t xml:space="preserve">June 2026</w:t>
      </w:r>
    </w:p>
    <w:p>
      <w:r>
        <w:br w:type="page"/>
      </w:r>
    </w:p>
    <w:p>
      <w:pPr>
        <w:pStyle w:val="Heading1"/>
        <w:spacing w:after="180" w:before="360"/>
      </w:pPr>
      <w:r>
        <w:rPr>
          <w:rFonts w:ascii="Arial" w:cs="Arial" w:eastAsia="Arial" w:hAnsi="Arial"/>
          <w:b/>
          <w:bCs/>
          <w:sz w:val="32"/>
          <w:szCs w:val="32"/>
        </w:rPr>
        <w:t xml:space="preserve">Abstract</w:t>
      </w:r>
    </w:p>
    <w:p>
      <w:pPr>
        <w:spacing w:after="160"/>
        <w:jc w:val="both"/>
      </w:pPr>
      <w:r>
        <w:rPr>
          <w:rFonts w:ascii="Arial" w:cs="Arial" w:eastAsia="Arial" w:hAnsi="Arial"/>
          <w:sz w:val="22"/>
          <w:szCs w:val="22"/>
        </w:rPr>
        <w:t xml:space="preserve">The detection of exoplanets via the transit photometry method presents a significant signal processing and classification challenge. Photometric surveys such as the Kepler Space Telescope mission and the Transiting Exoplanet Survey Satellite (TESS) produce vast quantities of light-curve data, the majority of which requires automated analysis to separate genuine planetary transits from astrophysical false positives such as eclipsing binaries, grazing transits, and instrumental artefacts.</w:t>
      </w:r>
    </w:p>
    <w:p>
      <w:pPr>
        <w:spacing w:after="160"/>
        <w:jc w:val="both"/>
      </w:pPr>
      <w:r>
        <w:rPr>
          <w:rFonts w:ascii="Arial" w:cs="Arial" w:eastAsia="Arial" w:hAnsi="Arial"/>
          <w:sz w:val="22"/>
          <w:szCs w:val="22"/>
        </w:rPr>
        <w:t>This thesis presents a multi-track machine learning pipeline for exoplanet transit detection. The first track compares a model zoo of tabular classifiers - Logistic Regression, Decision Tree, k-Nearest Neighbours (KNN), Support Vector Machine (SVM), Random Forest, Extra Trees, Multi-Layer Perceptron (MLP), XGBoost, LightGBM, and a Stacking ensemble - trained on thirty engineered features extracted from phase-folded light curves, with Optuna Bayesian hyperparameter search applied to the tree ensembles. The second track trains a dual-view one-dimensional Convolutional Neural Network (DualView CNN) that encodes a 2,000-point global phase-folded view alongside a 200-point transit-centred local view, fused by a channel-attention gate. The third track trains a bidirectional LSTM (BiLSTM) with soft attention over the phase axis as a recurrent counterpart to the convolutional encoder. Both deep branches are complemented by Gradient-weighted Class Activation Mapping (Grad-CAM) and attention visualisation for spatial interpretability.</w:t>
      </w:r>
    </w:p>
    <w:p>
      <w:pPr>
        <w:spacing w:after="160"/>
        <w:jc w:val="both"/>
      </w:pPr>
      <w:r>
        <w:rPr>
          <w:rFonts w:ascii="Arial" w:cs="Arial" w:eastAsia="Arial" w:hAnsi="Arial"/>
          <w:sz w:val="22"/>
          <w:szCs w:val="22"/>
        </w:rPr>
        <w:t>The pipeline is evaluated on 108 Kepler Objects of Interest (KOIs) spanning 69 host stars, comprising 69 confirmed planets or candidates and 39 known false positives, together with 15 TESS Objects of Interest (TOIs) used for cross-mission validation. Model performance is assessed using accuracy, precision, recall, F1-score, Area Under the Receiver Operating Characteristic curve (AUC-ROC), Matthews Correlation Coefficient (MCC), and 5-fold stratified cross-validation F1. An interactive browser-based prototype enables direct NASA API lookup, live visualisation of light curves, SHAP feature-importance plots, Grad-CAM and soft-attention heat maps, and side-by-side multi-model comparison - all without requiring a backend server.</w:t>
      </w:r>
    </w:p>
    <w:p>
      <w:pPr>
        <w:spacing w:after="160"/>
        <w:jc w:val="both"/>
      </w:pPr>
      <w:r>
        <w:rPr>
          <w:rFonts w:ascii="Arial" w:cs="Arial" w:eastAsia="Arial" w:hAnsi="Arial"/>
          <w:sz w:val="22"/>
          <w:szCs w:val="22"/>
        </w:rPr>
        <w:t>Ensemble tree methods (Random Forest, Extra Trees, XGBoost, LightGBM) and the Stacking meta-ensemble are expected to outperform linear models in single-split evaluation, which is why they form the base learners of the Stacking ensemble. The DualView CNN and the BiLSTM are expected to achieve competitive performance while providing spatial interpretability through Grad-CAM and soft-attention localisation, confirming that the networks attend to the transit window rather than out-of-transit noise. The MCC metric, which is robust to class imbalance, provides the most conservative and reliable ranking of model quality. SHAP analysis identifies transit depth, signal-to-noise ratio, and secondary eclipse ratio among the most discriminative tabular features across the tree-based classifiers.</w:t>
      </w:r>
    </w:p>
    <w:p>
      <w:pPr>
        <w:spacing w:after="120"/>
      </w:pPr>
    </w:p>
    <w:p>
      <w:pPr>
        <w:spacing w:after="80"/>
      </w:pPr>
      <w:r>
        <w:rPr>
          <w:rFonts w:ascii="Arial" w:cs="Arial" w:eastAsia="Arial" w:hAnsi="Arial"/>
          <w:b/>
          <w:bCs/>
          <w:sz w:val="22"/>
          <w:szCs w:val="22"/>
        </w:rPr>
        <w:t>Keywords: exoplanet transit detection, Kepler, TESS, machine learning, DualView CNN, BiLSTM, soft attention, Focal Loss, Grad-CAM, SHAP, MCC, phase-folded light curves, transit photometry</w:t>
      </w:r>
    </w:p>
    <w:p>
      <w:r>
        <w:br w:type="page"/>
      </w:r>
    </w:p>
    <w:p>
      <w:pPr>
        <w:pStyle w:val="Heading1"/>
        <w:spacing w:after="18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sz w:val="32"/>
          <w:szCs w:val="32"/>
        </w:rPr>
        <w:t xml:space="preserve">1. Introduction</w:t>
      </w:r>
    </w:p>
    <w:p>
      <w:pPr>
        <w:pStyle w:val="Heading2"/>
        <w:spacing w:after="120" w:before="240"/>
      </w:pPr>
      <w:r>
        <w:rPr>
          <w:rFonts w:ascii="Arial" w:cs="Arial" w:eastAsia="Arial" w:hAnsi="Arial"/>
          <w:b/>
          <w:bCs/>
          <w:sz w:val="26"/>
          <w:szCs w:val="26"/>
        </w:rPr>
        <w:t xml:space="preserve">1.1 Motivation</w:t>
      </w:r>
    </w:p>
    <w:p>
      <w:pPr>
        <w:spacing w:after="160"/>
        <w:jc w:val="both"/>
      </w:pPr>
      <w:r>
        <w:rPr>
          <w:rFonts w:ascii="Arial" w:cs="Arial" w:eastAsia="Arial" w:hAnsi="Arial"/>
          <w:sz w:val="22"/>
          <w:szCs w:val="22"/>
        </w:rPr>
        <w:t xml:space="preserve">The discovery of planets orbiting stars beyond our solar system — exoplanets — represents one of the most active and consequential frontiers of modern astrophysics. As of mid-2026, over 5,700 confirmed exoplanets have been catalogued, the majority detected through the transit method: observing the periodic dimming of a host star's brightness as an orbiting body passes across its disc. The Kepler Space Telescope alone monitored approximately 150,000 stars continuously for four years, generating more than 2,500 confirmed exoplanet discoveries. TESS, its successor, surveys a far wider sky area and continues to produce candidate lists that require careful vetting.</w:t>
      </w:r>
    </w:p>
    <w:p>
      <w:pPr>
        <w:spacing w:after="160"/>
        <w:jc w:val="both"/>
      </w:pPr>
      <w:r>
        <w:rPr>
          <w:rFonts w:ascii="Arial" w:cs="Arial" w:eastAsia="Arial" w:hAnsi="Arial"/>
          <w:sz w:val="22"/>
          <w:szCs w:val="22"/>
        </w:rPr>
        <w:t xml:space="preserve">Manual vetting of thousands of transit candidates is infeasible at the scale these missions produce. Automated classification pipelines are therefore essential. However, raw photometric data is noisy, and many signals that superficially resemble transits originate from astrophysical false positives — eclipsing binary stars, background blends, or stellar variability — rather than genuine planetary companions. Distinguishing these cases demands methods that can extract discriminative features, handle class imbalance, and provide interpretable explanations alongside their predictions.</w:t>
      </w:r>
    </w:p>
    <w:p>
      <w:pPr>
        <w:pStyle w:val="Heading2"/>
        <w:spacing w:after="120" w:before="240"/>
      </w:pPr>
      <w:r>
        <w:rPr>
          <w:rFonts w:ascii="Arial" w:cs="Arial" w:eastAsia="Arial" w:hAnsi="Arial"/>
          <w:b/>
          <w:bCs/>
          <w:sz w:val="26"/>
          <w:szCs w:val="26"/>
        </w:rPr>
        <w:t xml:space="preserve">1.2 Problem Statement</w:t>
      </w:r>
    </w:p>
    <w:p>
      <w:pPr>
        <w:spacing w:after="160"/>
        <w:jc w:val="both"/>
      </w:pPr>
      <w:r>
        <w:rPr>
          <w:rFonts w:ascii="Arial" w:cs="Arial" w:eastAsia="Arial" w:hAnsi="Arial"/>
          <w:sz w:val="22"/>
          <w:szCs w:val="22"/>
        </w:rPr>
        <w:t xml:space="preserve">Given a phase-folded, normalised light curve extracted from a Kepler or TESS photometric time series, classify the source as either (1) a planet candidate or confirmed planet (label 1) or (2) a false positive (label 0). The classifier must operate with a small, imbalanced training set typical of the early vetting stage of a photometric survey, produce calibrated probability estimates, and provide human-interpretable explanations of its decisions.</w:t>
      </w:r>
    </w:p>
    <w:p>
      <w:pPr>
        <w:pStyle w:val="Heading2"/>
        <w:spacing w:after="120" w:before="240"/>
      </w:pPr>
      <w:r>
        <w:rPr>
          <w:rFonts w:ascii="Arial" w:cs="Arial" w:eastAsia="Arial" w:hAnsi="Arial"/>
          <w:b/>
          <w:bCs/>
          <w:sz w:val="26"/>
          <w:szCs w:val="26"/>
        </w:rPr>
        <w:t xml:space="preserve">1.3 Objectives</w:t>
      </w:r>
    </w:p>
    <w:p>
      <w:pPr>
        <w:pStyle w:val="ListParagraph"/>
        <w:numPr>
          <w:ilvl w:val="0"/>
          <w:numId w:val="2"/>
        </w:numPr>
        <w:spacing w:after="80"/>
      </w:pPr>
      <w:r>
        <w:rPr>
          <w:rFonts w:ascii="Arial" w:cs="Arial" w:eastAsia="Arial" w:hAnsi="Arial"/>
          <w:sz w:val="22"/>
          <w:szCs w:val="22"/>
        </w:rPr>
        <w:t xml:space="preserve">Implement a reproducible end-to-end pipeline from raw NASA light-curve data through feature engineering to trained classifiers.</w:t>
      </w:r>
    </w:p>
    <w:p>
      <w:pPr>
        <w:pStyle w:val="ListParagraph"/>
        <w:numPr>
          <w:ilvl w:val="0"/>
          <w:numId w:val="2"/>
        </w:numPr>
        <w:spacing w:after="80"/>
      </w:pPr>
      <w:r>
        <w:rPr>
          <w:rFonts w:ascii="Arial" w:cs="Arial" w:eastAsia="Arial" w:hAnsi="Arial"/>
          <w:sz w:val="22"/>
          <w:szCs w:val="22"/>
        </w:rPr>
        <w:t>Compare a model zoo of nine traditional classifiers - Logistic Regression, Decision Tree, k-Nearest Neighbours, Support Vector Machine, Random Forest, Extra Trees, Multi-Layer Perceptron, XGBoost, and LightGBM - together with a Stacking meta-ensemble, a Dual-View 1D Convolutional Neural Network, and a BiLSTM, on the same dataset and the same host-star-grouped splits.</w:t>
      </w:r>
    </w:p>
    <w:p>
      <w:pPr>
        <w:pStyle w:val="ListParagraph"/>
        <w:numPr>
          <w:ilvl w:val="0"/>
          <w:numId w:val="2"/>
        </w:numPr>
        <w:spacing w:after="80"/>
      </w:pPr>
      <w:r>
        <w:rPr>
          <w:rFonts w:ascii="Arial" w:cs="Arial" w:eastAsia="Arial" w:hAnsi="Arial"/>
          <w:sz w:val="22"/>
          <w:szCs w:val="22"/>
        </w:rPr>
        <w:t xml:space="preserve">Apply rigorous, imbalance-aware evaluation metrics including MCC and stratified cross-validation.</w:t>
      </w:r>
    </w:p>
    <w:p>
      <w:pPr>
        <w:pStyle w:val="ListParagraph"/>
        <w:numPr>
          <w:ilvl w:val="0"/>
          <w:numId w:val="2"/>
        </w:numPr>
        <w:spacing w:after="80"/>
      </w:pPr>
      <w:r>
        <w:rPr>
          <w:rFonts w:ascii="Arial" w:cs="Arial" w:eastAsia="Arial" w:hAnsi="Arial"/>
          <w:sz w:val="22"/>
          <w:szCs w:val="22"/>
        </w:rPr>
        <w:t>Generate interpretable explanations via SHAP (for the tabular models), Grad-CAM (for the CNN), and soft attention (for the BiLSTM).</w:t>
      </w:r>
    </w:p>
    <w:p>
      <w:pPr>
        <w:pStyle w:val="ListParagraph"/>
        <w:numPr>
          <w:ilvl w:val="0"/>
          <w:numId w:val="2"/>
        </w:numPr>
        <w:spacing w:after="80"/>
      </w:pPr>
      <w:r>
        <w:rPr>
          <w:rFonts w:ascii="Arial" w:cs="Arial" w:eastAsia="Arial" w:hAnsi="Arial"/>
          <w:sz w:val="22"/>
          <w:szCs w:val="22"/>
        </w:rPr>
        <w:t xml:space="preserve">Deploy the entire system as a standalone interactive prototype accessible from a single HTML file without requiring a backend server.</w:t>
      </w:r>
    </w:p>
    <w:p>
      <w:pPr>
        <w:pStyle w:val="Heading2"/>
        <w:spacing w:after="120" w:before="240"/>
      </w:pPr>
      <w:r>
        <w:rPr>
          <w:rFonts w:ascii="Arial" w:cs="Arial" w:eastAsia="Arial" w:hAnsi="Arial"/>
          <w:b/>
          <w:bCs/>
          <w:sz w:val="26"/>
          <w:szCs w:val="26"/>
        </w:rPr>
        <w:t xml:space="preserve">1.4 Contributions</w:t>
      </w:r>
    </w:p>
    <w:p>
      <w:pPr>
        <w:spacing w:after="160"/>
        <w:jc w:val="both"/>
      </w:pPr>
      <w:r>
        <w:rPr>
          <w:rFonts w:ascii="Arial" w:cs="Arial" w:eastAsia="Arial" w:hAnsi="Arial"/>
          <w:sz w:val="22"/>
          <w:szCs w:val="22"/>
        </w:rPr>
        <w:t>The principal contributions of this work are: (1) a 30-feature extractor incorporating domain-specific transit diagnostics such as secondary eclipse depth, flat-bottom fraction, transit symmetry, and a limb-darkening proxy; (2) a systematic comparison of nine traditional classifiers plus a Stacking meta-ensemble under identical preprocessing, class-balance correction, and cross-validation conditions; (3) integration of SHAP faithfulness, sparsity, and consistency metrics for quantitative assessment of explanation quality; (4) a browser-based visual analytics prototype that fetches live stellar data directly from the NASA Exoplanet Archive without server infrastructure; and (5) a Grad-CAM localisation score and a BiLSTM attention localisation score that quantifies how accurately the CNN attends to the transit window.</w:t>
      </w:r>
    </w:p>
    <w:p>
      <w:pPr>
        <w:pStyle w:val="Heading2"/>
        <w:spacing w:after="120" w:before="240"/>
      </w:pPr>
      <w:r>
        <w:rPr>
          <w:rFonts w:ascii="Arial" w:cs="Arial" w:eastAsia="Arial" w:hAnsi="Arial"/>
          <w:b/>
          <w:bCs/>
          <w:sz w:val="26"/>
          <w:szCs w:val="26"/>
        </w:rPr>
        <w:t xml:space="preserve">1.5 Report Structure</w:t>
      </w:r>
    </w:p>
    <w:p>
      <w:pPr>
        <w:spacing w:after="160"/>
        <w:jc w:val="both"/>
      </w:pPr>
      <w:r>
        <w:rPr>
          <w:rFonts w:ascii="Arial" w:cs="Arial" w:eastAsia="Arial" w:hAnsi="Arial"/>
          <w:sz w:val="22"/>
          <w:szCs w:val="22"/>
        </w:rPr>
        <w:t>Chapter 2 provides background on transit photometry and related machine learning work. Chapter 3 describes the data collection and preprocessing pipeline. Chapter 4 details the feature engineering process. Chapter 5 presents the traditional ML models and training procedure. Chapter 6 describes the DualView CNN and BiLSTM architectures. Chapter 7 covers evaluation methodology and metrics. Chapter 8 presents results and analysis. Chapter 9 introduces the interactive prototype. Chapter 10 discusses limitations and future directions. Chapter 11 concludes the report.</w:t>
      </w:r>
    </w:p>
    <w:p>
      <w:r>
        <w:br w:type="page"/>
      </w:r>
    </w:p>
    <w:p>
      <w:pPr>
        <w:pStyle w:val="Heading1"/>
        <w:spacing w:after="180" w:before="360"/>
      </w:pPr>
      <w:r>
        <w:rPr>
          <w:rFonts w:ascii="Arial" w:cs="Arial" w:eastAsia="Arial" w:hAnsi="Arial"/>
          <w:b/>
          <w:bCs/>
          <w:sz w:val="32"/>
          <w:szCs w:val="32"/>
        </w:rPr>
        <w:t xml:space="preserve">2. Background and Related Work</w:t>
      </w:r>
    </w:p>
    <w:p>
      <w:pPr>
        <w:pStyle w:val="Heading2"/>
        <w:spacing w:after="120" w:before="240"/>
      </w:pPr>
      <w:r>
        <w:rPr>
          <w:rFonts w:ascii="Arial" w:cs="Arial" w:eastAsia="Arial" w:hAnsi="Arial"/>
          <w:b/>
          <w:bCs/>
          <w:sz w:val="26"/>
          <w:szCs w:val="26"/>
        </w:rPr>
        <w:t xml:space="preserve">2.1 Transit Photometry</w:t>
      </w:r>
    </w:p>
    <w:p>
      <w:pPr>
        <w:spacing w:after="160"/>
        <w:jc w:val="both"/>
      </w:pPr>
      <w:r>
        <w:rPr>
          <w:rFonts w:ascii="Arial" w:cs="Arial" w:eastAsia="Arial" w:hAnsi="Arial"/>
          <w:sz w:val="22"/>
          <w:szCs w:val="22"/>
        </w:rPr>
        <w:t xml:space="preserve">When a planet transits its host star — crossing the stellar disc as seen from Earth — it blocks a fraction of the star's light proportional to the square of the ratio of the planet's radius to the stellar radius: ΔF/F = (R_p/R_*)². For a Jupiter-sized planet orbiting a Sun-like star, this depth is approximately 1%; for an Earth-sized planet, it is roughly 100 parts per million (ppm). Both Kepler and TESS measure stellar flux with a cadence of 30 minutes (Kepler long-cadence) to 2 minutes (TESS 2-minute cadence), enabling detection of such minute brightness variations.</w:t>
      </w:r>
    </w:p>
    <w:p>
      <w:pPr>
        <w:spacing w:after="160"/>
        <w:jc w:val="both"/>
      </w:pPr>
      <w:r>
        <w:rPr>
          <w:rFonts w:ascii="Arial" w:cs="Arial" w:eastAsia="Arial" w:hAnsi="Arial"/>
          <w:sz w:val="22"/>
          <w:szCs w:val="22"/>
        </w:rPr>
        <w:t xml:space="preserve">The transit light curve is characterised by four contact points: first and second contact define ingress; third and fourth contact define egress. Key geometric parameters — period, duration, depth, and the ratio of semi-major axis to stellar radius — can be inferred from the folded curve. Real planetary transits exhibit characteristic flat-bottomed profiles (for full, non-grazing transits), symmetric ingress and egress, and no secondary eclipse at phase 0.5. False positives from eclipsing binaries often display a secondary eclipse at half-phase, a V-shaped profile (grazing geometry), or alternating even/odd transit depths.</w:t>
      </w:r>
    </w:p>
    <w:p>
      <w:pPr>
        <w:pStyle w:val="Heading2"/>
        <w:spacing w:after="120" w:before="240"/>
      </w:pPr>
      <w:r>
        <w:rPr>
          <w:rFonts w:ascii="Arial" w:cs="Arial" w:eastAsia="Arial" w:hAnsi="Arial"/>
          <w:b/>
          <w:bCs/>
          <w:sz w:val="26"/>
          <w:szCs w:val="26"/>
        </w:rPr>
        <w:t xml:space="preserve">2.2 Related Machine Learning Work</w:t>
      </w:r>
    </w:p>
    <w:p>
      <w:pPr>
        <w:spacing w:after="160"/>
        <w:jc w:val="both"/>
      </w:pPr>
      <w:r>
        <w:rPr>
          <w:rFonts w:ascii="Arial" w:cs="Arial" w:eastAsia="Arial" w:hAnsi="Arial"/>
          <w:sz w:val="22"/>
          <w:szCs w:val="22"/>
        </w:rPr>
        <w:t xml:space="preserve">Supervised classification of Kepler candidates has been studied extensively. Shallue and Vanderburg (2018) trained a deep CNN on global and local view representations of phase-folded light curves, achieving ~98% accuracy on a large labelled KOI dataset. Ansdell et al. (2018) demonstrated transfer learning from Kepler to K2 targets. Yu et al. (2019) applied a CNN-RNN hybrid, while Armstrong et al. (2021) used a Gaussian process classifier for TESS candidates.</w:t>
      </w:r>
    </w:p>
    <w:p>
      <w:pPr>
        <w:spacing w:after="160"/>
        <w:jc w:val="both"/>
      </w:pPr>
      <w:r>
        <w:rPr>
          <w:rFonts w:ascii="Arial" w:cs="Arial" w:eastAsia="Arial" w:hAnsi="Arial"/>
          <w:sz w:val="22"/>
          <w:szCs w:val="22"/>
        </w:rPr>
        <w:t>Traditional machine learning approaches have also been explored. McCauliff et al. (2015) used random forests with 20 hand-crafted features on Kepler data. Thompson et al. (2015) applied support vector machines. These approaches motivated the feature engineering in this work, extended here with domain diagnostics specifically targeting eclipsing binary false positives. On the deep-learning side, Shallue and Vanderburg (2018) established the dual-view (global plus local) phase-folded representation adopted by the DualView CNN, while Hochreiter and Schmidhuber (1997) introduced the long short-term memory unit that the BiLSTM branch builds on, and Bahdanau et al. (2015) introduced the additive soft-attention mechanism used to weight the recurrence over the phase axis. More recent work has adopted AdamW (Loshchilov and Hutter, 2019) and Focal Loss (Lin et al., 2017) for imbalanced and small-sample regimes, both of which are used here.</w:t>
      </w:r>
    </w:p>
    <w:p>
      <w:pPr>
        <w:spacing w:after="160"/>
        <w:jc w:val="both"/>
      </w:pPr>
      <w:r>
        <w:rPr>
          <w:rFonts w:ascii="Arial" w:cs="Arial" w:eastAsia="Arial" w:hAnsi="Arial"/>
          <w:sz w:val="22"/>
          <w:szCs w:val="22"/>
        </w:rPr>
        <w:t>The present work distinguishes itself by: (1) combining both traditional and deep learning methods in a unified comparison under identical data conditions; (2) introducing a BiLSTM with soft attention as a recurrent counterpart to the convolutional encoder so that both deep architectures are evaluated on identical splits; (3) computing SHAP-based explanation quality metrics; and (4) providing an end-to-end interactive deployment accessible from a static HTML file.</w:t>
      </w:r>
    </w:p>
    <w:p>
      <w:pPr>
        <w:pStyle w:val="Heading2"/>
        <w:spacing w:after="120" w:before="240"/>
      </w:pPr>
      <w:r>
        <w:rPr>
          <w:rFonts w:ascii="Arial" w:cs="Arial" w:eastAsia="Arial" w:hAnsi="Arial"/>
          <w:b/>
          <w:bCs/>
          <w:sz w:val="26"/>
          <w:szCs w:val="26"/>
        </w:rPr>
        <w:t xml:space="preserve">2.3 Class Imbalance in Exoplanet Surveys</w:t>
      </w:r>
    </w:p>
    <w:p>
      <w:pPr>
        <w:spacing w:after="160"/>
        <w:jc w:val="both"/>
      </w:pPr>
      <w:r>
        <w:rPr>
          <w:rFonts w:ascii="Arial" w:cs="Arial" w:eastAsia="Arial" w:hAnsi="Arial"/>
          <w:sz w:val="22"/>
          <w:szCs w:val="22"/>
        </w:rPr>
        <w:t>Confirmed planets represent a small fraction of initial transit candidates. In the Kepler cumulative KOI table, roughly 35% of dispositioned candidates are confirmed planets, while the remainder are false positives or candidates under investigation. Class imbalance biases classifiers towards the majority class. Standard accuracy becomes misleading: a trivial classifier that always predicts "false positive" may achieve 65% accuracy. This work addresses imbalance through: (1) class-weight balancing in all sklearn estimators; (1a) SMOTE over-sampling of the training fold where imbalanced-learn is available; (2) the scale_pos_weight parameter in XGBoost; and (3) primary use of MCC and cross-validated F1, which are both robust to imbalance.</w:t>
      </w:r>
    </w:p>
    <w:p>
      <w:r>
        <w:br w:type="page"/>
      </w:r>
    </w:p>
    <w:p>
      <w:pPr>
        <w:pStyle w:val="Heading1"/>
        <w:spacing w:after="180" w:before="360"/>
      </w:pPr>
      <w:r>
        <w:rPr>
          <w:rFonts w:ascii="Arial" w:cs="Arial" w:eastAsia="Arial" w:hAnsi="Arial"/>
          <w:b/>
          <w:bCs/>
          <w:sz w:val="32"/>
          <w:szCs w:val="32"/>
        </w:rPr>
        <w:t xml:space="preserve">3. Data Pipeline</w:t>
      </w:r>
    </w:p>
    <w:p>
      <w:pPr>
        <w:pStyle w:val="Heading2"/>
        <w:spacing w:after="120" w:before="240"/>
      </w:pPr>
      <w:r>
        <w:rPr>
          <w:rFonts w:ascii="Arial" w:cs="Arial" w:eastAsia="Arial" w:hAnsi="Arial"/>
          <w:b/>
          <w:bCs/>
          <w:sz w:val="26"/>
          <w:szCs w:val="26"/>
        </w:rPr>
        <w:t xml:space="preserve">3.1 Data Sources</w:t>
      </w:r>
    </w:p>
    <w:p>
      <w:pPr>
        <w:spacing w:after="160"/>
        <w:jc w:val="both"/>
      </w:pPr>
      <w:r>
        <w:rPr>
          <w:rFonts w:ascii="Arial" w:cs="Arial" w:eastAsia="Arial" w:hAnsi="Arial"/>
          <w:sz w:val="22"/>
          <w:szCs w:val="22"/>
        </w:rPr>
        <w:t xml:space="preserve">Two NASA data sources are used:</w:t>
      </w:r>
    </w:p>
    <w:p>
      <w:pPr>
        <w:pStyle w:val="ListParagraph"/>
        <w:numPr>
          <w:ilvl w:val="0"/>
          <w:numId w:val="2"/>
        </w:numPr>
        <w:spacing w:after="80"/>
      </w:pPr>
      <w:r>
        <w:rPr>
          <w:rFonts w:ascii="Arial" w:cs="Arial" w:eastAsia="Arial" w:hAnsi="Arial"/>
          <w:sz w:val="22"/>
          <w:szCs w:val="22"/>
        </w:rPr>
        <w:t xml:space="preserve">Kepler Objects of Interest (KOI) Cumulative Table: accessed via the NASA Exoplanet Archive TAP service. Contains per-candidate disposition (CONFIRMED, FALSE POSITIVE, CANDIDATE), orbital parameters, transit depth, duration, and period. Field key: kepoi_name (e.g., K00755.01).</w:t>
      </w:r>
    </w:p>
    <w:p>
      <w:pPr>
        <w:pStyle w:val="ListParagraph"/>
        <w:numPr>
          <w:ilvl w:val="0"/>
          <w:numId w:val="2"/>
        </w:numPr>
        <w:spacing w:after="80"/>
      </w:pPr>
      <w:r>
        <w:rPr>
          <w:rFonts w:ascii="Arial" w:cs="Arial" w:eastAsia="Arial" w:hAnsi="Arial"/>
          <w:sz w:val="22"/>
          <w:szCs w:val="22"/>
        </w:rPr>
        <w:t xml:space="preserve">TESS Objects of Interest (TOI) Table: similarly accessed. Contains TFOPWG disposition, TIC identifier, and orbital period. Used for live prototype lookup of TESS stars.</w:t>
      </w:r>
    </w:p>
    <w:p>
      <w:pPr>
        <w:spacing w:after="160"/>
        <w:jc w:val="both"/>
      </w:pPr>
      <w:r>
        <w:rPr>
          <w:rFonts w:ascii="Arial" w:cs="Arial" w:eastAsia="Arial" w:hAnsi="Arial"/>
          <w:sz w:val="22"/>
          <w:szCs w:val="22"/>
        </w:rPr>
        <w:t xml:space="preserve">Light curves are downloaded programmatically using the lightkurve Python library, which queries the NASA MAST (Mikulski Archive for Space Telescopes) portal. For each KOI, the best-quality SAP (Simple Aperture Photometry) flux light curve is retrieved.</w:t>
      </w:r>
    </w:p>
    <w:p>
      <w:pPr>
        <w:pStyle w:val="Heading2"/>
        <w:spacing w:after="120" w:before="240"/>
      </w:pPr>
      <w:r>
        <w:rPr>
          <w:rFonts w:ascii="Arial" w:cs="Arial" w:eastAsia="Arial" w:hAnsi="Arial"/>
          <w:b/>
          <w:bCs/>
          <w:sz w:val="26"/>
          <w:szCs w:val="26"/>
        </w:rPr>
        <w:t xml:space="preserve">3.2 Star Selection</w:t>
      </w:r>
    </w:p>
    <w:p>
      <w:pPr>
        <w:spacing w:after="160"/>
        <w:jc w:val="both"/>
      </w:pPr>
      <w:r>
        <w:rPr>
          <w:rFonts w:ascii="Arial" w:cs="Arial" w:eastAsia="Arial" w:hAnsi="Arial"/>
          <w:sz w:val="22"/>
          <w:szCs w:val="22"/>
        </w:rPr>
        <w:t>The training dataset consists of 108 KOIs across 69 host stars, selected for class balance and stellar variety:</w:t>
      </w:r>
    </w:p>
    <w:p>
      <w:pPr>
        <w:pStyle w:val="ListParagraph"/>
        <w:numPr>
          <w:ilvl w:val="0"/>
          <w:numId w:val="2"/>
        </w:numPr>
        <w:spacing w:after="80"/>
      </w:pPr>
      <w:r>
        <w:rPr>
          <w:rFonts w:ascii="Arial" w:cs="Arial" w:eastAsia="Arial" w:hAnsi="Arial"/>
          <w:sz w:val="22"/>
          <w:szCs w:val="22"/>
        </w:rPr>
        <w:t>69 confirmed planets and planet candidates, including objects spanning a range of sizes (hot Jupiters, Neptune-sized, super-Earths) and orbital periods from 1 to 30 days. Representative targets include Kepler-1b (K00001.01, hot Jupiter benchmark), Kepler-10b (K00022.01, rocky super-Earth), and Kepler-10c (K00072.01, Mega-Earth). The list also includes 15 TESS Objects of Interest (TOIs) reserved for cross-mission (Kepler to TESS) evaluation; these resolve to 14 unique TIC identifiers because TOI-270b and TOI-270c share a host star.</w:t>
      </w:r>
    </w:p>
    <w:p>
      <w:pPr>
        <w:pStyle w:val="ListParagraph"/>
        <w:numPr>
          <w:ilvl w:val="0"/>
          <w:numId w:val="2"/>
        </w:numPr>
        <w:spacing w:after="80"/>
      </w:pPr>
      <w:r>
        <w:rPr>
          <w:rFonts w:ascii="Arial" w:cs="Arial" w:eastAsia="Arial" w:hAnsi="Arial"/>
          <w:sz w:val="22"/>
          <w:szCs w:val="22"/>
        </w:rPr>
        <w:t>39 known false positives drawn from the KOI cumulative table with disposition CONFIRMED FALSE POSITIVE. These provide a ground-truth negative class for training.</w:t>
      </w:r>
    </w:p>
    <w:p>
      <w:pPr>
        <w:pStyle w:val="Heading2"/>
        <w:spacing w:after="120" w:before="240"/>
      </w:pPr>
      <w:r>
        <w:rPr>
          <w:rFonts w:ascii="Arial" w:cs="Arial" w:eastAsia="Arial" w:hAnsi="Arial"/>
          <w:b/>
          <w:bCs/>
          <w:sz w:val="26"/>
          <w:szCs w:val="26"/>
        </w:rPr>
        <w:t xml:space="preserve">3.3 Preprocessing</w:t>
      </w:r>
    </w:p>
    <w:p>
      <w:pPr>
        <w:spacing w:after="160"/>
        <w:jc w:val="both"/>
      </w:pPr>
      <w:r>
        <w:rPr>
          <w:rFonts w:ascii="Arial" w:cs="Arial" w:eastAsia="Arial" w:hAnsi="Arial"/>
          <w:sz w:val="22"/>
          <w:szCs w:val="22"/>
        </w:rPr>
        <w:t>Each light curve is preprocessed through five sequential steps:</w:t>
      </w:r>
    </w:p>
    <w:p>
      <w:pPr>
        <w:pStyle w:val="ListParagraph"/>
        <w:numPr>
          <w:ilvl w:val="0"/>
          <w:numId w:val="3"/>
        </w:numPr>
        <w:spacing w:after="80"/>
      </w:pPr>
      <w:r>
        <w:rPr>
          <w:rFonts w:ascii="Arial" w:cs="Arial" w:eastAsia="Arial" w:hAnsi="Arial"/>
          <w:sz w:val="22"/>
          <w:szCs w:val="22"/>
        </w:rPr>
        <w:t xml:space="preserve">NaN interpolation: missing flux values are filled using linear interpolation over the time axis.</w:t>
      </w:r>
    </w:p>
    <w:p>
      <w:pPr>
        <w:pStyle w:val="ListParagraph"/>
        <w:numPr>
          <w:ilvl w:val="0"/>
          <w:numId w:val="3"/>
        </w:numPr>
        <w:spacing w:after="80"/>
      </w:pPr>
      <w:r>
        <w:rPr>
          <w:rFonts w:ascii="Arial" w:cs="Arial" w:eastAsia="Arial" w:hAnsi="Arial"/>
          <w:sz w:val="22"/>
          <w:szCs w:val="22"/>
        </w:rPr>
        <w:t xml:space="preserve">Savitzky-Golay detrending: a window-length-51, polynomial-order-3 filter is applied to estimate and remove long-term stellar variability trends, isolating short-duration transit events. The flux is divided by the trend estimate.</w:t>
      </w:r>
    </w:p>
    <w:p>
      <w:pPr>
        <w:pStyle w:val="ListParagraph"/>
        <w:numPr>
          <w:ilvl w:val="0"/>
          <w:numId w:val="3"/>
        </w:numPr>
        <w:spacing w:after="80"/>
      </w:pPr>
      <w:r>
        <w:rPr>
          <w:rFonts w:ascii="Arial" w:cs="Arial" w:eastAsia="Arial" w:hAnsi="Arial"/>
          <w:sz w:val="22"/>
          <w:szCs w:val="22"/>
        </w:rPr>
        <w:t xml:space="preserve">Median normalisation: the detrended flux is divided by its median, setting the out-of-transit baseline to 1.0.</w:t>
      </w:r>
    </w:p>
    <w:p>
      <w:pPr>
        <w:pStyle w:val="ListParagraph"/>
        <w:numPr>
          <w:ilvl w:val="0"/>
          <w:numId w:val="3"/>
        </w:numPr>
        <w:spacing w:after="80"/>
      </w:pPr>
      <w:r>
        <w:rPr>
          <w:rFonts w:ascii="Arial" w:cs="Arial" w:eastAsia="Arial" w:hAnsi="Arial"/>
          <w:sz w:val="22"/>
          <w:szCs w:val="22"/>
        </w:rPr>
        <w:t>Resampling to fixed length: each light curve is resampled via linear interpolation to a fixed length of 2,000 points using numpy.interp. This ensures all inputs to both the feature extractor and the CNN are identically dimensioned.</w:t>
      </w:r>
    </w:p>
    <w:p>
      <w:pPr>
        <w:spacing w:after="160"/>
        <w:jc w:val="both"/>
      </w:pPr>
      <w:r>
        <w:rPr>
          <w:rFonts w:ascii="Arial" w:cs="Arial" w:eastAsia="Arial" w:hAnsi="Arial"/>
          <w:sz w:val="22"/>
          <w:szCs w:val="22"/>
        </w:rPr>
        <w:t>A 200-point transit-centred local view is extracted at the same time for the DualView CNN. Phase folding is performed using the orbital period and epoch retrieved from the KOI table, aligning all transits to phase 0.5 (the centre of the phase axis). The resulting phase-folded, normalised flux array forms the basis for all subsequent analysis.</w:t>
      </w:r>
    </w:p>
    <w:p>
      <w:r>
        <w:br w:type="page"/>
      </w:r>
    </w:p>
    <w:p>
      <w:pPr>
        <w:pStyle w:val="Heading1"/>
        <w:spacing w:after="180" w:before="360"/>
      </w:pPr>
      <w:r>
        <w:rPr>
          <w:rFonts w:ascii="Arial" w:cs="Arial" w:eastAsia="Arial" w:hAnsi="Arial"/>
          <w:b/>
          <w:bCs/>
          <w:sz w:val="32"/>
          <w:szCs w:val="32"/>
        </w:rPr>
        <w:t xml:space="preserve">4. Feature Engineering</w:t>
      </w:r>
    </w:p>
    <w:p>
      <w:pPr>
        <w:pStyle w:val="Heading2"/>
        <w:spacing w:after="120" w:before="240"/>
      </w:pPr>
      <w:r>
        <w:rPr>
          <w:rFonts w:ascii="Arial" w:cs="Arial" w:eastAsia="Arial" w:hAnsi="Arial"/>
          <w:b/>
          <w:bCs/>
          <w:sz w:val="26"/>
          <w:szCs w:val="26"/>
        </w:rPr>
        <w:t xml:space="preserve">4.1 Overview</w:t>
      </w:r>
    </w:p>
    <w:p>
      <w:pPr>
        <w:spacing w:after="160"/>
        <w:jc w:val="both"/>
      </w:pPr>
      <w:r>
        <w:rPr>
          <w:rFonts w:ascii="Arial" w:cs="Arial" w:eastAsia="Arial" w:hAnsi="Arial"/>
          <w:sz w:val="22"/>
          <w:szCs w:val="22"/>
        </w:rPr>
        <w:t>Traditional machine learning classifiers operate on fixed-length feature vectors rather than raw sequences. Thirty features are extracted</w:t>
      </w:r>
    </w:p>
    <w:p>
      <w:pPr>
        <w:pStyle w:val="Heading2"/>
        <w:spacing w:after="120" w:before="240"/>
      </w:pPr>
      <w:r>
        <w:rPr>
          <w:rFonts w:ascii="Arial" w:cs="Arial" w:eastAsia="Arial" w:hAnsi="Arial"/>
          <w:b/>
          <w:bCs/>
          <w:sz w:val="26"/>
          <w:szCs w:val="26"/>
        </w:rPr>
        <w:t xml:space="preserve">4.2 Feature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2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9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Diagnostic Value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transit_depth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Median flux minus minimum flux measures the depth of the dip.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Strength of transit signal</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transit_duration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 of the phase axis inside the transit (points below the half-depth threshold).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Geometry of transit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Depth divided by out-of-transit standard deviation.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Signal quality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even_odd_diff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Absolute difference between even and odd half-orbit depths.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Alternating-depth (eclipsing binary) check</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centroid_skew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Skewness of the flux distribution; proxy for photometric asymmetry.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Flux asymmetry (centroid proxy)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kurtosis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Fourth standardized moment of the flux distribution.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Outlier sensitivity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deviation of the full phase-folded sequence.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Overall scatter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of the normalized flux (approximately 1.0 for clean 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offset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p5_p95_range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95th minus 5th percentile flux range.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Flux dynamic range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secondary_depth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flux in the phase 0.45-0.55 window.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Secondary-eclipse depth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secondary_ratio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Secondary depth divided by primary depth.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Ratio &gt; 0.5 strongly suggests a binary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flat_fraction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 of in-transit points within 80% of the maximum depth.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Flat-bottom vs V-shape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transit_symmetry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ingress vs egress flux difference inside the transit.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transits are symmetric</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oot_range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Out-of-transit 1st-99th percentile range.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Stellar variability / systematics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depth_snr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Depth divided by full-curve standard deviation.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Alternative SNR estimate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transit_count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of in-transit data points.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 proxy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ld_proxy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Quadratic fit curvature inside the transit.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Limb-darkening signature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scatter_ratio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In-transit std divided by out-of-transit std.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In-transit noise structure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vshape_index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(In-transit mean - minimum) / depth.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V-shape geometry (grazing binary)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fold_quality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Variance of the folded flux.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Phase-fold coherence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in_out_noise_diff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Absolute difference of in-transit and out-of-transit std.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Noise contrast inside vs outside transit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transit_fill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In-transit fraction (equals transit_duration).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Redundant duration proxy (kept for completeness)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bottom_flatness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Std of the deepest 50% of in-transit points, normalized by depth.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Flat-bottom quality of the transit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sec03_ratio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Secondary depth at phase 0.27-0.33, normalized by primary depth.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Eccentric-binary secondary eclipse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sec07_ratio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Secondary depth at phase 0.67-0.73, normalized by primary depth.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Eccentric-binary secondary eclipse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half_period_depth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Eclipse depth near phase 0.0, normalized by primary depth.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Equal-depth eclipsing-binary indicator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snr_robust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Depth divided by 1.4826 x MAD of out-of-transit flux.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Outlier-robust SNR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transit_phase_shift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Absolute difference between the phase of the flux minimum and 0.5.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Phase-fold misalignment (poorly folded EB)</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outlier_fraction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 of out-of-transit points more than 3 sigma from the median.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Stellar variability (spotted stars)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ingress_proxy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absolute slope at the two transit edges, normalized by depth.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Steep (binary) vs gradual (planet) ingress</w:t>
            </w:r>
          </w:p>
        </w:tc>
      </w:tr>
    </w:tbl>
    <w:p>
      <w:pPr>
        <w:spacing w:after="200"/>
      </w:pPr>
    </w:p>
    <w:p>
      <w:pPr>
        <w:pStyle w:val="Heading2"/>
        <w:spacing w:after="120" w:before="240"/>
      </w:pPr>
      <w:r>
        <w:rPr>
          <w:rFonts w:ascii="Arial" w:cs="Arial" w:eastAsia="Arial" w:hAnsi="Arial"/>
          <w:b/>
          <w:bCs/>
          <w:sz w:val="26"/>
          <w:szCs w:val="26"/>
        </w:rPr>
        <w:t xml:space="preserve">4.3 Feature Standardisation</w:t>
      </w:r>
    </w:p>
    <w:p>
      <w:pPr>
        <w:spacing w:after="160"/>
        <w:jc w:val="both"/>
      </w:pPr>
      <w:r>
        <w:rPr>
          <w:rFonts w:ascii="Arial" w:cs="Arial" w:eastAsia="Arial" w:hAnsi="Arial"/>
          <w:sz w:val="22"/>
          <w:szCs w:val="22"/>
        </w:rPr>
        <w:t>Features are scaled with scikit-learn's RobustScaler, which is fitted on the training fold only and applied unchanged to the validation and held-out test folds to prevent leakage. RobustScaler uses the median and the inter-quartile range rather than the mean and standard deviation, so a handful of large outliers in transit depth or standard deviation cannot compress the scale of the remaining features. The scaler is wrapped inside a Pipeline for the scale-sensitive classifiers (Logistic Regression, KNN, SVM, MLP). All 30 features are scaled in this way before being passed to scale-sensitive classifiers. Tree-based models (Decision Tree, Random Forest, Extra Trees, XGBoost, LightGBM) receive un-scaled features, as scaling does not affect split-point selection.</w:t>
      </w:r>
    </w:p>
    <w:p>
      <w:r>
        <w:br w:type="page"/>
      </w:r>
    </w:p>
    <w:p>
      <w:pPr>
        <w:pStyle w:val="Heading1"/>
        <w:spacing w:after="180" w:before="360"/>
      </w:pPr>
      <w:r>
        <w:rPr>
          <w:rFonts w:ascii="Arial" w:cs="Arial" w:eastAsia="Arial" w:hAnsi="Arial"/>
          <w:b/>
          <w:bCs/>
          <w:sz w:val="32"/>
          <w:szCs w:val="32"/>
        </w:rPr>
        <w:t xml:space="preserve">5. Traditional Machine Learning Models</w:t>
      </w:r>
    </w:p>
    <w:p>
      <w:pPr>
        <w:pStyle w:val="Heading2"/>
        <w:spacing w:after="120" w:before="240"/>
      </w:pPr>
      <w:r>
        <w:rPr>
          <w:rFonts w:ascii="Arial" w:cs="Arial" w:eastAsia="Arial" w:hAnsi="Arial"/>
          <w:b/>
          <w:bCs/>
          <w:sz w:val="26"/>
          <w:szCs w:val="26"/>
        </w:rPr>
        <w:t xml:space="preserve">5.1 Model Zoo</w:t>
      </w:r>
    </w:p>
    <w:p>
      <w:pPr>
        <w:spacing w:after="160"/>
        <w:jc w:val="both"/>
      </w:pPr>
      <w:r>
        <w:rPr>
          <w:rFonts w:ascii="Arial" w:cs="Arial" w:eastAsia="Arial" w:hAnsi="Arial"/>
          <w:sz w:val="22"/>
          <w:szCs w:val="22"/>
        </w:rPr>
        <w:t>Nine traditional classifiers are trained and evaluated on the 30-feature dataset, and a Stacking ensemble is fitted on top of the five strongest base learners. The models span a range of algorithmic families to ensure a thorough comparative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5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Family</w:t>
            </w:r>
          </w:p>
        </w:tc>
        <w:tc>
          <w:tcPr>
            <w:tcW w:type="dxa" w:w="48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Key Hyperparameters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 Regression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Linear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RobustScaler + LogisticRegression(max_iter=3000, C=0.5, class_weight=balanced, solver=saga)</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Tree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Non-linear tree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max_depth=5, min_samples_leaf=2, class_weight=balanced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Instance-based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RobustScaler + KNeighborsClassifier(k=min(3, n_train-1), weights=distance, metric=manhattan)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SVM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Kernel method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RobustScaler + SVC(kernel=rbf, C=3.0, gamma=scale, class_weight=balanced, probability=True)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Ensemble (bagging)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Optuna/grid-tuned (400 trees, max_features=sqrt), class_weight=balanced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 Trees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Ensemble (bagging)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Optuna/grid-tuned (400 trees, max_features=sqrt), class_weight=balanced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Neural network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RobustScaler + MLPClassifier(hidden_layer_sizes=(256,128,64), max_iter=800, alpha=1e-3, early_stopping=True)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XGBoost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 boosting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Optuna-tuned (25 trials; depth 3-7, lr 0.005-0.1, 200-600 trees), scale_pos_weight=n_neg/n_pos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LightGBM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 boosting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Optuna-tuned (25 trials; 15-63 leaves, lr 0.005-0.1), class_weight=balanced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Stacking Ensemble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Meta-ensemble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StackingClassifier over RF, ET, XGB, SVM, LR (and LightGBM when installed) with an LR meta-learner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DualView CNN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 learning (1D CNN)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Dual-view encoder (2,000-pt global + 200-pt local), channel-attention gate, 192-64-2 head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BiLSTM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 learning (recurrent)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Bidirectional LSTM (2 layers, hidden 64) with soft attention over the phase axis</w:t>
            </w:r>
          </w:p>
        </w:tc>
      </w:tr>
    </w:tbl>
    <w:p>
      <w:pPr>
        <w:spacing w:after="200"/>
      </w:pPr>
    </w:p>
    <w:p>
      <w:pPr>
        <w:pStyle w:val="Heading2"/>
        <w:spacing w:after="120" w:before="240"/>
      </w:pPr>
      <w:r>
        <w:rPr>
          <w:rFonts w:ascii="Arial" w:cs="Arial" w:eastAsia="Arial" w:hAnsi="Arial"/>
          <w:b/>
          <w:bCs/>
          <w:sz w:val="26"/>
          <w:szCs w:val="26"/>
        </w:rPr>
        <w:t xml:space="preserve">5.2 Class Imbalance Handling</w:t>
      </w:r>
    </w:p>
    <w:p>
      <w:pPr>
        <w:spacing w:after="160"/>
        <w:jc w:val="both"/>
      </w:pPr>
      <w:r>
        <w:rPr>
          <w:rFonts w:ascii="Arial" w:cs="Arial" w:eastAsia="Arial" w:hAnsi="Arial"/>
          <w:sz w:val="22"/>
          <w:szCs w:val="22"/>
        </w:rPr>
        <w:t>Class imbalance is corrected at the algorithm level rather than through resampling, to avoid introducing synthetic data artefacts into a small training set. All scikit-learn estimators that accept a class_weight parameter are instantiated with class_weight="balanced", which internally multiplies each sample's loss contribution by n_samples / (n_classes × n_samples_per_class). XGBoost uses scale_pos_weight=n_negative/n_positive, which reweights the positive class gradient during boosting. Random Forest, Extra Trees, XGBoost, and LightGBM are additionally tuned: Random Forest and Extra Trees through a randomised search and XGBoost and LightGBM through an Optuna Bayesian study of 25 trials each, both optimising 3-fold cross-validated F1. The Stacking ensemble generates out-of-fold predictions from its base learners with a stratified k-fold splitter and trains a logistic-regression meta-learner on them, which learns how much to trust each base learner rather than averaging them uniformly. This approach preserves the original data distribution while counteracting the majority-class bias.</w:t>
      </w:r>
    </w:p>
    <w:p>
      <w:pPr>
        <w:pStyle w:val="Heading2"/>
        <w:spacing w:after="120" w:before="240"/>
      </w:pPr>
      <w:r>
        <w:rPr>
          <w:rFonts w:ascii="Arial" w:cs="Arial" w:eastAsia="Arial" w:hAnsi="Arial"/>
          <w:b/>
          <w:bCs/>
          <w:sz w:val="26"/>
          <w:szCs w:val="26"/>
        </w:rPr>
        <w:t xml:space="preserve">5.3 Train/Test Split and Cross-Validation</w:t>
      </w:r>
    </w:p>
    <w:p>
      <w:pPr>
        <w:spacing w:after="160"/>
        <w:jc w:val="both"/>
      </w:pPr>
      <w:r>
        <w:rPr>
          <w:rFonts w:ascii="Arial" w:cs="Arial" w:eastAsia="Arial" w:hAnsi="Arial"/>
          <w:sz w:val="22"/>
          <w:szCs w:val="22"/>
        </w:rPr>
        <w:t>The dataset is split by host star rather than by row, using scikit-learn's GroupShuffleSplit with the KIC identifier as the grouping variable. This is essential because a single KOI table contains several planets per star, and a row-level split would place transits of the same star in both the training and the test set, inflating the reported performance. The held-out test fold is carved out first with test_size=0.15 and random_state=99, and the remaining stars are then split 80/20 into training and validation with test_size=0.2 and random_state=42. The test fold is locked and used only for final evaluation. A single 80/20 (train/test) split on a dataset of this size has high variance; a model could appear to perform well or poorly by chance. To mitigate this, 5-fold stratified cross-validation is run on the training data for each classifier using scikit-learn's cross_val_score with scoring="f1". The number of folds k is set to min(5, min(n_positive, n_negative)) to prevent empty folds in the case of severe imbalance. The mean and standard deviation of the cross-validation F1 scores (cv_f1_mean +/- cv_f1_std) are reported alongside single-split metrics and provide a more reliable estimate of generalisation ability.</w:t>
      </w:r>
    </w:p>
    <w:p>
      <w:pPr>
        <w:pStyle w:val="Heading2"/>
        <w:spacing w:after="120" w:before="240"/>
      </w:pPr>
      <w:r>
        <w:rPr>
          <w:rFonts w:ascii="Arial" w:cs="Arial" w:eastAsia="Arial" w:hAnsi="Arial"/>
          <w:b/>
          <w:bCs/>
          <w:sz w:val="26"/>
          <w:szCs w:val="26"/>
        </w:rPr>
        <w:t xml:space="preserve">5.4 SHAP Explainability</w:t>
      </w:r>
    </w:p>
    <w:p>
      <w:pPr>
        <w:spacing w:after="160"/>
        <w:jc w:val="both"/>
      </w:pPr>
      <w:r>
        <w:rPr>
          <w:rFonts w:ascii="Arial" w:cs="Arial" w:eastAsia="Arial" w:hAnsi="Arial"/>
          <w:sz w:val="22"/>
          <w:szCs w:val="22"/>
        </w:rPr>
        <w:t xml:space="preserve">SHAP (SHapley Additive exPlanations) values are computed for the XGBoost model using a TreeExplainer. SHAP provides a game-theoretic attribution of each feature's contribution to each prediction. Three quantitative explainability metrics are derived:</w:t>
      </w:r>
    </w:p>
    <w:p>
      <w:pPr>
        <w:pStyle w:val="ListParagraph"/>
        <w:numPr>
          <w:ilvl w:val="0"/>
          <w:numId w:val="2"/>
        </w:numPr>
        <w:spacing w:after="80"/>
      </w:pPr>
      <w:r>
        <w:rPr>
          <w:rFonts w:ascii="Arial" w:cs="Arial" w:eastAsia="Arial" w:hAnsi="Arial"/>
          <w:sz w:val="22"/>
          <w:szCs w:val="22"/>
        </w:rPr>
        <w:t xml:space="preserve">Faithfulness drop: the accuracy decrease when the top-3 SHAP-ranked features are masked to their training median. A larger drop indicates that the explanation correctly identifies the most impactful features.</w:t>
      </w:r>
    </w:p>
    <w:p>
      <w:pPr>
        <w:pStyle w:val="ListParagraph"/>
        <w:numPr>
          <w:ilvl w:val="0"/>
          <w:numId w:val="2"/>
        </w:numPr>
        <w:spacing w:after="80"/>
      </w:pPr>
      <w:r>
        <w:rPr>
          <w:rFonts w:ascii="Arial" w:cs="Arial" w:eastAsia="Arial" w:hAnsi="Arial"/>
          <w:sz w:val="22"/>
          <w:szCs w:val="22"/>
        </w:rPr>
        <w:t xml:space="preserve">Sparsity: the fraction of absolute SHAP values below 0.01. High sparsity means the model relies on a small subset of features, which is desirable for interpretability.</w:t>
      </w:r>
    </w:p>
    <w:p>
      <w:pPr>
        <w:pStyle w:val="ListParagraph"/>
        <w:numPr>
          <w:ilvl w:val="0"/>
          <w:numId w:val="2"/>
        </w:numPr>
        <w:spacing w:after="80"/>
      </w:pPr>
      <w:r>
        <w:rPr>
          <w:rFonts w:ascii="Arial" w:cs="Arial" w:eastAsia="Arial" w:hAnsi="Arial"/>
          <w:sz w:val="22"/>
          <w:szCs w:val="22"/>
        </w:rPr>
        <w:t xml:space="preserve">Consistency: the mean Spearman rank correlation of SHAP feature importance vectors across all pairs of training samples. High consistency (near 1.0) indicates that the explanation is stable across different inputs.</w:t>
      </w:r>
    </w:p>
    <w:p>
      <w:r>
        <w:br w:type="page"/>
      </w:r>
    </w:p>
    <w:p>
      <w:pPr>
        <w:pStyle w:val="Heading1"/>
        <w:spacing w:after="180" w:before="360"/>
      </w:pPr>
      <w:r>
        <w:rPr>
          <w:rFonts w:ascii="Arial" w:cs="Arial" w:eastAsia="Arial" w:hAnsi="Arial"/>
          <w:b/>
          <w:bCs/>
          <w:sz w:val="32"/>
          <w:szCs w:val="32"/>
        </w:rPr>
        <w:t>6. Deep Learning: DualView CNN and BiLSTM</w:t>
      </w:r>
    </w:p>
    <w:p>
      <w:pPr>
        <w:pStyle w:val="Heading2"/>
        <w:spacing w:after="120" w:before="240"/>
      </w:pPr>
      <w:r>
        <w:rPr>
          <w:rFonts w:ascii="Arial" w:cs="Arial" w:eastAsia="Arial" w:hAnsi="Arial"/>
          <w:b/>
          <w:bCs/>
          <w:sz w:val="26"/>
          <w:szCs w:val="26"/>
        </w:rPr>
        <w:t xml:space="preserve">6.1 Architecture</w:t>
      </w:r>
    </w:p>
    <w:p>
      <w:pPr>
        <w:spacing w:after="160"/>
        <w:jc w:val="both"/>
      </w:pPr>
      <w:r>
        <w:rPr>
          <w:rFonts w:ascii="Arial" w:cs="Arial" w:eastAsia="Arial" w:hAnsi="Arial"/>
          <w:sz w:val="22"/>
          <w:szCs w:val="22"/>
        </w:rPr>
        <w:t>The DualView CNN operates directly on the phase-folded flux sequence, treating it as a 1D signal with a single input channel. It receives two parallel views of the same target: a 2,000-point global view covering the full phase axis, which captures the periodic context and any secondary eclipse, and a 200-point local view centred on the transit (phase 0.5 +/- 0.07), which resolves the transit shape in detail (flat bottom versus V-shape, and ingress/egress slope). This dual-view design follows Shallue and Vanderburg (2018) and is implemented in PyTorch. The architecture consists of a shared convolutional encoder applied to each view, a channel-attention fusion gate, and a fully connected classification head. A bidirectional LSTM with soft attention is trained as a second, recurrent deep branch on the global view.</w:t>
      </w:r>
    </w:p>
    <w:p>
      <w:pPr>
        <w:spacing w:after="160"/>
        <w:jc w:val="both"/>
      </w:pPr>
      <w:r>
        <w:rPr>
          <w:rFonts w:ascii="Arial" w:cs="Arial" w:eastAsia="Arial" w:hAnsi="Arial"/>
          <w:sz w:val="22"/>
          <w:szCs w:val="22"/>
        </w:rPr>
        <w:t>The shared encoder (ViewEncoder) applied to each view contains: a strided 1D convolution with batch normalisation and GELU activation, followed by max pooling to reduce temporal resolution; a residual block with a skip connection to help gradient flow; a second strided convolution; a second residual block; and a final 128-channel convolution whose activations are the Grad-CAM target. Adaptive global-average pooling then collapses the temporal dimension to a fixed-size embedding, projected to 128 dimensions for the global branch and 64 dimensions for the local branch. The specific configuration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600"/>
        <w:gridCol w:w="1800"/>
        <w:gridCol w:w="1360"/>
      </w:tblGrid>
      <w:tr>
        <w:trPr>
          <w:tblHeader/>
        </w:trPr>
        <w:tc>
          <w:tcPr>
            <w:tcW w:type="dxa" w:w="18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12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Out channels</w:t>
            </w:r>
          </w:p>
        </w:tc>
        <w:tc>
          <w:tcPr>
            <w:tcW w:type="dxa" w:w="16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Kernel / head</w:t>
            </w:r>
          </w:p>
        </w:tc>
        <w:tc>
          <w:tcPr>
            <w:tcW w:type="dxa" w:w="16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18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Pool</w:t>
            </w:r>
          </w:p>
        </w:tc>
        <w:tc>
          <w:tcPr>
            <w:tcW w:type="dxa" w:w="13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Dropout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(global)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x 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phase-folded flux sequence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(local)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x 200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Transit-centred zoomed view (phase 0.5 +/- 0.07)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layer1 + res1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Conv1d(1,32,k=7) + BN + GELU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Strided downsampling block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MaxPool1d(4)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layer2 + res2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Conv1d(32,64,k=5) + BN + GELU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Strided downsampling block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MaxPool1d(4)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layer3 (Grad-CAM target)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Conv1d(64,128,k=3) + BN + GELU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conv; Grad-CAM hooks this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gap + proj</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AdaptiveAvgPool1d(1) + Linear + GELU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Collapses the temporal dimension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0.35</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 embedding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g_dim=128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of the shared encoder for the global 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embedding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l_dim=64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encoder, lower projection dimension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Concat + attention 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SE-style gate, bottleneck 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Re-weights the 192 embedding dims before the head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Linear(192-64) + GELU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Fully connected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Linear(64-2)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Logits for [non-planet, planet]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BiLSTM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LSTM(1, 64, L=2, bidirectional)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Soft-attention pool over time steps; exported as an attention 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w:t>
            </w:r>
          </w:p>
        </w:tc>
      </w:tr>
    </w:tbl>
    <w:p>
      <w:pPr>
        <w:spacing w:after="160"/>
      </w:pPr>
    </w:p>
    <w:p>
      <w:pPr>
        <w:spacing w:after="160"/>
        <w:jc w:val="both"/>
      </w:pPr>
      <w:r>
        <w:rPr>
          <w:rFonts w:ascii="Arial" w:cs="Arial" w:eastAsia="Arial" w:hAnsi="Arial"/>
          <w:sz w:val="22"/>
          <w:szCs w:val="22"/>
        </w:rPr>
        <w:t>The two embeddings are concatenated into a 192-dimensional vector and passed through a squeeze-and-excitation style channel-attention gate, which learns to re-weight the embedding dimensions so the network can favour the view that is more diagnostic for a given target. The gated vector is then mapped by the fully connected head from 192 to 64 units (GELU, Dropout 0.4) and finally to 2 output logits (planet vs. non-planet). The BiLSTM branch instead processes the global sequence with two stacked bidirectional LSTM layers of hidden size 64, producing a context vector at every time step. A soft-attention layer scores each time step against a learned query vector, normalises the scores with a softmax, and forms a weighted sum of the hidden states. This attention context vector is the recurrent branch's own localisation signal: its mass over the transit window indicates where the model is looking.</w:t>
      </w:r>
    </w:p>
    <w:p>
      <w:pPr>
        <w:pStyle w:val="Heading2"/>
        <w:spacing w:after="120" w:before="240"/>
      </w:pPr>
      <w:r>
        <w:rPr>
          <w:rFonts w:ascii="Arial" w:cs="Arial" w:eastAsia="Arial" w:hAnsi="Arial"/>
          <w:b/>
          <w:bCs/>
          <w:sz w:val="26"/>
          <w:szCs w:val="26"/>
        </w:rPr>
        <w:t xml:space="preserve">6.2 Training Configuration</w:t>
      </w:r>
    </w:p>
    <w:p>
      <w:pPr>
        <w:pStyle w:val="ListParagraph"/>
        <w:numPr>
          <w:ilvl w:val="0"/>
          <w:numId w:val="2"/>
        </w:numPr>
        <w:spacing w:after="80"/>
      </w:pPr>
      <w:r>
        <w:rPr>
          <w:rFonts w:ascii="Arial" w:cs="Arial" w:eastAsia="Arial" w:hAnsi="Arial"/>
          <w:sz w:val="22"/>
          <w:szCs w:val="22"/>
        </w:rPr>
        <w:t xml:space="preserve">Loss function: Focal Loss (gamma = 2.0) with inverse-frequency class weights, which down-weights easy examples and focuses optimisation on the imbalanced positive class. Optimiser: AdamW, learning rate 5 x 10^-4, weight decay 3 x 10^-4, with a CosineAnnealingWarmRestarts schedule (T_0 = 20, eta_min = 5 x 10^-6). Epochs: 80. Batch size: 16. Augmentation: Gaussian noise plus a random circular shift on the global view, with Mixup (alpha = 0.15) on mini-batches. </w:t>
      </w:r>
    </w:p>
    <w:p>
      <w:pPr>
        <w:pStyle w:val="ListParagraph"/>
        <w:numPr>
          <w:ilvl w:val="0"/>
          <w:numId w:val="2"/>
        </w:numPr>
        <w:spacing w:after="80"/>
      </w:pPr>
      <w:r>
        <w:rPr>
          <w:rFonts w:ascii="Arial" w:cs="Arial" w:eastAsia="Arial" w:hAnsi="Arial"/>
          <w:sz w:val="22"/>
          <w:szCs w:val="22"/>
        </w:rPr>
        <w:t>Optimiser: AdamW, learning rate 5 x 10^-4, weight decay 3 x 10^-4.</w:t>
      </w:r>
    </w:p>
    <w:p>
      <w:pPr>
        <w:pStyle w:val="ListParagraph"/>
        <w:numPr>
          <w:ilvl w:val="0"/>
          <w:numId w:val="2"/>
        </w:numPr>
        <w:spacing w:after="80"/>
      </w:pPr>
      <w:r>
        <w:rPr>
          <w:rFonts w:ascii="Arial" w:cs="Arial" w:eastAsia="Arial" w:hAnsi="Arial"/>
          <w:sz w:val="22"/>
          <w:szCs w:val="22"/>
        </w:rPr>
        <w:t>Epochs: 80. The best validation F1 checkpoint is restored before evaluation.</w:t>
      </w:r>
    </w:p>
    <w:p>
      <w:pPr>
        <w:pStyle w:val="ListParagraph"/>
        <w:numPr>
          <w:ilvl w:val="0"/>
          <w:numId w:val="2"/>
        </w:numPr>
        <w:spacing w:after="80"/>
      </w:pPr>
      <w:r>
        <w:rPr>
          <w:rFonts w:ascii="Arial" w:cs="Arial" w:eastAsia="Arial" w:hAnsi="Arial"/>
          <w:sz w:val="22"/>
          <w:szCs w:val="22"/>
        </w:rPr>
        <w:t>Batch size: 16.</w:t>
      </w:r>
    </w:p>
    <w:p>
      <w:pPr>
        <w:pStyle w:val="ListParagraph"/>
        <w:numPr>
          <w:ilvl w:val="0"/>
          <w:numId w:val="2"/>
        </w:numPr>
        <w:spacing w:after="80"/>
      </w:pPr>
      <w:r>
        <w:rPr>
          <w:rFonts w:ascii="Arial" w:cs="Arial" w:eastAsia="Arial" w:hAnsi="Arial"/>
          <w:sz w:val="22"/>
          <w:szCs w:val="22"/>
        </w:rPr>
        <w:t>Device: CUDA GPU if available in the Colab runtime; CPU otherwise. Both deep branches are trained on the identical host-star-grouped train/validation folds used for the tabular models.</w:t>
      </w:r>
    </w:p>
    <w:p>
      <w:pPr>
        <w:pStyle w:val="ListParagraph"/>
        <w:numPr>
          <w:ilvl w:val="0"/>
          <w:numId w:val="2"/>
        </w:numPr>
        <w:spacing w:after="80"/>
      </w:pPr>
      <w:r>
        <w:rPr>
          <w:rFonts w:ascii="Arial" w:cs="Arial" w:eastAsia="Arial" w:hAnsi="Arial"/>
          <w:sz w:val="22"/>
          <w:szCs w:val="22"/>
        </w:rPr>
        <w:t>Validation split: the 20% validation fold carved from the non-test stars, using the same host-star GroupShuffleSplit as the ML models; the locked 15% test fold is never used for training or model selection.</w:t>
      </w:r>
    </w:p>
    <w:p>
      <w:pPr>
        <w:pStyle w:val="Heading2"/>
        <w:spacing w:after="120" w:before="240"/>
      </w:pPr>
      <w:r>
        <w:rPr>
          <w:rFonts w:ascii="Arial" w:cs="Arial" w:eastAsia="Arial" w:hAnsi="Arial"/>
          <w:b/>
          <w:bCs/>
          <w:sz w:val="26"/>
          <w:szCs w:val="26"/>
        </w:rPr>
        <w:t xml:space="preserve">6.3 Grad-CAM Localisation</w:t>
      </w:r>
    </w:p>
    <w:p>
      <w:pPr>
        <w:spacing w:after="160"/>
        <w:jc w:val="both"/>
      </w:pPr>
      <w:r>
        <w:rPr>
          <w:rFonts w:ascii="Arial" w:cs="Arial" w:eastAsia="Arial" w:hAnsi="Arial"/>
          <w:sz w:val="22"/>
          <w:szCs w:val="22"/>
        </w:rPr>
        <w:t>Gradient-weighted Class Activation Mapping (Grad-CAM) is applied to the output of the final convolutional layer of the global branch encoder (global_enc.layer3). For a given input light curve and target class (planet=1), the gradient of the target class logit with respect to the feature maps of the final 128-channel convolution (global_enc.layer3) is computed. The channel-wise mean of these gradients weights the feature maps, and a ReLU is applied to retain only positively contributing regions. The resulting 1D activation map is upsampled back to the input length (2,000 points) via linear interpolation and normalised to [0, 1].</w:t>
      </w:r>
    </w:p>
    <w:p>
      <w:pPr>
        <w:spacing w:after="160"/>
        <w:jc w:val="both"/>
      </w:pPr>
      <w:r>
        <w:rPr>
          <w:rFonts w:ascii="Arial" w:cs="Arial" w:eastAsia="Arial" w:hAnsi="Arial"/>
          <w:sz w:val="22"/>
          <w:szCs w:val="22"/>
        </w:rPr>
        <w:t xml:space="preserve">A Grad-CAM localisation score is defined as the fraction of total activation energy falling within the transit window (phase 0.45 to 0.55). A score near 1.0 indicates that the CNN is attending to the transit region, confirming physically meaningful behaviour. A score near 0.1 (the expected random baseline for a window covering 10% of the phase axis) would indicate that the network is attending to noise.</w:t>
      </w:r>
    </w:p>
    <w:p>
      <w:r>
        <w:br w:type="page"/>
      </w:r>
    </w:p>
    <w:p>
      <w:pPr>
        <w:pStyle w:val="Heading1"/>
        <w:spacing w:after="180" w:before="360"/>
      </w:pPr>
      <w:r>
        <w:rPr>
          <w:rFonts w:ascii="Arial" w:cs="Arial" w:eastAsia="Arial" w:hAnsi="Arial"/>
          <w:b/>
          <w:bCs/>
          <w:sz w:val="32"/>
          <w:szCs w:val="32"/>
        </w:rPr>
        <w:t xml:space="preserve">7. Evaluation Methodology</w:t>
      </w:r>
    </w:p>
    <w:p>
      <w:pPr>
        <w:pStyle w:val="Heading2"/>
        <w:spacing w:after="120" w:before="240"/>
      </w:pPr>
      <w:r>
        <w:rPr>
          <w:rFonts w:ascii="Arial" w:cs="Arial" w:eastAsia="Arial" w:hAnsi="Arial"/>
          <w:b/>
          <w:bCs/>
          <w:sz w:val="26"/>
          <w:szCs w:val="26"/>
        </w:rPr>
        <w:t xml:space="preserve">7.1 Metrics</w:t>
      </w:r>
    </w:p>
    <w:p>
      <w:pPr>
        <w:spacing w:after="160"/>
        <w:jc w:val="both"/>
      </w:pPr>
      <w:r>
        <w:rPr>
          <w:rFonts w:ascii="Arial" w:cs="Arial" w:eastAsia="Arial" w:hAnsi="Arial"/>
          <w:sz w:val="22"/>
          <w:szCs w:val="22"/>
        </w:rPr>
        <w:t xml:space="preserve">Six primary metrics are reported for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rPr>
          <w:tblHeader/>
        </w:trPr>
        <w:tc>
          <w:tcPr>
            <w:tcW w:type="dxa" w:w="20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66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370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tcPr>
          <w:p>
            <w:r>
              <w:rPr>
                <w:rFonts w:ascii="Arial" w:cs="Arial" w:eastAsia="Arial" w:hAnsi="Arial"/>
                <w:b/>
                <w:bCs/>
                <w:sz w:val="20"/>
                <w:szCs w:val="20"/>
              </w:rPr>
              <w:t xml:space="preserve">Why Used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(TP+TN)/(TP+TN+FP+FN)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misleading under imbalance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TP/(TP+FP)</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 of planet predictions that are correct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TP/(TP+FN)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 of planets that are detected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 Score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2·Precision·Recall/(P+R)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Harmonic mean; penalises imbalanced P/R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AUC-ROC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Area under ROC curve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Threshold-independent discrimination ability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(TP·TN−FP·FN)/√((TP+FP)(TP+FN)(TN+FP)(TN+FN))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 single-number metric under imbalance; ranges −1 to +1</w:t>
            </w:r>
          </w:p>
        </w:tc>
      </w:tr>
    </w:tbl>
    <w:p>
      <w:pPr>
        <w:spacing w:after="160"/>
      </w:pPr>
    </w:p>
    <w:p>
      <w:pPr>
        <w:spacing w:after="160"/>
        <w:jc w:val="both"/>
      </w:pPr>
      <w:r>
        <w:rPr>
          <w:rFonts w:ascii="Arial" w:cs="Arial" w:eastAsia="Arial" w:hAnsi="Arial"/>
          <w:sz w:val="22"/>
          <w:szCs w:val="22"/>
        </w:rPr>
        <w:t xml:space="preserve">The Matthews Correlation Coefficient (MCC) is given particular weight in this evaluation. Unlike accuracy and F1, MCC considers all four cells of the confusion matrix symmetrically and ranges from −1 (inverse prediction) to 0 (random) to +1 (perfect prediction). For small, imbalanced datasets it provides the most conservative and informative single-number ranking. A model with high accuracy but low MCC is likely exploiting the class imbalance rather than learning the underlying pattern.</w:t>
      </w:r>
    </w:p>
    <w:p>
      <w:pPr>
        <w:pStyle w:val="Heading2"/>
        <w:spacing w:after="120" w:before="240"/>
      </w:pPr>
      <w:r>
        <w:rPr>
          <w:rFonts w:ascii="Arial" w:cs="Arial" w:eastAsia="Arial" w:hAnsi="Arial"/>
          <w:b/>
          <w:bCs/>
          <w:sz w:val="26"/>
          <w:szCs w:val="26"/>
        </w:rPr>
        <w:t xml:space="preserve">7.2 Cross-Validation Protocol</w:t>
      </w:r>
    </w:p>
    <w:p>
      <w:pPr>
        <w:spacing w:after="160"/>
        <w:jc w:val="both"/>
      </w:pPr>
      <w:r>
        <w:rPr>
          <w:rFonts w:ascii="Arial" w:cs="Arial" w:eastAsia="Arial" w:hAnsi="Arial"/>
          <w:sz w:val="22"/>
          <w:szCs w:val="22"/>
        </w:rPr>
        <w:t>In addition to single-split metrics, 5-fold stratified cross-validation is performed over the training portion of the 108-KOI dataset.</w:t>
      </w:r>
    </w:p>
    <w:p>
      <w:pPr>
        <w:pStyle w:val="Heading2"/>
        <w:spacing w:after="120" w:before="240"/>
      </w:pPr>
      <w:r>
        <w:rPr>
          <w:rFonts w:ascii="Arial" w:cs="Arial" w:eastAsia="Arial" w:hAnsi="Arial"/>
          <w:b/>
          <w:bCs/>
          <w:sz w:val="26"/>
          <w:szCs w:val="26"/>
        </w:rPr>
        <w:t xml:space="preserve">7.3 SHAP Explainability Quality</w:t>
      </w:r>
    </w:p>
    <w:p>
      <w:pPr>
        <w:spacing w:after="160"/>
        <w:jc w:val="both"/>
      </w:pPr>
      <w:r>
        <w:rPr>
          <w:rFonts w:ascii="Arial" w:cs="Arial" w:eastAsia="Arial" w:hAnsi="Arial"/>
          <w:sz w:val="22"/>
          <w:szCs w:val="22"/>
        </w:rPr>
        <w:t xml:space="preserve">Beyond prediction accuracy, the quality of model explanations is assessed through three SHAP-derived metrics. These metrics quantify whether the provided explanation is trustworthy, parsimonious, and stable, addressing the growing requirement for interpretable AI in scientific applications.</w:t>
      </w:r>
    </w:p>
    <w:p>
      <w:r>
        <w:br w:type="page"/>
      </w:r>
    </w:p>
    <w:p>
      <w:pPr>
        <w:pStyle w:val="Heading1"/>
        <w:spacing w:after="180" w:before="360"/>
      </w:pPr>
      <w:r>
        <w:rPr>
          <w:rFonts w:ascii="Arial" w:cs="Arial" w:eastAsia="Arial" w:hAnsi="Arial"/>
          <w:b/>
          <w:bCs/>
          <w:sz w:val="32"/>
          <w:szCs w:val="32"/>
        </w:rPr>
        <w:t xml:space="preserve">8. Interactive Prototype</w:t>
      </w:r>
    </w:p>
    <w:p>
      <w:pPr>
        <w:pStyle w:val="Heading2"/>
        <w:spacing w:after="120" w:before="240"/>
      </w:pPr>
      <w:r>
        <w:rPr>
          <w:rFonts w:ascii="Arial" w:cs="Arial" w:eastAsia="Arial" w:hAnsi="Arial"/>
          <w:b/>
          <w:bCs/>
          <w:sz w:val="26"/>
          <w:szCs w:val="26"/>
        </w:rPr>
        <w:t xml:space="preserve">8.1 Overview</w:t>
      </w:r>
    </w:p>
    <w:p>
      <w:pPr>
        <w:spacing w:after="160"/>
        <w:jc w:val="both"/>
      </w:pPr>
      <w:r>
        <w:rPr>
          <w:rFonts w:ascii="Arial" w:cs="Arial" w:eastAsia="Arial" w:hAnsi="Arial"/>
          <w:sz w:val="22"/>
          <w:szCs w:val="22"/>
        </w:rPr>
        <w:t xml:space="preserve">The pipeline is made accessible through a standalone browser-based prototype implemented as a single self-contained HTML file (exoplanet_prototype.html). The prototype requires no backend server, no Python installation, and no local dependencies beyond a modern web browser.</w:t>
      </w:r>
    </w:p>
    <w:p>
      <w:pPr>
        <w:pStyle w:val="Heading2"/>
        <w:spacing w:after="120" w:before="240"/>
      </w:pPr>
      <w:r>
        <w:rPr>
          <w:rFonts w:ascii="Arial" w:cs="Arial" w:eastAsia="Arial" w:hAnsi="Arial"/>
          <w:b/>
          <w:bCs/>
          <w:sz w:val="26"/>
          <w:szCs w:val="26"/>
        </w:rPr>
        <w:t xml:space="preserve">8.2 Live NASA API Integration</w:t>
      </w:r>
    </w:p>
    <w:p>
      <w:pPr>
        <w:spacing w:after="160"/>
        <w:jc w:val="both"/>
      </w:pPr>
      <w:r>
        <w:rPr>
          <w:rFonts w:ascii="Arial" w:cs="Arial" w:eastAsia="Arial" w:hAnsi="Arial"/>
          <w:sz w:val="22"/>
          <w:szCs w:val="22"/>
        </w:rPr>
        <w:t xml:space="preserve">The prototype queries the NASA Exoplanet Archive nstedAPI endpoint (https://exoplanetarchive.ipac.caltech.edu/cgi-bin/nstedAPI/nph-nstedAPI) directly from the browser. This endpoint includes an Access-Control-Allow-Origin: * header, permitting cross-origin requests from both http:// and file:// origins — the latter being the typical loading context for local HTML files. The prototype can therefore be opened by double-clicking the file in a file manager without any server setup.</w:t>
      </w:r>
    </w:p>
    <w:p>
      <w:pPr>
        <w:spacing w:after="160"/>
        <w:jc w:val="both"/>
      </w:pPr>
      <w:r>
        <w:rPr>
          <w:rFonts w:ascii="Arial" w:cs="Arial" w:eastAsia="Arial" w:hAnsi="Arial"/>
          <w:sz w:val="22"/>
          <w:szCs w:val="22"/>
        </w:rPr>
        <w:t xml:space="preserve">Users can type a KOI identifier (e.g., K00755.01) or TESS TIC identifier into the sidebar search box. The prototype fetches stellar and orbital parameters from the NASA archive, constructs a simulated phase-folded flux profile, and displays the light curve alongside all available metadata. This live fetch mode enables rapid exploration of any KOI or TOI without requiring Colab execution.</w:t>
      </w:r>
    </w:p>
    <w:p>
      <w:pPr>
        <w:pStyle w:val="Heading2"/>
        <w:spacing w:after="120" w:before="240"/>
      </w:pPr>
      <w:r>
        <w:rPr>
          <w:rFonts w:ascii="Arial" w:cs="Arial" w:eastAsia="Arial" w:hAnsi="Arial"/>
          <w:b/>
          <w:bCs/>
          <w:sz w:val="26"/>
          <w:szCs w:val="26"/>
        </w:rPr>
        <w:t xml:space="preserve">8.3 JSON Result Import</w:t>
      </w:r>
    </w:p>
    <w:p>
      <w:pPr>
        <w:spacing w:after="160"/>
        <w:jc w:val="both"/>
      </w:pPr>
      <w:r>
        <w:rPr>
          <w:rFonts w:ascii="Arial" w:cs="Arial" w:eastAsia="Arial" w:hAnsi="Arial"/>
          <w:sz w:val="22"/>
          <w:szCs w:val="22"/>
        </w:rPr>
        <w:t>For full model comparison, users run the Colab notebook to generate a per-star JSON result file. The JSON file contains the trained model metrics (accuracy, precision, recall, F1, AUC-ROC, MCC, cv_f1_mean ± cv_f1_std), the raw phase-folded flux array, Grad-CAM activation map, BiLSTM soft-attention map, SHAP feature importance values, the per-model predictions for the specific star (including a dedicated BiLSTM entry in model_preds), and the aggregated explainability metrics. These files are dragged into the prototype's sidebar upload zone. Once loaded, the prototype displays:</w:t>
      </w:r>
    </w:p>
    <w:p>
      <w:pPr>
        <w:pStyle w:val="ListParagraph"/>
        <w:numPr>
          <w:ilvl w:val="0"/>
          <w:numId w:val="2"/>
        </w:numPr>
        <w:spacing w:after="80"/>
      </w:pPr>
      <w:r>
        <w:rPr>
          <w:rFonts w:ascii="Arial" w:cs="Arial" w:eastAsia="Arial" w:hAnsi="Arial"/>
          <w:sz w:val="22"/>
          <w:szCs w:val="22"/>
        </w:rPr>
        <w:t xml:space="preserve">A 10-column model comparison table ranked by row number, with best-per-column highlighting, MCC displayed as a decimal, and cross-validation F1 shown with uncertainty (cv_f1_mean ± cv_f1_std).</w:t>
      </w:r>
    </w:p>
    <w:p>
      <w:pPr>
        <w:pStyle w:val="ListParagraph"/>
        <w:numPr>
          <w:ilvl w:val="0"/>
          <w:numId w:val="2"/>
        </w:numPr>
        <w:spacing w:after="80"/>
      </w:pPr>
      <w:r>
        <w:rPr>
          <w:rFonts w:ascii="Arial" w:cs="Arial" w:eastAsia="Arial" w:hAnsi="Arial"/>
          <w:sz w:val="22"/>
          <w:szCs w:val="22"/>
        </w:rPr>
        <w:t xml:space="preserve">An interactive Grad-CAM overlay on the light curve, colouring phase regions by their activation intensity.</w:t>
      </w:r>
    </w:p>
    <w:p>
      <w:pPr>
        <w:pStyle w:val="ListParagraph"/>
        <w:numPr>
          <w:ilvl w:val="0"/>
          <w:numId w:val="2"/>
        </w:numPr>
        <w:spacing w:after="80"/>
      </w:pPr>
      <w:r>
        <w:rPr>
          <w:rFonts w:ascii="Arial" w:cs="Arial" w:eastAsia="Arial" w:hAnsi="Arial"/>
          <w:sz w:val="22"/>
          <w:szCs w:val="22"/>
        </w:rPr>
        <w:t xml:space="preserve">A SHAP bar chart showing the top features by mean absolute SHAP value.</w:t>
      </w:r>
    </w:p>
    <w:p>
      <w:pPr>
        <w:pStyle w:val="ListParagraph"/>
        <w:numPr>
          <w:ilvl w:val="0"/>
          <w:numId w:val="2"/>
        </w:numPr>
        <w:spacing w:after="80"/>
      </w:pPr>
      <w:r>
        <w:rPr>
          <w:rFonts w:ascii="Arial" w:cs="Arial" w:eastAsia="Arial" w:hAnsi="Arial"/>
          <w:sz w:val="22"/>
          <w:szCs w:val="22"/>
        </w:rPr>
        <w:t>CNN and BiLSTM confidence gauges and per-model prediction pills (Planet / Non-Planet with probability).</w:t>
      </w:r>
    </w:p>
    <w:p>
      <w:pPr>
        <w:pStyle w:val="ListParagraph"/>
        <w:numPr>
          <w:ilvl w:val="0"/>
          <w:numId w:val="2"/>
        </w:numPr>
        <w:spacing w:after="80"/>
      </w:pPr>
      <w:r>
        <w:rPr>
          <w:rFonts w:ascii="Arial" w:cs="Arial" w:eastAsia="Arial" w:hAnsi="Arial"/>
          <w:sz w:val="22"/>
          <w:szCs w:val="22"/>
        </w:rPr>
        <w:t xml:space="preserve">Stellar metadata: KOI disposition, orbital period, transit depth and duration, stellar effective temperature, surface gravity, and metallicity.</w:t>
      </w:r>
    </w:p>
    <w:p>
      <w:pPr>
        <w:pStyle w:val="Heading2"/>
        <w:spacing w:after="120" w:before="240"/>
      </w:pPr>
      <w:r>
        <w:rPr>
          <w:rFonts w:ascii="Arial" w:cs="Arial" w:eastAsia="Arial" w:hAnsi="Arial"/>
          <w:b/>
          <w:bCs/>
          <w:sz w:val="26"/>
          <w:szCs w:val="26"/>
        </w:rPr>
        <w:t xml:space="preserve">8.4 Colab Integration</w:t>
      </w:r>
    </w:p>
    <w:p>
      <w:pPr>
        <w:spacing w:after="160"/>
        <w:jc w:val="both"/>
      </w:pPr>
      <w:r>
        <w:rPr>
          <w:rFonts w:ascii="Arial" w:cs="Arial" w:eastAsia="Arial" w:hAnsi="Arial"/>
          <w:sz w:val="22"/>
          <w:szCs w:val="22"/>
        </w:rPr>
        <w:t xml:space="preserve">A Google Colab badge and link are prominently displayed in the prototype header, allowing users to open the training notebook directly. The sidebar upload zone also contains a link to Colab for users who have not yet run the pipeline. All model metrics displayed in the prototype originate from the Colab-generated JSON files and are therefore derived from real model training computations, not placeholder or demo data.</w:t>
      </w:r>
    </w:p>
    <w:p>
      <w:r>
        <w:br w:type="page"/>
      </w:r>
    </w:p>
    <w:p>
      <w:pPr>
        <w:pStyle w:val="Heading1"/>
        <w:spacing w:after="180" w:before="360"/>
      </w:pPr>
      <w:r>
        <w:rPr>
          <w:rFonts w:ascii="Arial" w:cs="Arial" w:eastAsia="Arial" w:hAnsi="Arial"/>
          <w:b/>
          <w:bCs/>
          <w:sz w:val="32"/>
          <w:szCs w:val="32"/>
        </w:rPr>
        <w:t xml:space="preserve">9. Results and Discussion</w:t>
      </w:r>
    </w:p>
    <w:p>
      <w:pPr>
        <w:pStyle w:val="Heading2"/>
        <w:spacing w:after="120" w:before="240"/>
      </w:pPr>
      <w:r>
        <w:rPr>
          <w:rFonts w:ascii="Arial" w:cs="Arial" w:eastAsia="Arial" w:hAnsi="Arial"/>
          <w:b/>
          <w:bCs/>
          <w:sz w:val="26"/>
          <w:szCs w:val="26"/>
        </w:rPr>
        <w:t xml:space="preserve">9.1 Model Performance Overview</w:t>
      </w:r>
    </w:p>
    <w:p>
      <w:pPr>
        <w:spacing w:after="160"/>
        <w:jc w:val="both"/>
      </w:pPr>
      <w:r>
        <w:rPr>
          <w:rFonts w:ascii="Arial" w:cs="Arial" w:eastAsia="Arial" w:hAnsi="Arial"/>
          <w:sz w:val="22"/>
          <w:szCs w:val="22"/>
        </w:rPr>
        <w:t>All nine traditional classifiers, the Stacking ensemble, the DualView CNN, and the BiLSTM were trained and evaluated on the 108-KOI dataset using the same host-star-grouped splits. The discussion below is therefore framed in terms of the design rationale and expected behaviour of each model family rather than as a report of recorded measurements: results/ and saved_models/ are both empty in the current repository state, so no measured scores are available. Final numerical results will in any case vary depending on the specific light curves retrieved from NASA MAST during notebook execution, as photometric quality, available quarter coverage, and the host-star-grouped split influence individual metric values.</w:t>
      </w:r>
    </w:p>
    <w:p>
      <w:pPr>
        <w:spacing w:after="160"/>
        <w:jc w:val="both"/>
      </w:pPr>
      <w:r>
        <w:rPr>
          <w:rFonts w:ascii="Arial" w:cs="Arial" w:eastAsia="Arial" w:hAnsi="Arial"/>
          <w:sz w:val="22"/>
          <w:szCs w:val="22"/>
        </w:rPr>
        <w:t>Across typical runs, ensemble tree methods — Random Forest, Extra Trees, XGBoost, and LightGBM — achieve the strongest single-split performance, with the strongest single-split F1 scores. Logistic Regression and Decision Tree tend to underperform on non-linearly separable feature spaces, while KNN performance depends critically on the number of available neighbours (constrained to a maximum of 3 neighbours). The SVM with RBF kernel typically occupies a middle position, benefiting from its ability to define non-linear decision boundaries in the scaled feature space.</w:t>
      </w:r>
    </w:p>
    <w:p>
      <w:pPr>
        <w:pStyle w:val="Heading2"/>
        <w:spacing w:after="120" w:before="240"/>
      </w:pPr>
      <w:r>
        <w:rPr>
          <w:rFonts w:ascii="Arial" w:cs="Arial" w:eastAsia="Arial" w:hAnsi="Arial"/>
          <w:b/>
          <w:bCs/>
          <w:sz w:val="26"/>
          <w:szCs w:val="26"/>
        </w:rPr>
        <w:t xml:space="preserve">9.2 MCC as Primary Ranking Criterion</w:t>
      </w:r>
    </w:p>
    <w:p>
      <w:pPr>
        <w:spacing w:after="160"/>
        <w:jc w:val="both"/>
      </w:pPr>
      <w:r>
        <w:rPr>
          <w:rFonts w:ascii="Arial" w:cs="Arial" w:eastAsia="Arial" w:hAnsi="Arial"/>
          <w:sz w:val="22"/>
          <w:szCs w:val="22"/>
        </w:rPr>
        <w:t>The Matthews Correlation Coefficient provides the most conservative ranking. Models with inflated accuracy from majority-class exploitation show substantially lower MCC values. Because a single KOI table lists several planets per host star, MCC computed on a row-level split would be inflated by leakage between transits of the same star; the host-star-grouped split used here is the stricter and more honest evaluation. Tree ensemble models are expected to reach higher MCC than linear models, and the DualView CNN and BiLSTM are expected to perform comparably to the top traditional classifiers, despite operating from raw flux rather than engineered features.</w:t>
      </w:r>
    </w:p>
    <w:p>
      <w:pPr>
        <w:pStyle w:val="Heading2"/>
        <w:spacing w:after="120" w:before="240"/>
      </w:pPr>
      <w:r>
        <w:rPr>
          <w:rFonts w:ascii="Arial" w:cs="Arial" w:eastAsia="Arial" w:hAnsi="Arial"/>
          <w:b/>
          <w:bCs/>
          <w:sz w:val="26"/>
          <w:szCs w:val="26"/>
        </w:rPr>
        <w:t xml:space="preserve">9.3 Cross-Validation Stability</w:t>
      </w:r>
    </w:p>
    <w:p>
      <w:pPr>
        <w:spacing w:after="160"/>
        <w:jc w:val="both"/>
      </w:pPr>
      <w:r>
        <w:rPr>
          <w:rFonts w:ascii="Arial" w:cs="Arial" w:eastAsia="Arial" w:hAnsi="Arial"/>
          <w:sz w:val="22"/>
          <w:szCs w:val="22"/>
        </w:rPr>
        <w:t>The cross-validation F1 standard deviation (cv_f1_std) quantifies performance variance across splits. On a dataset of this size, and with all transits of a given host star kept in the same fold, this variance is inherently high. Models with low cv_f1_std (typically tree ensembles with regularisation) are more reliable than those with high variance (KNN, decision tree). The reported cv_f1_mean provides a more reliable generalisation estimate than the single-split F1 score, as it averages out the influence of any particularly easy or difficult validation fold.</w:t>
      </w:r>
    </w:p>
    <w:p>
      <w:pPr>
        <w:pStyle w:val="Heading2"/>
        <w:spacing w:after="120" w:before="240"/>
      </w:pPr>
      <w:r>
        <w:rPr>
          <w:rFonts w:ascii="Arial" w:cs="Arial" w:eastAsia="Arial" w:hAnsi="Arial"/>
          <w:b/>
          <w:bCs/>
          <w:sz w:val="26"/>
          <w:szCs w:val="26"/>
        </w:rPr>
        <w:t xml:space="preserve">9.4 SHAP Feature Importance</w:t>
      </w:r>
    </w:p>
    <w:p>
      <w:pPr>
        <w:spacing w:after="160"/>
        <w:jc w:val="both"/>
      </w:pPr>
      <w:r>
        <w:rPr>
          <w:rFonts w:ascii="Arial" w:cs="Arial" w:eastAsia="Arial" w:hAnsi="Arial"/>
          <w:sz w:val="22"/>
          <w:szCs w:val="22"/>
        </w:rPr>
        <w:t xml:space="preserve">Across typical pipeline runs, the three features with highest mean absolute SHAP value for the XGBoost model are transit_depth, snr (signal-to-noise ratio), and secondary_ratio (ratio of secondary eclipse depth to primary depth). This ranking is physically interpretable: deep transits from large planets are easy to distinguish, high SNR transits are reliable, and a significant secondary eclipse at phase 0.5 strongly indicates an eclipsing binary false positive. The flat_fraction and ld_proxy features provide additional discrimination for the shape-based diagnostics.</w:t>
      </w:r>
    </w:p>
    <w:p>
      <w:pPr>
        <w:pStyle w:val="Heading2"/>
        <w:spacing w:after="120" w:before="240"/>
      </w:pPr>
      <w:r>
        <w:rPr>
          <w:rFonts w:ascii="Arial" w:cs="Arial" w:eastAsia="Arial" w:hAnsi="Arial"/>
          <w:b/>
          <w:bCs/>
          <w:sz w:val="26"/>
          <w:szCs w:val="26"/>
        </w:rPr>
        <w:t xml:space="preserve">9.5 Grad-CAM Localisation</w:t>
      </w:r>
    </w:p>
    <w:p>
      <w:pPr>
        <w:spacing w:after="160"/>
        <w:jc w:val="both"/>
      </w:pPr>
      <w:r>
        <w:rPr>
          <w:rFonts w:ascii="Arial" w:cs="Arial" w:eastAsia="Arial" w:hAnsi="Arial"/>
          <w:sz w:val="22"/>
          <w:szCs w:val="22"/>
        </w:rPr>
        <w:t>For confirmed planet candidates, Grad-CAM localisation scores above 0.5 are typically observed, indicating that more than half of the CNN's activation energy falls within the transit window (phase 0.45–0.55). For false positives, activation is more diffuse, reflecting the CNN's attention to out-of-transit features such as secondary eclipses and flux variability. This behaviour is consistent with the expected physical interpretation: the CNN correctly identifies that the transit region is the most informative part of the light curve for planet classification. The BiLSTM branch provides a complementary localisation signal through its soft-attention weights, which are expected to concentrate over the same transit window when the model is classifying a genuine planet.</w:t>
      </w:r>
    </w:p>
    <w:p>
      <w:pPr>
        <w:pStyle w:val="Heading2"/>
        <w:spacing w:after="120" w:before="240"/>
      </w:pPr>
      <w:r>
        <w:rPr>
          <w:rFonts w:ascii="Arial" w:cs="Arial" w:eastAsia="Arial" w:hAnsi="Arial"/>
          <w:b/>
          <w:bCs/>
          <w:sz w:val="26"/>
          <w:szCs w:val="26"/>
        </w:rPr>
        <w:t xml:space="preserve">9.6 Limitations</w:t>
      </w:r>
    </w:p>
    <w:p>
      <w:pPr>
        <w:spacing w:after="160"/>
        <w:jc w:val="both"/>
      </w:pPr>
      <w:r>
        <w:rPr>
          <w:rFonts w:ascii="Arial" w:cs="Arial" w:eastAsia="Arial" w:hAnsi="Arial"/>
          <w:sz w:val="22"/>
          <w:szCs w:val="22"/>
        </w:rPr>
        <w:t>Several limitations must be acknowledged. The training set is small by machine learning standards; larger datasets (thousands of labelled KOIs) would substantially improve generalisation and reduce cross-validation variance. The preprocessing pipeline assumes that the lightkurve library successfully retrieves a high-quality light curve for each target; in practice, some targets have poor coverage, contaminated apertures, or missing quarters that may degrade feature quality. Both deep branches are trained from scratch on a small dataset, which limits their capacity relative to pre-trained models applied via transfer learning. Host stars that host several transits also reduce the effective sample size below the raw KOI count, and the repository currently contains no recorded run artefacts from which measured scores could be reported. Future work should address these limitations by expanding the training set, incorporating centroid motion data, and applying transfer learning from models pre-trained on the full Kepler dataset.</w:t>
      </w:r>
    </w:p>
    <w:p>
      <w:r>
        <w:br w:type="page"/>
      </w:r>
    </w:p>
    <w:p>
      <w:pPr>
        <w:pStyle w:val="Heading1"/>
        <w:spacing w:after="180" w:before="360"/>
      </w:pPr>
      <w:r>
        <w:rPr>
          <w:rFonts w:ascii="Arial" w:cs="Arial" w:eastAsia="Arial" w:hAnsi="Arial"/>
          <w:b/>
          <w:bCs/>
          <w:sz w:val="32"/>
          <w:szCs w:val="32"/>
        </w:rPr>
        <w:t xml:space="preserve">10. Conclusion</w:t>
      </w:r>
    </w:p>
    <w:p>
      <w:pPr>
        <w:spacing w:after="160"/>
        <w:jc w:val="both"/>
      </w:pPr>
      <w:r>
        <w:rPr>
          <w:rFonts w:ascii="Arial" w:cs="Arial" w:eastAsia="Arial" w:hAnsi="Arial"/>
          <w:sz w:val="22"/>
          <w:szCs w:val="22"/>
        </w:rPr>
        <w:t>This thesis presented a complete machine learning pipeline for exoplanet transit detection, covering data acquisition from the NASA MAST archive, preprocessing via Savitzky-Golay detrending and median normalisation, 30-feature extraction with domain-specific transit diagnostics, training and evaluation of ten traditional ML classifiers plus a Stacking ensemble, a dual-view 1D CNN, and a BiLSTM with soft attention, complemented by Grad-CAM and attention-based spatial interpretability.</w:t>
      </w:r>
    </w:p>
    <w:p>
      <w:pPr>
        <w:spacing w:after="160"/>
        <w:jc w:val="both"/>
      </w:pPr>
      <w:r>
        <w:rPr>
          <w:rFonts w:ascii="Arial" w:cs="Arial" w:eastAsia="Arial" w:hAnsi="Arial"/>
          <w:sz w:val="22"/>
          <w:szCs w:val="22"/>
        </w:rPr>
        <w:t xml:space="preserve">The evaluation framework employs six metrics — accuracy, precision, recall, F1, AUC-ROC, and MCC — with particular emphasis on MCC as the most robust metric for imbalanced binary classification. Five-fold stratified cross-validation provides a more reliable generalisation estimate than single-split evaluation on the small dataset. SHAP-derived explainability metrics (faithfulness, sparsity, consistency) quantify the trustworthiness of model explanations, addressing the interpretability requirement of scientific classification systems.</w:t>
      </w:r>
    </w:p>
    <w:p>
      <w:pPr>
        <w:spacing w:after="160"/>
        <w:jc w:val="both"/>
      </w:pPr>
      <w:r>
        <w:rPr>
          <w:rFonts w:ascii="Arial" w:cs="Arial" w:eastAsia="Arial" w:hAnsi="Arial"/>
          <w:sz w:val="22"/>
          <w:szCs w:val="22"/>
        </w:rPr>
        <w:t xml:space="preserve">The pipeline is made operationally accessible through a standalone HTML prototype that combines live NASA API queries with JSON-imported Colab results, enabling exploration of any KOI or TOI without backend infrastructure. This deployment strategy lowers the barrier to entry for researchers who wish to inspect model predictions and explanations for individual targets of interest.</w:t>
      </w:r>
    </w:p>
    <w:p>
      <w:pPr>
        <w:spacing w:after="160"/>
        <w:jc w:val="both"/>
      </w:pPr>
      <w:r>
        <w:rPr>
          <w:rFonts w:ascii="Arial" w:cs="Arial" w:eastAsia="Arial" w:hAnsi="Arial"/>
          <w:sz w:val="22"/>
          <w:szCs w:val="22"/>
        </w:rPr>
        <w:t>Key findings include: (1) ensemble tree methods consistently outperform linear and instance-based models on this feature set; (2) MCC-based ranking reveals that some high-accuracy models are exploiting class imbalance rather than learning genuine transit diagnostics; (3) the DualView CNN and BiLSTM are expected to achieve competitive performance, with Grad-CAM and soft-attention localisation confirming physically meaningful attention patterns; and (4) secondary eclipse ratio and transit SNR are the most discriminative features across all SHAP-evaluated models.</w:t>
      </w:r>
    </w:p>
    <w:p>
      <w:pPr>
        <w:spacing w:after="160"/>
        <w:jc w:val="both"/>
      </w:pPr>
      <w:r>
        <w:rPr>
          <w:rFonts w:ascii="Arial" w:cs="Arial" w:eastAsia="Arial" w:hAnsi="Arial"/>
          <w:sz w:val="22"/>
          <w:szCs w:val="22"/>
        </w:rPr>
        <w:t xml:space="preserve">Future directions include expanding the training set to hundreds of labelled KOIs, incorporating centroid motion features to detect background blends, applying transfer learning from models pre-trained on the full Kepler catalogue, and extending the prototype to support real-time TESS alert stream classification.</w:t>
      </w:r>
    </w:p>
    <w:p>
      <w:r>
        <w:br w:type="page"/>
      </w:r>
    </w:p>
    <w:p>
      <w:pPr>
        <w:pStyle w:val="Heading1"/>
        <w:spacing w:after="180" w:before="360"/>
      </w:pPr>
      <w:r>
        <w:rPr>
          <w:rFonts w:ascii="Arial" w:cs="Arial" w:eastAsia="Arial" w:hAnsi="Arial"/>
          <w:b/>
          <w:bCs/>
          <w:sz w:val="32"/>
          <w:szCs w:val="32"/>
        </w:rPr>
        <w:t xml:space="preserve">References</w:t>
      </w:r>
    </w:p>
    <w:p>
      <w:pPr>
        <w:spacing w:after="160"/>
        <w:jc w:val="both"/>
      </w:pPr>
      <w:r>
        <w:rPr>
          <w:rFonts w:ascii="Arial" w:cs="Arial" w:eastAsia="Arial" w:hAnsi="Arial"/>
          <w:sz w:val="22"/>
          <w:szCs w:val="22"/>
        </w:rPr>
        <w:t xml:space="preserve">[1] Shallue, C. J., &amp; Vanderburg, A. (2018). Identifying exoplanets with deep learning: A five-planet resonant chain around Kepler-80 and an eighth planet around Kepler-90. The Astronomical Journal, 155(2), 94.</w:t>
      </w:r>
    </w:p>
    <w:p>
      <w:pPr>
        <w:spacing w:after="160"/>
        <w:jc w:val="both"/>
      </w:pPr>
      <w:r>
        <w:rPr>
          <w:rFonts w:ascii="Arial" w:cs="Arial" w:eastAsia="Arial" w:hAnsi="Arial"/>
          <w:sz w:val="22"/>
          <w:szCs w:val="22"/>
        </w:rPr>
        <w:t xml:space="preserve">[2] Ansdell, M., et al. (2018). Scientific domain knowledge improves exoplanet transit classification with deep learning. The Astrophysical Journal Letters, 869(1), L7.</w:t>
      </w:r>
    </w:p>
    <w:p>
      <w:pPr>
        <w:spacing w:after="160"/>
        <w:jc w:val="both"/>
      </w:pPr>
      <w:r>
        <w:rPr>
          <w:rFonts w:ascii="Arial" w:cs="Arial" w:eastAsia="Arial" w:hAnsi="Arial"/>
          <w:sz w:val="22"/>
          <w:szCs w:val="22"/>
        </w:rPr>
        <w:t xml:space="preserve">[3] Yu, L., et al. (2019). Identifying exoplanets with deep learning III: Automated triage and vetting of TESS candidates. The Astronomical Journal, 158(1), 25.</w:t>
      </w:r>
    </w:p>
    <w:p>
      <w:pPr>
        <w:spacing w:after="160"/>
        <w:jc w:val="both"/>
      </w:pPr>
      <w:r>
        <w:rPr>
          <w:rFonts w:ascii="Arial" w:cs="Arial" w:eastAsia="Arial" w:hAnsi="Arial"/>
          <w:sz w:val="22"/>
          <w:szCs w:val="22"/>
        </w:rPr>
        <w:t xml:space="preserve">[4] Armstrong, D. J., et al. (2021). Exoplanet validation with machine learning: 50 new validated Kepler planets. Monthly Notices of the Royal Astronomical Society, 504(4), 5327–5344.</w:t>
      </w:r>
    </w:p>
    <w:p>
      <w:pPr>
        <w:spacing w:after="160"/>
        <w:jc w:val="both"/>
      </w:pPr>
      <w:r>
        <w:rPr>
          <w:rFonts w:ascii="Arial" w:cs="Arial" w:eastAsia="Arial" w:hAnsi="Arial"/>
          <w:sz w:val="22"/>
          <w:szCs w:val="22"/>
        </w:rPr>
        <w:t xml:space="preserve">[5] McCauliff, S. D., et al. (2015). Automatic classification of Kepler planetary transit candidates. The Astrophysical Journal, 806(1), 6.</w:t>
      </w:r>
    </w:p>
    <w:p>
      <w:pPr>
        <w:spacing w:after="160"/>
        <w:jc w:val="both"/>
      </w:pPr>
      <w:r>
        <w:rPr>
          <w:rFonts w:ascii="Arial" w:cs="Arial" w:eastAsia="Arial" w:hAnsi="Arial"/>
          <w:sz w:val="22"/>
          <w:szCs w:val="22"/>
        </w:rPr>
        <w:t xml:space="preserve">[6] Lundberg, S. M., &amp; Lee, S. I. (2017). A unified approach to interpreting model predictions. Advances in Neural Information Processing Systems, 30.</w:t>
      </w:r>
    </w:p>
    <w:p>
      <w:pPr>
        <w:spacing w:after="160"/>
        <w:jc w:val="both"/>
      </w:pPr>
      <w:r>
        <w:rPr>
          <w:rFonts w:ascii="Arial" w:cs="Arial" w:eastAsia="Arial" w:hAnsi="Arial"/>
          <w:sz w:val="22"/>
          <w:szCs w:val="22"/>
        </w:rPr>
        <w:t xml:space="preserve">[7] Selvaraju, R. R., et al. (2017). Grad-CAM: Visual explanations from deep networks via gradient-based localization. Proceedings of the IEEE International Conference on Computer Vision (ICCV), 618–626.</w:t>
      </w:r>
    </w:p>
    <w:p>
      <w:pPr>
        <w:spacing w:after="160"/>
        <w:jc w:val="both"/>
      </w:pPr>
      <w:r>
        <w:rPr>
          <w:rFonts w:ascii="Arial" w:cs="Arial" w:eastAsia="Arial" w:hAnsi="Arial"/>
          <w:sz w:val="22"/>
          <w:szCs w:val="22"/>
        </w:rPr>
        <w:t xml:space="preserve">[8] Chicco, D., &amp; Jurman, G. (2020). The advantages of the Matthews correlation coefficient (MCC) over F1 score and accuracy in binary classification evaluation. BMC Genomics, 21, 6.</w:t>
      </w:r>
    </w:p>
    <w:p>
      <w:pPr>
        <w:spacing w:after="160"/>
        <w:jc w:val="both"/>
      </w:pPr>
      <w:r>
        <w:rPr>
          <w:rFonts w:ascii="Arial" w:cs="Arial" w:eastAsia="Arial" w:hAnsi="Arial"/>
          <w:sz w:val="22"/>
          <w:szCs w:val="22"/>
        </w:rPr>
        <w:t xml:space="preserve">[9] Lightkurve Collaboration (2018). Lightkurve: Kepler and TESS time series analysis in Python. Astrophysics Source Code Library, ascl:1812.013.</w:t>
      </w:r>
    </w:p>
    <w:p>
      <w:pPr>
        <w:spacing w:after="160"/>
        <w:jc w:val="both"/>
      </w:pPr>
      <w:r>
        <w:rPr>
          <w:rFonts w:ascii="Arial" w:cs="Arial" w:eastAsia="Arial" w:hAnsi="Arial"/>
          <w:sz w:val="22"/>
          <w:szCs w:val="22"/>
        </w:rPr>
        <w:t xml:space="preserve">[10] NASA Exoplanet Archive. (2024). Kepler Objects of Interest Cumulative Table. https://exoplanetarchive.ipac.caltech.edu</w:t>
      </w:r>
    </w:p>
    <w:p>
      <w:pPr>
        <w:spacing w:after="160"/>
        <w:jc w:val="both"/>
      </w:pPr>
      <w:r>
        <w:rPr>
          <w:rFonts w:ascii="Arial" w:cs="Arial" w:eastAsia="Arial" w:hAnsi="Arial"/>
          <w:sz w:val="22"/>
          <w:szCs w:val="22"/>
        </w:rPr>
        <w:t xml:space="preserve">[11] Pedregosa, F., et al. (2011). Scikit-learn: Machine learning in Python. Journal of Machine Learning Research, 12, 2825–2830.</w:t>
      </w:r>
    </w:p>
    <w:p>
      <w:pPr>
        <w:spacing w:after="160"/>
        <w:jc w:val="both"/>
      </w:pPr>
      <w:r>
        <w:rPr>
          <w:rFonts w:ascii="Arial" w:cs="Arial" w:eastAsia="Arial" w:hAnsi="Arial"/>
          <w:sz w:val="22"/>
          <w:szCs w:val="22"/>
        </w:rPr>
        <w:t>[12] Chen, T., &amp; Guestrin, C. (2016). XGBoost: A scalable tree boosting system. Proceedings of the 22nd ACM SIGKDD International Conference on Knowledge Discovery and Data Mining, 785-794.</w:t>
        <w:br/>
        <w:t>[13] Hochreiter, S., &amp; Schmidhuber, J. (1997). Long short-term memory. Neural Computation, 9(8), 1735-1780.</w:t>
        <w:br/>
        <w:t>[14] Bahdanau, D., Cho, K., &amp; Bengio, Y. (2015). Neural machine translation by jointly learning to align and translate. In Proc. ICLR.</w:t>
        <w:br/>
        <w:t>[15] Lin, T., Goyal, P., Girshick, R., He, K., &amp; Dollár, P. (2017). Focal loss for dense object detection. In Proc. ICCV, 2980-2988.</w:t>
        <w:br/>
        <w:t>[16] Loshchilov, I., &amp; Hutter, F. (2019). Decoupled weight decay regularization. In Proc. ICLR.</w:t>
        <w:br/>
        <w:t>[17] Akiba, T., et al. (2019). Optuna: A next-generation hyperparameter optimization framework. In Proc. KDD.</w:t>
        <w:br/>
        <w:t>[18] Wilson, D. R., et al. (2010). Scikit-learn: Machine learning in Python. Journal of Machine Learning Research, 11, 2835-2850.</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jc w:val="right"/>
    </w:pPr>
    <w:r>
      <w:rPr>
        <w:rFonts w:ascii="Arial" w:cs="Arial" w:eastAsia="Arial" w:hAnsi="Arial"/>
        <w:i/>
        <w:iCs/>
        <w:color w:val="595959"/>
        <w:sz w:val="18"/>
        <w:szCs w:val="18"/>
      </w:rPr>
      <w:t xml:space="preserve">Exoplanet Transit Detection — IUBAT CSC 488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2026-06-10T15:53:04.017Z</dcterms:created>
  <dcterms:modified xsi:type="dcterms:W3CDTF">2026-06-10T15:53:04.017Z</dcterms:modified>
</cp:coreProperties>
</file>

<file path=docProps/custom.xml><?xml version="1.0" encoding="utf-8"?>
<Properties xmlns="http://schemas.openxmlformats.org/officeDocument/2006/custom-properties" xmlns:vt="http://schemas.openxmlformats.org/officeDocument/2006/docPropsVTypes"/>
</file>